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13,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46-3831207</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On May 13, 2015, Civeo Corporation (the “Company”) entered into a First Amendment (the “First Amendment”) to its Syndicated Facility Agreement dated as of May 28, 2014 (the “Syndicated Facility Agreement”), among the Company, certain subsidiaries of the Company as borrowers, the lenders named therein, Royal Bank of Canada, as Administrative Agent and the other agents party thereto. Pursuant to and upon the effectiveness of the First Amendment, the Syndicated Facility Agreement will be amended to, among other things:</w:t>
      </w:r>
    </w:p>
    <w:p>
      <w:pPr>
        <w:spacing w:after="0" w:line="187" w:lineRule="exact"/>
        <w:rPr>
          <w:sz w:val="20"/>
          <w:szCs w:val="20"/>
          <w:color w:val="auto"/>
        </w:rPr>
      </w:pPr>
    </w:p>
    <w:p>
      <w:pPr>
        <w:jc w:val="both"/>
        <w:ind w:left="980" w:right="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 the Company to redomicile to Canada (the “Redomicile Transaction”), make associated corporate restructurings and make certain changes to the collateral and guarantees, covenants, events of default and related definitions to reflect the Redomicile Transaction and the new credit facilities referred to below;</w:t>
      </w:r>
    </w:p>
    <w:p>
      <w:pPr>
        <w:spacing w:after="0" w:line="181" w:lineRule="exact"/>
        <w:rPr>
          <w:rFonts w:ascii="Arial" w:cs="Arial" w:eastAsia="Arial" w:hAnsi="Arial"/>
          <w:sz w:val="18"/>
          <w:szCs w:val="18"/>
          <w:color w:val="auto"/>
        </w:rPr>
      </w:pPr>
    </w:p>
    <w:p>
      <w:pPr>
        <w:jc w:val="both"/>
        <w:ind w:left="980" w:right="4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Allow for the incurrence of new credit facilities under the Syndicated Facility Agreement, including (i) a new revolving credit facility in a maximum principal amount of US$125,000,000 available to be borrowed by the new Canadian parent of the Civeo group of companies that results from the Redomicile Transaction (the “new Canadian parent”) after the effectiveness of the First Amendment and (ii) a new term loan facility in the amount of US$325,000,000 to be borrowed by the new Canadian parent on the date of the effectiveness of the First Amendment;</w:t>
      </w:r>
    </w:p>
    <w:p>
      <w:pPr>
        <w:spacing w:after="0" w:line="154" w:lineRule="exact"/>
        <w:rPr>
          <w:rFonts w:ascii="Arial" w:cs="Arial" w:eastAsia="Arial" w:hAnsi="Arial"/>
          <w:sz w:val="16"/>
          <w:szCs w:val="16"/>
          <w:color w:val="auto"/>
        </w:rPr>
      </w:pPr>
    </w:p>
    <w:p>
      <w:pPr>
        <w:ind w:left="980" w:right="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for the prepayment of the existing U.S. term loans under the Syndicated Facility Agreement in the aggregate principal amount of US$725,000,000 and the reduction of the aggregate U.S. revolving loan commitments to a maximum principal amount of US$50,000,000;</w:t>
      </w:r>
    </w:p>
    <w:p>
      <w:pPr>
        <w:spacing w:after="0" w:line="146" w:lineRule="exact"/>
        <w:rPr>
          <w:rFonts w:ascii="Arial" w:cs="Arial" w:eastAsia="Arial" w:hAnsi="Arial"/>
          <w:sz w:val="17"/>
          <w:szCs w:val="17"/>
          <w:color w:val="auto"/>
        </w:rPr>
      </w:pPr>
    </w:p>
    <w:p>
      <w:pPr>
        <w:jc w:val="both"/>
        <w:ind w:left="980" w:right="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w:t>
      </w:r>
    </w:p>
    <w:p>
      <w:pPr>
        <w:spacing w:after="0" w:line="170" w:lineRule="exact"/>
        <w:rPr>
          <w:rFonts w:ascii="Arial" w:cs="Arial" w:eastAsia="Arial" w:hAnsi="Arial"/>
          <w:sz w:val="18"/>
          <w:szCs w:val="18"/>
          <w:color w:val="auto"/>
        </w:rPr>
      </w:pPr>
    </w:p>
    <w:p>
      <w:pPr>
        <w:jc w:val="both"/>
        <w:ind w:left="980" w:right="4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Make certain changes to the maximum leverage ratio financial covenant, including an increase in the permitted level of the total leverage ratio to a range of 3.50:1.00 to 4.50:1.00 (as specified in the First Amendment) for each fiscal quarter beginning with the fiscal quarter ending December 31, 2015 when the maximum leverage ratio increases to 4.00, with further increases to 4.25 for the first quarter of 2016 and 4.50 beginning with the second quarter of 2016, before a decrease in the first quarter of 2017 to 4.25, with further decreases to 4.00 for the second quarter of 2017 and 3.75 for the first quarter of 2018 through the second quarter ending June 30, 2018; and</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Syndicated Facility Agreement.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First Amendment will become effective upon the satisfaction of the conditions precedent stated therein, including, among other conditions, the completion of the Redomicile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description of the First Amendment contained herein is subject in all respects to the First Amendment attached hereto as Exhibit 10.1.</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r>
              <w:rPr>
                <w:rFonts w:ascii="Arial" w:cs="Arial" w:eastAsia="Arial" w:hAnsi="Arial"/>
                <w:sz w:val="18"/>
                <w:szCs w:val="18"/>
                <w:i w:val="1"/>
                <w:iCs w:val="1"/>
                <w:color w:val="auto"/>
                <w:w w:val="94"/>
              </w:rPr>
              <w:t>.</w:t>
            </w: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c>
          <w:tcPr>
            <w:tcW w:w="4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 named</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therein, Royal Bank of Canada, as Administrative Agent, U.S. Collateral Agent, Canadian Administrative Agent, Canadian Collateral</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w:t>
            </w:r>
          </w:p>
        </w:tc>
        <w:tc>
          <w:tcPr>
            <w:tcW w:w="40" w:type="dxa"/>
            <w:vAlign w:val="bottom"/>
          </w:tcPr>
          <w:p>
            <w:pPr>
              <w:spacing w:after="0"/>
              <w:rPr>
                <w:sz w:val="20"/>
                <w:szCs w:val="20"/>
                <w:color w:val="auto"/>
              </w:rPr>
            </w:pPr>
          </w:p>
        </w:tc>
      </w:tr>
      <w:tr>
        <w:trPr>
          <w:trHeight w:val="78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400" w:type="dxa"/>
            <w:vAlign w:val="bottom"/>
            <w:gridSpan w:val="2"/>
          </w:tcPr>
          <w:p>
            <w:pPr>
              <w:ind w:left="1940"/>
              <w:spacing w:after="0"/>
              <w:rPr>
                <w:sz w:val="20"/>
                <w:szCs w:val="20"/>
                <w:color w:val="auto"/>
              </w:rPr>
            </w:pPr>
            <w:r>
              <w:rPr>
                <w:rFonts w:ascii="Arial" w:cs="Arial" w:eastAsia="Arial" w:hAnsi="Arial"/>
                <w:sz w:val="18"/>
                <w:szCs w:val="18"/>
                <w:color w:val="auto"/>
              </w:rPr>
              <w:t>CIVEO CORPORATION</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May 19, 2015</w:t>
            </w:r>
          </w:p>
        </w:tc>
        <w:tc>
          <w:tcPr>
            <w:tcW w:w="6400" w:type="dxa"/>
            <w:vAlign w:val="bottom"/>
            <w:gridSpan w:val="2"/>
          </w:tcPr>
          <w:p>
            <w:pPr>
              <w:ind w:left="1940"/>
              <w:spacing w:after="0"/>
              <w:rPr>
                <w:sz w:val="20"/>
                <w:szCs w:val="20"/>
                <w:color w:val="auto"/>
              </w:rPr>
            </w:pPr>
            <w:r>
              <w:rPr>
                <w:rFonts w:ascii="Arial" w:cs="Arial" w:eastAsia="Arial" w:hAnsi="Arial"/>
                <w:sz w:val="18"/>
                <w:szCs w:val="18"/>
                <w:color w:val="auto"/>
              </w:rPr>
              <w:t>By:  /s/ Frank C. Steininger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Treasurer</w:t>
            </w:r>
          </w:p>
        </w:tc>
        <w:tc>
          <w:tcPr>
            <w:tcW w:w="1680" w:type="dxa"/>
            <w:vAlign w:val="bottom"/>
          </w:tcPr>
          <w:p>
            <w:pPr>
              <w:spacing w:after="0"/>
              <w:rPr>
                <w:sz w:val="20"/>
                <w:szCs w:val="20"/>
                <w:color w:val="auto"/>
              </w:rPr>
            </w:pPr>
          </w:p>
        </w:tc>
      </w:tr>
      <w:tr>
        <w:trPr>
          <w:trHeight w:val="780"/>
        </w:trPr>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1"/>
        </w:trPr>
        <w:tc>
          <w:tcPr>
            <w:tcW w:w="3380" w:type="dxa"/>
            <w:vAlign w:val="bottom"/>
            <w:shd w:val="clear" w:color="auto" w:fill="808080"/>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 named</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therein, Royal Bank of Canada, as Administrative Agent, U.S. Collateral Agent, Canadian Administrative Agent, Canadian Collateral</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13,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CANADIAN HOLDINGS 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142875</wp:posOffset>
            </wp:positionV>
            <wp:extent cx="2418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160020</wp:posOffset>
            </wp:positionV>
            <wp:extent cx="2418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930910</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FIRST AMENDMENT TO SYNDICATED FACILITY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FIRST AMENDMENT TO SYNDICATED FACILITY AGREEMENT (this “</w:t>
      </w:r>
      <w:r>
        <w:rPr>
          <w:rFonts w:ascii="Arial" w:cs="Arial" w:eastAsia="Arial" w:hAnsi="Arial"/>
          <w:sz w:val="17"/>
          <w:szCs w:val="17"/>
          <w:u w:val="single" w:color="auto"/>
          <w:color w:val="auto"/>
        </w:rPr>
        <w:t>First Amendment</w:t>
      </w:r>
      <w:r>
        <w:rPr>
          <w:rFonts w:ascii="Arial" w:cs="Arial" w:eastAsia="Arial" w:hAnsi="Arial"/>
          <w:sz w:val="17"/>
          <w:szCs w:val="17"/>
          <w:color w:val="auto"/>
        </w:rPr>
        <w:t>”), dated as of May 13, 2015 is among CIVEO CANADIAN HOLDINGS ULC, an unlimited liability company organized under the laws of the Province of British Columbia (to be converted to a corporation organized under the laws of the Province of British Columbia and renamed Civeo Corporation on or about the First Amendment Effective Date (the “</w:t>
      </w:r>
      <w:r>
        <w:rPr>
          <w:rFonts w:ascii="Arial" w:cs="Arial" w:eastAsia="Arial" w:hAnsi="Arial"/>
          <w:sz w:val="17"/>
          <w:szCs w:val="17"/>
          <w:u w:val="single" w:color="auto"/>
          <w:color w:val="auto"/>
        </w:rPr>
        <w:t>Parent Borrower</w:t>
      </w:r>
      <w:r>
        <w:rPr>
          <w:rFonts w:ascii="Arial" w:cs="Arial" w:eastAsia="Arial" w:hAnsi="Arial"/>
          <w:sz w:val="17"/>
          <w:szCs w:val="17"/>
          <w:color w:val="auto"/>
        </w:rPr>
        <w:t>”), CIVEO CORPORATION, a Delaware corporation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CIVEO CANADA INC., a corporation amalgamated under the laws of the Province of Alberta (the “</w:t>
      </w:r>
      <w:r>
        <w:rPr>
          <w:rFonts w:ascii="Arial" w:cs="Arial" w:eastAsia="Arial" w:hAnsi="Arial"/>
          <w:sz w:val="17"/>
          <w:szCs w:val="17"/>
          <w:u w:val="single" w:color="auto"/>
          <w:color w:val="auto"/>
        </w:rPr>
        <w:t>Canadian Parent</w:t>
      </w:r>
      <w:r>
        <w:rPr>
          <w:rFonts w:ascii="Arial" w:cs="Arial" w:eastAsia="Arial" w:hAnsi="Arial"/>
          <w:sz w:val="17"/>
          <w:szCs w:val="17"/>
          <w:color w:val="auto"/>
        </w:rPr>
        <w:t>”), CIVEO PREMIUM CAMP SERVICES LTD., a corporation amalgamated under the laws of the Province of Alberta (“</w:t>
      </w:r>
      <w:r>
        <w:rPr>
          <w:rFonts w:ascii="Arial" w:cs="Arial" w:eastAsia="Arial" w:hAnsi="Arial"/>
          <w:sz w:val="17"/>
          <w:szCs w:val="17"/>
          <w:u w:val="single" w:color="auto"/>
          <w:color w:val="auto"/>
        </w:rPr>
        <w:t>Civeo Premium</w:t>
      </w:r>
      <w:r>
        <w:rPr>
          <w:rFonts w:ascii="Arial" w:cs="Arial" w:eastAsia="Arial" w:hAnsi="Arial"/>
          <w:sz w:val="17"/>
          <w:szCs w:val="17"/>
          <w:color w:val="auto"/>
        </w:rPr>
        <w:t>” and, together with the Canadian Parent, the “</w:t>
      </w:r>
      <w:r>
        <w:rPr>
          <w:rFonts w:ascii="Arial" w:cs="Arial" w:eastAsia="Arial" w:hAnsi="Arial"/>
          <w:sz w:val="17"/>
          <w:szCs w:val="17"/>
          <w:u w:val="single" w:color="auto"/>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u w:val="single" w:color="auto"/>
          <w:color w:val="auto"/>
        </w:rPr>
        <w:t>Australian Borrower</w:t>
      </w:r>
      <w:r>
        <w:rPr>
          <w:rFonts w:ascii="Arial" w:cs="Arial" w:eastAsia="Arial" w:hAnsi="Arial"/>
          <w:sz w:val="17"/>
          <w:szCs w:val="17"/>
          <w:color w:val="auto"/>
        </w:rPr>
        <w:t>” and, together with the U.S. Borrower and the Canadian Borrowers,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the Existing Borrowers, together with the Parent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party hereto (the “</w:t>
      </w:r>
      <w:r>
        <w:rPr>
          <w:rFonts w:ascii="Arial" w:cs="Arial" w:eastAsia="Arial" w:hAnsi="Arial"/>
          <w:sz w:val="17"/>
          <w:szCs w:val="17"/>
          <w:u w:val="single" w:color="auto"/>
          <w:color w:val="auto"/>
        </w:rPr>
        <w:t>Lenders</w:t>
      </w:r>
      <w:r>
        <w:rPr>
          <w:rFonts w:ascii="Arial" w:cs="Arial" w:eastAsia="Arial" w:hAnsi="Arial"/>
          <w:sz w:val="17"/>
          <w:szCs w:val="17"/>
          <w:color w:val="auto"/>
        </w:rPr>
        <w:t>”), the Issuing Banks, the Swing Line Lenders, the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9" w:lineRule="exact"/>
        <w:rPr>
          <w:sz w:val="20"/>
          <w:szCs w:val="20"/>
          <w:color w:val="auto"/>
        </w:rPr>
      </w:pPr>
    </w:p>
    <w:p>
      <w:pPr>
        <w:jc w:val="both"/>
        <w:ind w:firstLine="656"/>
        <w:spacing w:after="0" w:line="264" w:lineRule="auto"/>
        <w:tabs>
          <w:tab w:leader="none" w:pos="10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Existing Borrowers, the Agents and the Lenders are parties to that certain Syndicated Facility Agreement, dated as of May 28, 2014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as amended by this First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pursuant to which the Lenders have made certain loans to and other extensions of credit on behalf of the Existing Borrowers.</w:t>
      </w:r>
    </w:p>
    <w:p>
      <w:pPr>
        <w:spacing w:after="0" w:line="181" w:lineRule="exact"/>
        <w:rPr>
          <w:rFonts w:ascii="Arial" w:cs="Arial" w:eastAsia="Arial" w:hAnsi="Arial"/>
          <w:sz w:val="18"/>
          <w:szCs w:val="18"/>
          <w:color w:val="auto"/>
        </w:rPr>
      </w:pPr>
    </w:p>
    <w:p>
      <w:pPr>
        <w:ind w:right="20" w:firstLine="656"/>
        <w:spacing w:after="0" w:line="277" w:lineRule="auto"/>
        <w:tabs>
          <w:tab w:leader="none" w:pos="1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Existing Borrowers, the Agents, the Issuing Banks, the Swing Line Lenders and the Lenders desire to amend certain provisions of the Credit Agreement.</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Parent Borrower desires to join the Amended Credit Agreement as a Borrower thereunder and the Agents, the Issuing Banks, the Swing Line Lenders and the Lenders desire to consent to such joinder, and as of the First Amendment Effective Date, the Parent Borrower has requested the Canadian Term Lenders to extend credit in the form of Canadian Term Loans to the Parent Borrower in the amount of the Canadian Dollar Equivalent of U.S.$325,000,000 and the Canadian Tranche B Lenders to extend credit in the form of Canadian Tranche B Revolving Credit Loans to the Parent Borrower in an aggregate principal amount at any time outstanding not in excess of U.S.$125,000,000 (or the Canadian Dollar Equivalent thereof).</w:t>
      </w:r>
    </w:p>
    <w:p>
      <w:pPr>
        <w:spacing w:after="0" w:line="158" w:lineRule="exact"/>
        <w:rPr>
          <w:rFonts w:ascii="Arial" w:cs="Arial" w:eastAsia="Arial" w:hAnsi="Arial"/>
          <w:sz w:val="16"/>
          <w:szCs w:val="16"/>
          <w:color w:val="auto"/>
        </w:rPr>
      </w:pPr>
    </w:p>
    <w:p>
      <w:pPr>
        <w:ind w:firstLine="656"/>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Borrowers have requested and the Agents, the Issuing Banks, the Swing Line Lenders and the requisite Lenders agree to consent to certain transactions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Each capitalized term used herein but not otherwise defined herein has the meaning given such term in the Amended Credit Agreement. Unless otherwise indicated, all article and section references in this First Amendment refer to articles and sections of the Amended Credit Agreement.</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Amendment to Credit Agreement</w:t>
      </w:r>
      <w:r>
        <w:rPr>
          <w:rFonts w:ascii="Arial" w:cs="Arial" w:eastAsia="Arial" w:hAnsi="Arial"/>
          <w:sz w:val="16"/>
          <w:szCs w:val="16"/>
          <w:color w:val="auto"/>
        </w:rPr>
        <w:t xml:space="preserve">. Effective as of the First Amendment Effective Date, the Credit Agreement is hereby amended to delete the stricken text (indicated textually in the same manner as the following example: </w:t>
      </w:r>
      <w:r>
        <w:rPr>
          <w:rFonts w:ascii="Arial" w:cs="Arial" w:eastAsia="Arial" w:hAnsi="Arial"/>
          <w:sz w:val="16"/>
          <w:szCs w:val="16"/>
          <w:color w:val="auto"/>
          <w:strike w:val="1"/>
        </w:rPr>
        <w:t>stricken text</w:t>
      </w:r>
      <w:r>
        <w:rPr>
          <w:rFonts w:ascii="Arial" w:cs="Arial" w:eastAsia="Arial" w:hAnsi="Arial"/>
          <w:sz w:val="16"/>
          <w:szCs w:val="16"/>
          <w:color w:val="auto"/>
        </w:rPr>
        <w:t xml:space="preserve">) and to add the double-underlined text (indicated textually in the same manner as the following example: </w:t>
      </w:r>
      <w:r>
        <w:rPr>
          <w:rFonts w:ascii="Arial" w:cs="Arial" w:eastAsia="Arial" w:hAnsi="Arial"/>
          <w:sz w:val="16"/>
          <w:szCs w:val="16"/>
          <w:u w:val="single" w:color="auto"/>
          <w:color w:val="auto"/>
        </w:rPr>
        <w:t>double-underlined text</w:t>
      </w:r>
      <w:r>
        <w:rPr>
          <w:rFonts w:ascii="Arial" w:cs="Arial" w:eastAsia="Arial" w:hAnsi="Arial"/>
          <w:sz w:val="16"/>
          <w:szCs w:val="16"/>
          <w:color w:val="auto"/>
        </w:rPr>
        <w:t>) as set forth in the pages of the conformed Credit Agreement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-59690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Amendment to Exhibits</w:t>
      </w:r>
      <w:r>
        <w:rPr>
          <w:rFonts w:ascii="Arial" w:cs="Arial" w:eastAsia="Arial" w:hAnsi="Arial"/>
          <w:sz w:val="18"/>
          <w:szCs w:val="18"/>
          <w:color w:val="auto"/>
        </w:rPr>
        <w:t>. Effective as of the First Amendment Effective Date, the Exhibits to the Credit Agreement are hereby amended by replacing Exhibit A, Exhibit B-2, Exhibit B-4, Exhibit B-5 and Exhibit G with the Exhibit A, Exhibit B-2, Exhibit B-4, Exhibit B-5 and Exhibit G in Annex I hereto.</w:t>
      </w:r>
    </w:p>
    <w:p>
      <w:pPr>
        <w:spacing w:after="0" w:line="18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Amendment to Schedules</w:t>
      </w:r>
      <w:r>
        <w:rPr>
          <w:rFonts w:ascii="Arial" w:cs="Arial" w:eastAsia="Arial" w:hAnsi="Arial"/>
          <w:sz w:val="16"/>
          <w:szCs w:val="16"/>
          <w:color w:val="auto"/>
        </w:rPr>
        <w:t>. Effective as of the First Amendment Effective Date, the Schedules to the Credit Agreement are hereby amended by</w:t>
      </w:r>
    </w:p>
    <w:p>
      <w:pPr>
        <w:spacing w:after="0" w:line="23" w:lineRule="exact"/>
        <w:rPr>
          <w:sz w:val="20"/>
          <w:szCs w:val="20"/>
          <w:color w:val="auto"/>
        </w:rPr>
      </w:pPr>
    </w:p>
    <w:p>
      <w:pPr>
        <w:jc w:val="both"/>
        <w:ind w:firstLine="8"/>
        <w:spacing w:after="0" w:line="253" w:lineRule="auto"/>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replacing Schedule 2.01 and Schedule 2.04 with the Schedule 2.01 and Schedule 2.04 in Annex II hereto, (b) adding Schedule 2.21 in Annex II hereto as a new Schedule 2.21, and (c) replacing Schedule 1.01(b), Schedule 1.01(c), Schedule 1.01(d), Schedule 3.08, Schedule 3.09, Schedule 3.16(a), Schedule 3.16(b), Schedule 3.17, 6.01 and Schedule 6.04 with the corresponding Schedules attached to the confidential disclosure letter (the “</w:t>
      </w:r>
      <w:r>
        <w:rPr>
          <w:rFonts w:ascii="Arial" w:cs="Arial" w:eastAsia="Arial" w:hAnsi="Arial"/>
          <w:sz w:val="18"/>
          <w:szCs w:val="18"/>
          <w:u w:val="single" w:color="auto"/>
          <w:color w:val="auto"/>
        </w:rPr>
        <w:t>Confidential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 delivered prior to the First Amendment Effective Date by the Parent Borrower to the Administrative Agent, in each case, in form and substance reasonably acceptable to the Administrative Agent and the Required Lenders.</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Addition of Parent Borrower as a Borrower under the Amended Credit Agreement</w:t>
      </w:r>
      <w:r>
        <w:rPr>
          <w:rFonts w:ascii="Arial" w:cs="Arial" w:eastAsia="Arial" w:hAnsi="Arial"/>
          <w:sz w:val="16"/>
          <w:szCs w:val="16"/>
          <w:color w:val="auto"/>
        </w:rPr>
        <w:t>. The Parent Borrower hereby agrees to be bound by all of the terms, conditions and provisions of the Amended Credit Agreement and the other Loan Documents to which is becomes a party (and in furtherance thereof, the Parent Borrower ratifies and confirms, as to itself, all such terms, conditions and provisions) and, effective on the First Amendment Effective Date, becomes a party to the Amended Credit Agreement as a Borrower with the same effect as if it were an original signatory to the Amended Credit Agreement. From and after the First Amendment Effective Date, the Parent Borrower shall have the rights and obligations of a Borrower under the Amended Credit Agreement and under the other Loan Documents and shall be bound by the terms, conditions and provisions thereof.</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Reduction of U.S. Revolving Commitments and Partial Repayment of U.S. Term Loans</w:t>
      </w:r>
      <w:r>
        <w:rPr>
          <w:rFonts w:ascii="Arial" w:cs="Arial" w:eastAsia="Arial" w:hAnsi="Arial"/>
          <w:sz w:val="18"/>
          <w:szCs w:val="18"/>
          <w:color w:val="auto"/>
        </w:rPr>
        <w:t>. The Borrowers agree that (a) on the First Amendment Effective Date, (i) the U.S. Revolving Loans will be repaid such that the aggregate principal amount of U.S. Revolving Credit Loans does not exceed U.S.$50,000,000, (ii) the U.S. Term Loans will be prepaid in the aggregate principal amount of $725,000,000 and (iii) the U.S. Revolving Commitment will be permanently reduced to an aggregate amount of $50,000,000, and (b) on the tenth Business Day after the First Amendment Effective Date, the aggregate principal amount of all Loans outstanding on such date will not exceed U.S.$525,000,000. The failure to comply with this Section 4 shall constitute an immediate Event of Default under the Credit Agreement.</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648"/>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Reallocation of Commitments</w:t>
      </w:r>
      <w:r>
        <w:rPr>
          <w:rFonts w:ascii="Arial" w:cs="Arial" w:eastAsia="Arial" w:hAnsi="Arial"/>
          <w:sz w:val="16"/>
          <w:szCs w:val="16"/>
          <w:color w:val="auto"/>
        </w:rPr>
        <w:t>. Effective as of the First Amendment Effective Date, the U.S. Revolving Lenders and the U.S. Term Lenders have agreed among themselves, in consultation with the U.S. Borrower, to reallocate their respective U.S. Revolving Commitments and U.S. Term Loans such that following the prepayments and reductions of commitments referred to in Section 4, the U.S. Revolving Lenders and the U.S. Term Lenders will hold U.S. Revolving Commitments and U.S. Term Loans in the amount set forth opposite such Lender’s name on Schedule 2.01 under the caption “U.S. Revolving Commitment” or “U.S. Term Loans,” respectively. The Administrative Agent and the U.S. Borrower hereby consent to such reallocations and the U.S. Lenders’ assignments of their U.S. Revolving Commitments and U.S. Term Loans. With respect to such reallocation, each U.S. Lender shall be deemed to have acquired the U.S. Revolving Commitment and/or U.S. Term Loans allocated to it from each of the other U.S. Lenders pursuant to the terms of the Assignment and Assumption attached as Exhibit A to the Credit Agreement as if each applicable U.S. Lender as assignee and each applicable U.S. Lender as assignor had executed an Assignment and Assumption with respect to such allocation. In connection with this assignment and for purposes of this assignment only, (a) the Administrative Agent waives the processing and recordation fee under Section 9.04(b)(iv) of the Credit Agreement and (b) the Administrative Agent, the Borrowers, and the Lenders party hereto waive the last sentence of the penultimate paragraph of Section 9.04(b) of the Credit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Consent</w:t>
      </w:r>
      <w:r>
        <w:rPr>
          <w:rFonts w:ascii="Arial" w:cs="Arial" w:eastAsia="Arial" w:hAnsi="Arial"/>
          <w:sz w:val="18"/>
          <w:szCs w:val="18"/>
          <w:color w:val="auto"/>
        </w:rPr>
        <w:t>. The Required Lenders hereby (a) acknowledge and consent to the terms of the Redomicile Transaction (as defined in the Form S-4 (as defined below)) pursuant to the Form S-4 Registration Statement of Civeo Corporation as filed with the Securities and Exchange Commission on December 31, 2014 (the “</w:t>
      </w:r>
      <w:r>
        <w:rPr>
          <w:rFonts w:ascii="Arial" w:cs="Arial" w:eastAsia="Arial" w:hAnsi="Arial"/>
          <w:sz w:val="18"/>
          <w:szCs w:val="18"/>
          <w:u w:val="single" w:color="auto"/>
          <w:color w:val="auto"/>
        </w:rPr>
        <w:t>Form S-4</w:t>
      </w:r>
      <w:r>
        <w:rPr>
          <w:rFonts w:ascii="Arial" w:cs="Arial" w:eastAsia="Arial" w:hAnsi="Arial"/>
          <w:sz w:val="18"/>
          <w:szCs w:val="18"/>
          <w:color w:val="auto"/>
        </w:rPr>
        <w:t>”) without giving effect to any amendments thereto that would be materially adverse to the interests of the Lenders unless the Administrative Agent otherwise expressly consents and (b) waive any Event of Default pursuant to Section 7.01(m) occurring as a result of the Redomicile Transaction.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Consent Fees; Upfront Fees</w:t>
      </w:r>
      <w:r>
        <w:rPr>
          <w:rFonts w:ascii="Arial" w:cs="Arial" w:eastAsia="Arial" w:hAnsi="Arial"/>
          <w:sz w:val="16"/>
          <w:szCs w:val="16"/>
          <w:color w:val="auto"/>
        </w:rPr>
        <w:t>. The Borrowers agree to pay to the Administrative Agent (a) for the account of each Lender that (i) notifies the Administrative Agent (or its counsel) that it has consented to this First Amendment and (ii) delivers evidence satisfactory to the Administrative Agent that it has obtained all credit and other internal approvals necessary to enter into this First Amendment, in each case at or prior to 5:00 p.m., New York City time, on May 1, 2015, a consent fee (the “</w:t>
      </w:r>
      <w:r>
        <w:rPr>
          <w:rFonts w:ascii="Arial" w:cs="Arial" w:eastAsia="Arial" w:hAnsi="Arial"/>
          <w:sz w:val="16"/>
          <w:szCs w:val="16"/>
          <w:u w:val="single" w:color="auto"/>
          <w:color w:val="auto"/>
        </w:rPr>
        <w:t>Consent Fees</w:t>
      </w:r>
      <w:r>
        <w:rPr>
          <w:rFonts w:ascii="Arial" w:cs="Arial" w:eastAsia="Arial" w:hAnsi="Arial"/>
          <w:sz w:val="16"/>
          <w:szCs w:val="16"/>
          <w:color w:val="auto"/>
        </w:rPr>
        <w:t>”) in an amount equal to 0.125% of the aggregate principal amount of the outstanding U.S. Term Loans, the U.S. Revolving Commitment, the Canadian Tranche A Revolving Commitment and the Australian Revolving Commitment of such Lender as of the First Amendment Effective Date, after giving effect to the Amended Credit Agreement and (b) for the account of each Lender that has a Canadian Term Commitment or a Canadian Tranche B Revolving Commitment as of the First Amendment Effective Date, an upfront fee (the “</w:t>
      </w:r>
      <w:r>
        <w:rPr>
          <w:rFonts w:ascii="Arial" w:cs="Arial" w:eastAsia="Arial" w:hAnsi="Arial"/>
          <w:sz w:val="16"/>
          <w:szCs w:val="16"/>
          <w:u w:val="single" w:color="auto"/>
          <w:color w:val="auto"/>
        </w:rPr>
        <w:t>Upfront Fees</w:t>
      </w:r>
      <w:r>
        <w:rPr>
          <w:rFonts w:ascii="Arial" w:cs="Arial" w:eastAsia="Arial" w:hAnsi="Arial"/>
          <w:sz w:val="16"/>
          <w:szCs w:val="16"/>
          <w:color w:val="auto"/>
        </w:rPr>
        <w:t>”) in an amount equal to 0.50% of the aggregate principal amount of the Canadian Term Commitment and the Canadian Tranche B Revolving Commitment of such Lender; provided that the Borrowers shall have no obligation to pay any such Consent Fees or Upfront Fees if this First Amendment does not become effective in accordance with Section 8 below. The Consent Fees and the Upfront Fees shall be payable in immediately available funds on the First Amendment Effective Date, shall not be subject to setoff or counterclaim and shall be in addition to any other amounts referred to in Section 8 below.</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First Amendment shall not be deemed to be effective until the date on which each of the following conditions is satisfied (or waived in accordance with Section 9.08 of the Credit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8.1 The Administrative Agent shall have received from the requisite Lenders, the Swing Line Lenders, the Issuing Banks, the other Agents, the Borrowers and the Guarantors, counterparts (in such number as may be requested by the Administrative Agent) of this First Amendment signed on behalf of such Persons.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8.2 The Administrative Agents and the Lead Arranger shall have received all Fees and other amounts due and payable on or prior to the First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8.3 The Applicable Administrative Agent shall have received a notice of each Borrowing to be made on the First Amendment Effective Date as required by Section 2.03 of the Amended Credit Agreement.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8.4 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First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No Default or Event of Default shall have occurred and be continuing, after giving effect to the terms of this First Amendment.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The shareholders of the U.S. Borrower shall have approved the Redomicile Transaction on or before May 15, 2015.</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The Administrative Agent shall have received, on behalf of itself, the other Agents, the Lenders and the Issuing Banks: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Note requested by a Lender pursuant to Section 2.04 of the Amended Credit Agreement payable to such requesting Lender;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2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favorable written opinion of each of (1) Simpson Thacher &amp; Bartlett LLP, U.S. counsel for the Borrowers, (2) Dentons Canada LLP, Canadian counsel to the Canadian Borrowers and the Parent Borrower, and (3) Arnold Bloch Leibler, Australian counsel to the Australian Secured Parties, in each case (A) dated on or about the First Amendment Effective Date, (B) addressed to the Agents, the Issuing Banks and the Lenders, and (C) covering such matters relating to the Loan Documents in respect of the jurisdiction of the relevant counsel as the Administrative Agent shall reasonably request, and the Borrowers hereby request such counsel to deliver such opinions;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07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as to the good standing or tax status of each Borrower and each Guarantor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78"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certificate of the Secretary, Assistant Secretary or, in respect of an Australian Loan Party, director or company secretary (or such other corporate officer satisfactory to the Administrative Agent) of each Borrower and each Guarantor dated as of the First Amendment Effective Date and certifying (1) that attached thereto is a true and complete copy of the organizational documents of such Borrower or Guarantor as in effect on the First Amendment Effective Date and at all times since a date prior to the date of the resolutions described in clause (2) below, (2) that (A) in the case of a Borrower or Guarantor other than an Australian Loan Party, attached thereto is a true and complete copy of, or (B) in the case of an Australian Loan Party, attached there is an extract of, resolutions duly adopted by the Board of Directors (or persons performing similar functions) of such Borrower or Guarantor authorizing the Transactions to be entered into by such Borrower or Guarantor and the execution, delivery and performance of the Loan Documents to which such person is a party and, in the case of the Borrowers, the borrowings under the Amended Credit Agreement, and that such resolutions have not been modified, rescinded or amended and are in full force and effect, and (3) as to the incumbency and specimen signature of each officer executing any Loan Document or any other document delivered in connection herewith on behalf of such Borrower or Guarantor;</w:t>
      </w:r>
    </w:p>
    <w:p>
      <w:pPr>
        <w:spacing w:after="0" w:line="177" w:lineRule="exact"/>
        <w:rPr>
          <w:rFonts w:ascii="Arial" w:cs="Arial" w:eastAsia="Arial" w:hAnsi="Arial"/>
          <w:sz w:val="17"/>
          <w:szCs w:val="17"/>
          <w:color w:val="auto"/>
        </w:rPr>
      </w:pPr>
    </w:p>
    <w:p>
      <w:pPr>
        <w:jc w:val="both"/>
        <w:ind w:firstLine="656"/>
        <w:spacing w:after="0" w:line="272" w:lineRule="auto"/>
        <w:tabs>
          <w:tab w:leader="none" w:pos="1127"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certificate, dated the First Amendment Effective Date and signed by a Financial Officer of the Parent Borrower, certifying (1) compliance with the conditions precedent set forth in Section 4.01(b) and (c) of the Amended Credit Agreement, and (2) based on the Parent Borrower’s projections, in each case after giving pro forma effect (using the criteria therefor described in Section 6.04(i) of the Amended Credit Agreement) to the Borrowings contemplated under the Amended Credit Agreement on the First Amendment Effective Date, the Transactions and the other transactions contemplated thereby, that (A) the Parent Borrower and its subsidiaries, taken as a whole, will be Solvent on the First Amendment Effective Date and (B) the Parent Borrower and its subsidiaries will be in pro forma compliance (using the criteria therefor described in Section 6.04(i) of the Amended Credit Agreement) with Sections 6.10 and 6.11 of the Amended Credit Agreement as of the First Amendment Effective Date;</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20" w:firstLine="656"/>
        <w:spacing w:after="0" w:line="308" w:lineRule="auto"/>
        <w:tabs>
          <w:tab w:leader="none" w:pos="1053"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amendment to the CAM Exchange Agreement dated as of the First Amendment Effective Date, in form and substance reasonably acceptable to the Administrative Agents (the “</w:t>
      </w:r>
      <w:r>
        <w:rPr>
          <w:rFonts w:ascii="Arial" w:cs="Arial" w:eastAsia="Arial" w:hAnsi="Arial"/>
          <w:sz w:val="17"/>
          <w:szCs w:val="17"/>
          <w:u w:val="single" w:color="auto"/>
          <w:color w:val="auto"/>
        </w:rPr>
        <w:t>First Amendment to CAM Exchange Agreement</w:t>
      </w:r>
      <w:r>
        <w:rPr>
          <w:rFonts w:ascii="Arial" w:cs="Arial" w:eastAsia="Arial" w:hAnsi="Arial"/>
          <w:sz w:val="17"/>
          <w:szCs w:val="17"/>
          <w:color w:val="auto"/>
        </w:rPr>
        <w:t>”), duly executed by the Administrative Agents;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083" w:val="left"/>
        </w:tabs>
        <w:numPr>
          <w:ilvl w:val="0"/>
          <w:numId w:val="8"/>
        </w:numPr>
        <w:rPr>
          <w:rFonts w:ascii="Arial" w:cs="Arial" w:eastAsia="Arial" w:hAnsi="Arial"/>
          <w:sz w:val="18"/>
          <w:szCs w:val="18"/>
          <w:color w:val="auto"/>
        </w:rPr>
      </w:pPr>
      <w:r>
        <w:rPr>
          <w:rFonts w:ascii="Arial" w:cs="Arial" w:eastAsia="Arial" w:hAnsi="Arial"/>
          <w:sz w:val="18"/>
          <w:szCs w:val="18"/>
          <w:color w:val="auto"/>
        </w:rPr>
        <w:t>(1) an omnibus amendment to the U.S. Guarantee Agreement, U.S. Pledge Agreement and the U.S. Security Agreement, in form and substance reasonably acceptable to the Administrative Agents and the Borrowers, duly executed by the parties thereto, (2) an omnibus amendment to the Canadian Guarantee Agreement, the Canadian Pledge Agreement and the Canadian Security Agreement dated as of the First Amendment Effective Date, in form and substance reasonably acceptable to the Administrative Agents and the Borrowers, duly executed by the parties thereto, and (3) an omnibus amendment to the Australian Guarantee Agreement, the Australian Security Deed, the Australian Security Trust Deed and the Australian Share Security Deed dated as of the First Amendment Effective Date, in form and substance reasonably acceptable to the Administrative Agents and the Borrowers, duly executed by the parties thereto;</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11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Parent Borrower Pledge Agreement, in form and substance reasonably acceptable to the Administrative Agents and the Borrowers, dated as of the First Amendment Effective Date, duly executed by the Parent Borrower and each intermediary entity between the Parent Borrower and the U.S. Borrower, under which the Parent Borrower and such entities will pledge all of the outstanding Equity Interests owned by them, including, without limitation, all of the outstanding Equity Interests of the U.S. Borrower, in each case, to the Canadian Collateral Agent for the ratable benefit of the Secured Parties, together with certificates representing such Equity Interests, if any, accompanied by instruments of transfer and stock powers endorsed in blank, which shall be in the actual possession of the Canadian Collateral Agent and, if required, the registration of the applicable financing statements at the applicable personal property registry in Canada necessary to create a valid, legal and perfected first-priority Lien on the Collateral described therein (subject to any Lien expressly permitted by Section 6.02 of the Amended Credit Agreement), and all actions required to perfect the security interests granted pursuant to the Parent Borrower Pledge Agreement have been taken;</w:t>
      </w:r>
    </w:p>
    <w:p>
      <w:pPr>
        <w:spacing w:after="0" w:line="181" w:lineRule="exact"/>
        <w:rPr>
          <w:rFonts w:ascii="Arial" w:cs="Arial" w:eastAsia="Arial" w:hAnsi="Arial"/>
          <w:sz w:val="17"/>
          <w:szCs w:val="17"/>
          <w:color w:val="auto"/>
        </w:rPr>
      </w:pPr>
    </w:p>
    <w:p>
      <w:pPr>
        <w:jc w:val="both"/>
        <w:ind w:firstLine="656"/>
        <w:spacing w:after="0" w:line="273" w:lineRule="auto"/>
        <w:tabs>
          <w:tab w:leader="none" w:pos="1057"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Parent Borrower Security Agreement, in form and substance reasonably acceptable to the Administrative Agents and the Borrowers, dated as of the First Amendment Effective Date duly executed by the Parent Borrower and each intermediary entity between the Parent Borrower and the U.S. Borrower, and each document (including each financing statement) required by law or reasonably requested by the Canadian Collateral Agent to be filed, registered or in order to create in favor of the Canadian Collateral Agent for the benefit of the Secured Parties a valid, legal and perfected first-priority Lien on the Collateral (subject to any Lien expressly permitted by Section 6.02 of the Amended Credit Agreement) described in such agreement, and all actions required to perfect the security interests granted pursuant to the Parent Borrower Security Agreement have been taken;</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07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Australian general security deed, in form and substance reasonably acceptable to the Administrative Agents and the Borrowers, dated as of the First Amendment Effective Date, duly executed by the Affiliate Australian Land Company, pursuant to which the Affiliate Australian Land Company will provide security with respect to the Obligations of the Australian Loan Parties and the Canadian Loan Parties;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656"/>
        <w:spacing w:after="0" w:line="272" w:lineRule="auto"/>
        <w:tabs>
          <w:tab w:leader="none" w:pos="111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results of (i) a search of the Uniform Commercial Code filings or (ii) searches of filings at the applicable provincial or territorial personal property security registries in Canada, as applicable (made with respect to each Borrower and Guarantor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of the Amended Credit Agreement or have been or will be contemporaneously released or terminated on the First Amendment Effective Date;</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7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Parent Borrower Guarantee Agreement, in form and substance reasonably acceptable to the Administrative Agents and the Borrowers, dated as of the First Amendment Effective Date, duly executed by the Parent Borrower and each intermediary entity between the Parent Borrower and the U.S. Borrower;</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147" w:val="left"/>
        </w:tabs>
        <w:numPr>
          <w:ilvl w:val="1"/>
          <w:numId w:val="9"/>
        </w:numPr>
        <w:rPr>
          <w:rFonts w:ascii="Arial" w:cs="Arial" w:eastAsia="Arial" w:hAnsi="Arial"/>
          <w:sz w:val="17"/>
          <w:szCs w:val="17"/>
          <w:color w:val="auto"/>
        </w:rPr>
      </w:pPr>
      <w:r>
        <w:rPr>
          <w:rFonts w:ascii="Arial" w:cs="Arial" w:eastAsia="Arial" w:hAnsi="Arial"/>
          <w:sz w:val="17"/>
          <w:szCs w:val="17"/>
          <w:color w:val="auto"/>
        </w:rPr>
        <w:t>a deed of guarantee and indemnity, in form and substance reasonably acceptable to the Administrative Agents and the Borrowers, dated as of the First Amendment Effective Date, duly executed by the Affiliate Australian Land Company, pursuant to which the Affiliate Australian Land Party will provide a guarantee with respect to the Obligations of the Australian Loan Parties and the Canadian Loan Parties;</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with respect to the Parent Borrower, a copy of, or a certificate as to coverage under, the insurance policies required by Section 5.02;</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1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documentation and other information that the Administrative Agents, the Lead Arranger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First Amendment Effective Date;</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124" w:val="left"/>
        </w:tabs>
        <w:numPr>
          <w:ilvl w:val="1"/>
          <w:numId w:val="9"/>
        </w:numPr>
        <w:rPr>
          <w:rFonts w:ascii="Arial" w:cs="Arial" w:eastAsia="Arial" w:hAnsi="Arial"/>
          <w:sz w:val="16"/>
          <w:szCs w:val="16"/>
          <w:color w:val="auto"/>
        </w:rPr>
      </w:pPr>
      <w:r>
        <w:rPr>
          <w:rFonts w:ascii="Arial" w:cs="Arial" w:eastAsia="Arial" w:hAnsi="Arial"/>
          <w:sz w:val="16"/>
          <w:szCs w:val="16"/>
          <w:color w:val="auto"/>
        </w:rPr>
        <w:t>a certificate, dated the First Amendment Effective Date and signed by a Financial Officer of the Parent Borrower, certifying (1) true, correct and complete copies of all of the Inversion Documents and any financial statements required to be included in the Form 10, together with all amendments, supplements, waivers or other modifications thereto and (2) that (A) the SEC shall have declared effective the Form S-4 under the Securities Exchange Act of 1934, no stop order suspending the effectiveness of the Form S-4 shall be in effect and no proceedings for such purpose shall be pending before or threatened by the SEC, (B) the Merger Agreement (as defined in the Form S-4) has been adopted by the requisite vote of shareholders, (C) the Parent Borrower has been converted from an unlimited liability company to a limited company formed under the laws of British Columbia, Canada, (D) the Civeo Canada Common Shares (as defined in the Form S-4) to be issued pursuant to the Redomicile Transaction are authorized for listing on the NYSE, subject to official notice of issuance, (E) none of the parties to the Merger Agreement is subject to any decree, order or injunction that prohibits the consummation of the Redomicile Transaction, (F) any consents of any third party required to consummate the Redomicile Transaction have been obtained and are in full force and effect, and</w:t>
      </w:r>
    </w:p>
    <w:p>
      <w:pPr>
        <w:spacing w:after="0" w:line="6" w:lineRule="exact"/>
        <w:rPr>
          <w:rFonts w:ascii="Arial" w:cs="Arial" w:eastAsia="Arial" w:hAnsi="Arial"/>
          <w:sz w:val="16"/>
          <w:szCs w:val="16"/>
          <w:color w:val="auto"/>
        </w:rPr>
      </w:pPr>
    </w:p>
    <w:p>
      <w:pPr>
        <w:jc w:val="both"/>
        <w:ind w:firstLine="8"/>
        <w:spacing w:after="0" w:line="255" w:lineRule="auto"/>
        <w:tabs>
          <w:tab w:leader="none" w:pos="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Certificate of Merger (as defined in the Merger Agreement) meeting the requirements of Section 251(c) of the Delaware General Corporation Law has been properly executed and filed in accordance with such section and all other filings or recordings as required by the Delaware General Corporation Law in connection with the Redomicile Transaction have been made;</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56"/>
        <w:spacing w:after="0" w:line="293" w:lineRule="auto"/>
        <w:tabs>
          <w:tab w:leader="none" w:pos="10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evidence satisfactory to the Administrative Agent that the financial assistance shareholder approval process provided for in section 260B of the Australian Corporations Act allowing the Australian Borrower, Australian Holdco and the Australian Subsidiary Guarantors to provide financial assistance by entering into this Amendment and any other Loan Document has been completed (“</w:t>
      </w:r>
      <w:r>
        <w:rPr>
          <w:rFonts w:ascii="Arial" w:cs="Arial" w:eastAsia="Arial" w:hAnsi="Arial"/>
          <w:sz w:val="16"/>
          <w:szCs w:val="16"/>
          <w:u w:val="single" w:color="auto"/>
          <w:color w:val="auto"/>
        </w:rPr>
        <w:t>Whitewash</w:t>
      </w:r>
      <w:r>
        <w:rPr>
          <w:rFonts w:ascii="Arial" w:cs="Arial" w:eastAsia="Arial" w:hAnsi="Arial"/>
          <w:sz w:val="16"/>
          <w:szCs w:val="16"/>
          <w:color w:val="auto"/>
        </w:rPr>
        <w:t>”), including (1) receiving copies of all corporate authorizations, explanatory statements and any other documents, forms or certificates necessary to complete the Whitewash process (all in form and substance reasonably satisfactory to the Administrative Agent) and (2) evidence that all requisite forms have been lodged with the Australian Securities and Investments Commission and the 14 day statutory period referred to in section 260B(6) of the Australian Corporations Act has elapsed; and</w:t>
      </w:r>
    </w:p>
    <w:p>
      <w:pPr>
        <w:spacing w:after="0" w:line="164" w:lineRule="exact"/>
        <w:rPr>
          <w:rFonts w:ascii="Arial" w:cs="Arial" w:eastAsia="Arial" w:hAnsi="Arial"/>
          <w:sz w:val="16"/>
          <w:szCs w:val="16"/>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documents as Administrative Agent or special counsel to Administrative Agent may reasonably request.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The First Amendment Effective Date shall have occurred on or before September 30, 2015.</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Administrative Agent is hereby authorized and directed to declare this First Amendment to be effective when it has received documents confirming or certifying, to the satisfaction of the Administrative Agent, compliance with the conditions set forth in this Section 8 or the waiver of such conditions as permitted in Section 9.08 of the Credit Agreement. Such declaration shall be final, conclusive and binding upon all parties to the Credit Agreement for all purposes.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each Borrower hereby represents and warrants to the Administrative Agent and each of the Lenders as follows:</w:t>
      </w:r>
    </w:p>
    <w:p>
      <w:pPr>
        <w:spacing w:after="0" w:line="170" w:lineRule="exact"/>
        <w:rPr>
          <w:sz w:val="20"/>
          <w:szCs w:val="20"/>
          <w:color w:val="auto"/>
        </w:rPr>
      </w:pPr>
    </w:p>
    <w:p>
      <w:pPr>
        <w:jc w:val="both"/>
        <w:ind w:firstLine="656"/>
        <w:spacing w:after="0" w:line="273" w:lineRule="auto"/>
        <w:tabs>
          <w:tab w:leader="none" w:pos="10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Multi-Jurisdictional Mortgage Statement</w:t>
      </w:r>
      <w:r>
        <w:rPr>
          <w:rFonts w:ascii="Arial" w:cs="Arial" w:eastAsia="Arial" w:hAnsi="Arial"/>
          <w:sz w:val="18"/>
          <w:szCs w:val="18"/>
          <w:color w:val="auto"/>
        </w:rPr>
        <w:t>. Within 90 days of the First Amendment Effective Date, the Australian Borrower shall deliver the following to or at the direction of the Australian Collateral Agent: (1) a multi-jurisdictional mortgage statement signed on behalf of each Australian Loan Party where any of the Collateral the subject of the Australian Security Deed is situated or taken under the Duties Act 1997 (NSW) to be situated in New South Wales, Australia, and (2) cleared funds sufficient to pay any duty payable as determined on the basis of the multi-jurisdictional mortgage statement.</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Confirmation</w:t>
      </w:r>
      <w:r>
        <w:rPr>
          <w:rFonts w:ascii="Arial" w:cs="Arial" w:eastAsia="Arial" w:hAnsi="Arial"/>
          <w:sz w:val="18"/>
          <w:szCs w:val="18"/>
          <w:color w:val="auto"/>
        </w:rPr>
        <w:t>. The provisions of the Credit Agreement, as amended by this First Amendment, are hereby ratified and confirmed by the Borrowers and shall remain in full force and effect following the effectiveness of this First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Ratification and Affirmation; Representations and Warranties</w:t>
      </w:r>
      <w:r>
        <w:rPr>
          <w:rFonts w:ascii="Arial" w:cs="Arial" w:eastAsia="Arial" w:hAnsi="Arial"/>
          <w:sz w:val="16"/>
          <w:szCs w:val="16"/>
          <w:color w:val="auto"/>
        </w:rPr>
        <w:t>. Each of the Borrowers hereby (a) acknowledges the terms of this First Amendment;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 and</w:t>
      </w:r>
    </w:p>
    <w:p>
      <w:pPr>
        <w:jc w:val="both"/>
        <w:ind w:firstLine="8"/>
        <w:spacing w:after="0" w:line="269" w:lineRule="auto"/>
        <w:tabs>
          <w:tab w:leader="none" w:pos="2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and warrants to the Lenders that as of the First Amendment Effective Date, after giving effect to the terms of this First Amendment: (i) all of the representations and warranties contained in each Loan Document to which it is a party are true and correct in all material respects (provided that to the extent any representation and warranty is qualified as to “Material Adverse Effect” or otherwise as to “materiality”, such representation is true and correct in all respects), except to the extent any such representations and warranties are expressly limited to an earlier date, in which case, such representations and warranties shall continue to be true and correct in all material respects (provided that to the extent any representation and warranty is qualified as to “Material Adverse Effect” or otherwise as to “materiality”, such representation is true and correct in all respects) as of such specified earlier date and (ii) no Default or Event of Default has occurred and is continuing.</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Limited Waiver of Certain Notice Requirements</w:t>
      </w:r>
      <w:r>
        <w:rPr>
          <w:rFonts w:ascii="Arial" w:cs="Arial" w:eastAsia="Arial" w:hAnsi="Arial"/>
          <w:sz w:val="18"/>
          <w:szCs w:val="18"/>
          <w:color w:val="auto"/>
        </w:rPr>
        <w:t>. Solely for purposes of the repayment of the U.S. Revolving Credit Loans, the prepayment of the U.S. Term Loans and the permanent reduction of the U.S. Revolving Commitment, in each case, in accordance with Section 8.2, the Lenders party hereto hereby (a) waive the requirement under Section 2.09(c) that the U.S. Borrower provide three Business Days’ prior irrevocable written notice in connection with such permanent reduction of the U.S. Revolving Commitments and (b) waive the requirement under Section 2.11(a) of the Credit Agreement that the U.S. Borrower provide prior written notice as set forth therein in connection with the repayment of the U.S. Revolving Credit Loans and the prepayment of the U.S. Term Loans. The waivers by the Lenders described in this Section 11.3 shall not be construed to be a consent to, or a permanent waiver of, Sections 2.09(c) or 2.11(a) of the Credit Agreement, or any other terms, provisions, covenants, warranties or agreements contained in the Credit Agreement or in any of the other Loan Documents.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Authorization to Enter into First Amendment to CAM Exchange Agreement</w:t>
      </w:r>
      <w:r>
        <w:rPr>
          <w:rFonts w:ascii="Arial" w:cs="Arial" w:eastAsia="Arial" w:hAnsi="Arial"/>
          <w:sz w:val="18"/>
          <w:szCs w:val="18"/>
          <w:color w:val="auto"/>
        </w:rPr>
        <w:t>. Each Lender hereby (a) agrees to the terms of the First Amendment to CAM Exchange Agreement and (b) authorizes and instructs each Collateral Agent to enter into the First Amendment to CAM Exchange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Loan Document</w:t>
      </w:r>
      <w:r>
        <w:rPr>
          <w:rFonts w:ascii="Arial" w:cs="Arial" w:eastAsia="Arial" w:hAnsi="Arial"/>
          <w:sz w:val="18"/>
          <w:szCs w:val="18"/>
          <w:color w:val="auto"/>
        </w:rPr>
        <w:t>. This First Amendment is a “Loan Document” as defined and described in the Credit Agreement and all of the terms and provisions of the Amended Credit Agreement relating to Loan Documents shall apply 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by one or more of the parties hereto in any number of separate counterparts, and all of such counterparts taken together shall be deemed to constitute one and the same instrument. Delivery of this First Amendment by facsimile or electronic transmission shall be effective as delivery of a manually executed counterpart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NO ORAL AGREEMENT</w:t>
      </w:r>
      <w:r>
        <w:rPr>
          <w:rFonts w:ascii="Arial" w:cs="Arial" w:eastAsia="Arial" w:hAnsi="Arial"/>
          <w:sz w:val="18"/>
          <w:szCs w:val="18"/>
          <w:color w:val="auto"/>
        </w:rPr>
        <w:t>. THIS FIRST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CONSTRUED IN ACCORDANCE WITH AND GOVERNED BY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WITNESS WHEREOF, the parties hereto have caused this First Amendment to be duly executed as of the date first written above.</w:t>
      </w:r>
    </w:p>
    <w:p>
      <w:pPr>
        <w:sectPr>
          <w:pgSz w:w="11900" w:h="16838" w:orient="portrait"/>
          <w:cols w:equalWidth="0" w:num="1">
            <w:col w:w="9640"/>
          </w:cols>
          <w:pgMar w:left="900" w:top="85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CANADIAN HOLDINGS ULC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CANADA INC.</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CIVEO PREMIUM CAMP SERVICES LTD.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Jason Hall</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Corporate Controller and Secretary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541655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640"/>
          </w:cols>
          <w:pgMar w:left="900" w:top="854" w:right="1359" w:bottom="1440" w:gutter="0" w:footer="0" w:header="0"/>
          <w:type w:val="continuous"/>
        </w:sectPr>
      </w:pPr>
    </w:p>
    <w:bookmarkStart w:id="16" w:name="page17"/>
    <w:bookmarkEnd w:id="16"/>
    <w:p>
      <w:pPr>
        <w:ind w:left="45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Signature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7" w:name="page18"/>
    <w:bookmarkEnd w:id="17"/>
    <w:p>
      <w:pPr>
        <w:ind w:left="4500"/>
        <w:spacing w:after="0"/>
        <w:rPr>
          <w:sz w:val="20"/>
          <w:szCs w:val="20"/>
          <w:color w:val="auto"/>
        </w:rPr>
      </w:pPr>
      <w:r>
        <w:rPr>
          <w:rFonts w:ascii="Arial" w:cs="Arial" w:eastAsia="Arial" w:hAnsi="Arial"/>
          <w:sz w:val="17"/>
          <w:szCs w:val="17"/>
          <w:color w:val="auto"/>
        </w:rPr>
        <w:t>ROYAL BANK OF CANADA, as Administrative Agent,</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U.S. Collateral Agent, Canadian Administrative Agent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Collateral Agent</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Ann Hurley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8" w:name="page19"/>
    <w:bookmarkEnd w:id="18"/>
    <w:p>
      <w:pPr>
        <w:ind w:left="4500"/>
        <w:spacing w:after="0"/>
        <w:rPr>
          <w:sz w:val="20"/>
          <w:szCs w:val="20"/>
          <w:color w:val="auto"/>
        </w:rPr>
      </w:pPr>
      <w:r>
        <w:rPr>
          <w:rFonts w:ascii="Arial" w:cs="Arial" w:eastAsia="Arial" w:hAnsi="Arial"/>
          <w:sz w:val="17"/>
          <w:szCs w:val="17"/>
          <w:color w:val="auto"/>
        </w:rPr>
        <w:t>RBC EUROPE LIMITED, as Australian Administrative</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Agent, Australian Collateral Agent and an Issuing Lender</w:t>
      </w:r>
    </w:p>
    <w:p>
      <w:pPr>
        <w:spacing w:after="0" w:line="200" w:lineRule="exact"/>
        <w:rPr>
          <w:sz w:val="20"/>
          <w:szCs w:val="20"/>
          <w:color w:val="auto"/>
        </w:rPr>
      </w:pPr>
    </w:p>
    <w:p>
      <w:pPr>
        <w:spacing w:after="0" w:line="250"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Johnson Tse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9" w:name="page20"/>
    <w:bookmarkEnd w:id="19"/>
    <w:p>
      <w:pPr>
        <w:ind w:left="4500"/>
        <w:spacing w:after="0"/>
        <w:rPr>
          <w:sz w:val="20"/>
          <w:szCs w:val="20"/>
          <w:color w:val="auto"/>
        </w:rPr>
      </w:pPr>
      <w:r>
        <w:rPr>
          <w:rFonts w:ascii="Arial" w:cs="Arial" w:eastAsia="Arial" w:hAnsi="Arial"/>
          <w:sz w:val="16"/>
          <w:szCs w:val="16"/>
          <w:color w:val="auto"/>
        </w:rPr>
        <w:t>ROYAL BANK OF CANADA, as a U.S. Lender, the U.S.</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Jay T. Sartain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0" w:name="page21"/>
    <w:bookmarkEnd w:id="20"/>
    <w:p>
      <w:pPr>
        <w:ind w:left="4500"/>
        <w:spacing w:after="0"/>
        <w:rPr>
          <w:sz w:val="20"/>
          <w:szCs w:val="20"/>
          <w:color w:val="auto"/>
        </w:rPr>
      </w:pPr>
      <w:r>
        <w:rPr>
          <w:rFonts w:ascii="Arial" w:cs="Arial" w:eastAsia="Arial" w:hAnsi="Arial"/>
          <w:sz w:val="16"/>
          <w:szCs w:val="16"/>
          <w:color w:val="auto"/>
        </w:rPr>
        <w:t>ROYAL BANK OF CANADA, as a Canadian Lender, the</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Maria E. Hushovd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Name:Maria E. Hushovd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499110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1" w:name="page22"/>
    <w:bookmarkEnd w:id="21"/>
    <w:p>
      <w:pPr>
        <w:ind w:left="4500"/>
        <w:spacing w:after="0"/>
        <w:rPr>
          <w:sz w:val="20"/>
          <w:szCs w:val="20"/>
          <w:color w:val="auto"/>
        </w:rPr>
      </w:pPr>
      <w:r>
        <w:rPr>
          <w:rFonts w:ascii="Arial" w:cs="Arial" w:eastAsia="Arial" w:hAnsi="Arial"/>
          <w:sz w:val="17"/>
          <w:szCs w:val="17"/>
          <w:color w:val="auto"/>
        </w:rPr>
        <w:t>ROYAL BANK OF CANADA, as an Australian Lender and</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Marcus Rayment</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Name:Marcus Rayment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2" w:name="page23"/>
    <w:bookmarkEnd w:id="22"/>
    <w:p>
      <w:pPr>
        <w:ind w:left="4500"/>
        <w:spacing w:after="0"/>
        <w:rPr>
          <w:sz w:val="20"/>
          <w:szCs w:val="20"/>
          <w:color w:val="auto"/>
        </w:rPr>
      </w:pPr>
      <w:r>
        <w:rPr>
          <w:rFonts w:ascii="Arial" w:cs="Arial" w:eastAsia="Arial" w:hAnsi="Arial"/>
          <w:sz w:val="16"/>
          <w:szCs w:val="16"/>
          <w:color w:val="auto"/>
        </w:rPr>
        <w:t>THE BANK OF NOVA SCOTIA, as a Canadian Lender and</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Mark Sparrow</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3" w:name="page24"/>
    <w:bookmarkEnd w:id="23"/>
    <w:p>
      <w:pPr>
        <w:ind w:left="4500"/>
        <w:spacing w:after="0"/>
        <w:rPr>
          <w:sz w:val="20"/>
          <w:szCs w:val="20"/>
          <w:color w:val="auto"/>
        </w:rPr>
      </w:pPr>
      <w:r>
        <w:rPr>
          <w:rFonts w:ascii="Arial" w:cs="Arial" w:eastAsia="Arial" w:hAnsi="Arial"/>
          <w:sz w:val="17"/>
          <w:szCs w:val="17"/>
          <w:color w:val="auto"/>
        </w:rPr>
        <w:t>THE BANK OF NOVA SCOTIA ASIA LIMITED, as an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Govindhasamy Soundararajan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Name:Govindhasamy Soundararajan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 &amp; Head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 w:name="page25"/>
    <w:bookmarkEnd w:id="24"/>
    <w:p>
      <w:pPr>
        <w:ind w:left="45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Whitney Wilson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Name:Whitney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5" w:name="page26"/>
    <w:bookmarkEnd w:id="25"/>
    <w:p>
      <w:pPr>
        <w:ind w:left="4500"/>
        <w:spacing w:after="0"/>
        <w:rPr>
          <w:sz w:val="20"/>
          <w:szCs w:val="20"/>
          <w:color w:val="auto"/>
        </w:rPr>
      </w:pPr>
      <w:r>
        <w:rPr>
          <w:rFonts w:ascii="Arial" w:cs="Arial" w:eastAsia="Arial" w:hAnsi="Arial"/>
          <w:sz w:val="17"/>
          <w:szCs w:val="17"/>
          <w:color w:val="auto"/>
        </w:rPr>
        <w:t>WELLS FARGO BANK N.A., CANADIAN BRANCH, as a</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Lindy Couillard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Name:Lindy Couillard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Wells Fargo Corporate Banking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6" w:name="page27"/>
    <w:bookmarkEnd w:id="26"/>
    <w:p>
      <w:pPr>
        <w:jc w:val="right"/>
        <w:ind w:right="119"/>
        <w:spacing w:after="0"/>
        <w:rPr>
          <w:sz w:val="20"/>
          <w:szCs w:val="20"/>
          <w:color w:val="auto"/>
        </w:rPr>
      </w:pPr>
      <w:r>
        <w:rPr>
          <w:rFonts w:ascii="Arial" w:cs="Arial" w:eastAsia="Arial" w:hAnsi="Arial"/>
          <w:sz w:val="18"/>
          <w:szCs w:val="18"/>
          <w:color w:val="auto"/>
        </w:rPr>
        <w:t>CAPITAL ONE, N.A., as a U.S. Lender and an Issuing Bank</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Don Backer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Name:Don Backer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 w:name="page28"/>
    <w:bookmarkEnd w:id="27"/>
    <w:p>
      <w:pPr>
        <w:ind w:left="4500"/>
        <w:spacing w:after="0"/>
        <w:rPr>
          <w:sz w:val="20"/>
          <w:szCs w:val="20"/>
          <w:color w:val="auto"/>
        </w:rPr>
      </w:pPr>
      <w:r>
        <w:rPr>
          <w:rFonts w:ascii="Arial" w:cs="Arial" w:eastAsia="Arial" w:hAnsi="Arial"/>
          <w:sz w:val="18"/>
          <w:szCs w:val="18"/>
          <w:color w:val="auto"/>
        </w:rPr>
        <w:t>REGIONS BANK,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Joey Powell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Name:Joey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 w:name="page29"/>
    <w:bookmarkEnd w:id="28"/>
    <w:p>
      <w:pPr>
        <w:jc w:val="right"/>
        <w:ind w:right="1359"/>
        <w:spacing w:after="0"/>
        <w:rPr>
          <w:sz w:val="20"/>
          <w:szCs w:val="20"/>
          <w:color w:val="auto"/>
        </w:rPr>
      </w:pPr>
      <w:r>
        <w:rPr>
          <w:rFonts w:ascii="Arial" w:cs="Arial" w:eastAsia="Arial" w:hAnsi="Arial"/>
          <w:sz w:val="18"/>
          <w:szCs w:val="18"/>
          <w:color w:val="auto"/>
        </w:rPr>
        <w:t>HSBC BANK USA, N.A.,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Michael Bustios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Name:Michael Bustios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20556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9" w:name="page30"/>
    <w:bookmarkEnd w:id="29"/>
    <w:p>
      <w:pPr>
        <w:ind w:left="4500"/>
        <w:spacing w:after="0"/>
        <w:rPr>
          <w:sz w:val="20"/>
          <w:szCs w:val="20"/>
          <w:color w:val="auto"/>
        </w:rPr>
      </w:pPr>
      <w:r>
        <w:rPr>
          <w:rFonts w:ascii="Arial" w:cs="Arial" w:eastAsia="Arial" w:hAnsi="Arial"/>
          <w:sz w:val="18"/>
          <w:szCs w:val="18"/>
          <w:color w:val="auto"/>
        </w:rPr>
        <w:t>THE HONG KONG AND SHANGHAI BANKING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CORPORATION LIMITED, SYDNEY BRANCH, as an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Bridget Ann Powell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Name:Bridget Ann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Attorney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0" w:name="page31"/>
    <w:bookmarkEnd w:id="30"/>
    <w:p>
      <w:pPr>
        <w:jc w:val="right"/>
        <w:ind w:right="1019"/>
        <w:spacing w:after="0"/>
        <w:rPr>
          <w:sz w:val="20"/>
          <w:szCs w:val="20"/>
          <w:color w:val="auto"/>
        </w:rPr>
      </w:pPr>
      <w:r>
        <w:rPr>
          <w:rFonts w:ascii="Arial" w:cs="Arial" w:eastAsia="Arial" w:hAnsi="Arial"/>
          <w:sz w:val="18"/>
          <w:szCs w:val="18"/>
          <w:color w:val="auto"/>
        </w:rPr>
        <w:t>HSBC BANK CANADA,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Dave Adamowicz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Name:Dave Adamowicz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AVP, International Corporate Banking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Kam Thind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Name:Kam Thind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County Head of International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1" w:name="page32"/>
    <w:bookmarkEnd w:id="31"/>
    <w:p>
      <w:pPr>
        <w:ind w:left="4500"/>
        <w:spacing w:after="0"/>
        <w:rPr>
          <w:sz w:val="20"/>
          <w:szCs w:val="20"/>
          <w:color w:val="auto"/>
        </w:rPr>
      </w:pPr>
      <w:r>
        <w:rPr>
          <w:rFonts w:ascii="Arial" w:cs="Arial" w:eastAsia="Arial" w:hAnsi="Arial"/>
          <w:sz w:val="16"/>
          <w:szCs w:val="16"/>
          <w:color w:val="auto"/>
        </w:rPr>
        <w:t>COMPASS BANK, as a U.S. Lender, Canadian Lender and</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Khoa Duong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Name:Khoa Duong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 w:name="page33"/>
    <w:bookmarkEnd w:id="32"/>
    <w:p>
      <w:pPr>
        <w:ind w:left="4500"/>
        <w:spacing w:after="0"/>
        <w:rPr>
          <w:sz w:val="20"/>
          <w:szCs w:val="20"/>
          <w:color w:val="auto"/>
        </w:rPr>
      </w:pPr>
      <w:r>
        <w:rPr>
          <w:rFonts w:ascii="Arial" w:cs="Arial" w:eastAsia="Arial" w:hAnsi="Arial"/>
          <w:sz w:val="17"/>
          <w:szCs w:val="17"/>
          <w:color w:val="auto"/>
        </w:rPr>
        <w:t>ATB FINANCIAL, as a Canadian Lender</w:t>
      </w:r>
    </w:p>
    <w:p>
      <w:pPr>
        <w:spacing w:after="0" w:line="200" w:lineRule="exact"/>
        <w:rPr>
          <w:sz w:val="20"/>
          <w:szCs w:val="20"/>
          <w:color w:val="auto"/>
        </w:rPr>
      </w:pPr>
    </w:p>
    <w:p>
      <w:pPr>
        <w:spacing w:after="0" w:line="253"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Warren Goodwin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Name:Warren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Steven Enns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Name:Steven Enns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541655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 w:name="page34"/>
    <w:bookmarkEnd w:id="33"/>
    <w:p>
      <w:pPr>
        <w:ind w:left="4500"/>
        <w:spacing w:after="0"/>
        <w:rPr>
          <w:sz w:val="20"/>
          <w:szCs w:val="20"/>
          <w:color w:val="auto"/>
        </w:rPr>
      </w:pPr>
      <w:r>
        <w:rPr>
          <w:rFonts w:ascii="Arial" w:cs="Arial" w:eastAsia="Arial" w:hAnsi="Arial"/>
          <w:sz w:val="17"/>
          <w:szCs w:val="17"/>
          <w:color w:val="auto"/>
        </w:rPr>
        <w:t>NATIONAL BANK OF CANADA, as a Canadian Lender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Darrell Stelmack</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 Energy Services</w:t>
      </w:r>
    </w:p>
    <w:p>
      <w:pPr>
        <w:spacing w:after="0" w:line="200" w:lineRule="exact"/>
        <w:rPr>
          <w:sz w:val="20"/>
          <w:szCs w:val="20"/>
          <w:color w:val="auto"/>
        </w:rPr>
      </w:pPr>
    </w:p>
    <w:p>
      <w:pPr>
        <w:spacing w:after="0" w:line="254"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Christopher Richmond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Name:Christopher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Manager, Energy Services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 w:name="page35"/>
    <w:bookmarkEnd w:id="34"/>
    <w:p>
      <w:pPr>
        <w:jc w:val="right"/>
        <w:ind w:right="1359"/>
        <w:spacing w:after="0"/>
        <w:rPr>
          <w:sz w:val="20"/>
          <w:szCs w:val="20"/>
          <w:color w:val="auto"/>
        </w:rPr>
      </w:pPr>
      <w:r>
        <w:rPr>
          <w:rFonts w:ascii="Arial" w:cs="Arial" w:eastAsia="Arial" w:hAnsi="Arial"/>
          <w:sz w:val="18"/>
          <w:szCs w:val="18"/>
          <w:color w:val="auto"/>
        </w:rPr>
        <w:t>COMERICA BANK,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Evan Elsea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Name:Evan Elsea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17"/>
          <w:szCs w:val="17"/>
          <w:color w:val="auto"/>
        </w:rPr>
        <w:t>SUMITOMO MITSUI BANKING CORPORATION, as a</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U.S.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Ryo Suzuki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Name:Ryo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6" w:name="page37"/>
    <w:bookmarkEnd w:id="36"/>
    <w:p>
      <w:pPr>
        <w:ind w:left="4500"/>
        <w:spacing w:after="0"/>
        <w:rPr>
          <w:sz w:val="20"/>
          <w:szCs w:val="20"/>
          <w:color w:val="auto"/>
        </w:rPr>
      </w:pPr>
      <w:r>
        <w:rPr>
          <w:rFonts w:ascii="Arial" w:cs="Arial" w:eastAsia="Arial" w:hAnsi="Arial"/>
          <w:sz w:val="17"/>
          <w:szCs w:val="17"/>
          <w:color w:val="auto"/>
        </w:rPr>
        <w:t>SUMITOMO MITSUI BANKING CORPORATION OF</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CANADA, as a Canadian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Alfred Lee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Name:Alfred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7" w:name="page38"/>
    <w:bookmarkEnd w:id="37"/>
    <w:p>
      <w:pPr>
        <w:ind w:left="4500"/>
        <w:spacing w:after="0"/>
        <w:rPr>
          <w:sz w:val="20"/>
          <w:szCs w:val="20"/>
          <w:color w:val="auto"/>
        </w:rPr>
      </w:pPr>
      <w:r>
        <w:rPr>
          <w:rFonts w:ascii="Arial" w:cs="Arial" w:eastAsia="Arial" w:hAnsi="Arial"/>
          <w:sz w:val="16"/>
          <w:szCs w:val="16"/>
          <w:color w:val="auto"/>
        </w:rPr>
        <w:t>THE TORONTO-DOMINION BANK, as a Canadian Lender</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Joe Seidel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Name:Joe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Associate Vice President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Jason Ushkowski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Name:Jason Ushkowski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Account Manager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541655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8" w:name="page39"/>
    <w:bookmarkEnd w:id="38"/>
    <w:p>
      <w:pPr>
        <w:jc w:val="right"/>
        <w:ind w:right="259"/>
        <w:spacing w:after="0"/>
        <w:rPr>
          <w:sz w:val="20"/>
          <w:szCs w:val="20"/>
          <w:color w:val="auto"/>
        </w:rPr>
      </w:pPr>
      <w:r>
        <w:rPr>
          <w:rFonts w:ascii="Arial" w:cs="Arial" w:eastAsia="Arial" w:hAnsi="Arial"/>
          <w:sz w:val="18"/>
          <w:szCs w:val="18"/>
          <w:color w:val="auto"/>
        </w:rPr>
        <w:t>TORONTO-DOMINION (TEXAS) LLC,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Mark Narbey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Name:Mark Narbey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9" w:name="page40"/>
    <w:bookmarkEnd w:id="39"/>
    <w:p>
      <w:pPr>
        <w:jc w:val="right"/>
        <w:ind w:right="459"/>
        <w:spacing w:after="0"/>
        <w:rPr>
          <w:sz w:val="20"/>
          <w:szCs w:val="20"/>
          <w:color w:val="auto"/>
        </w:rPr>
      </w:pPr>
      <w:r>
        <w:rPr>
          <w:rFonts w:ascii="Arial" w:cs="Arial" w:eastAsia="Arial" w:hAnsi="Arial"/>
          <w:sz w:val="18"/>
          <w:szCs w:val="18"/>
          <w:color w:val="auto"/>
        </w:rPr>
        <w:t>CANADIAN WESTERN BANK,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Arden Buskell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Name:Arden Buskell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AVP, Corporate Banking</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Jeff Bowling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Name:Jeff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VP &amp; Branch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A</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strike w:val="1"/>
        </w:rPr>
        <w:t>Execution Version</w:t>
      </w:r>
      <w:r>
        <w:rPr>
          <w:rFonts w:ascii="Arial" w:cs="Arial" w:eastAsia="Arial" w:hAnsi="Arial"/>
          <w:sz w:val="18"/>
          <w:szCs w:val="18"/>
          <w:b w:val="1"/>
          <w:bCs w:val="1"/>
          <w:i w:val="1"/>
          <w:iCs w:val="1"/>
          <w:u w:val="single" w:color="auto"/>
          <w:color w:val="auto"/>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CIVEO USA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142875</wp:posOffset>
            </wp:positionV>
            <wp:extent cx="2418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160020</wp:posOffset>
            </wp:positionV>
            <wp:extent cx="2418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 and THE BANK OF NOVA SCOTIA,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AUSTRALIA BANK LIMITED and CAPITAL ONE,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1449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7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8"/>
              </w:rPr>
              <w:t>TABLE OF CONTENTS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35"/>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89"/>
              </w:rPr>
              <w:t>Table of Contents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line="20" w:lineRule="exact"/>
              <w:rPr>
                <w:sz w:val="1"/>
                <w:szCs w:val="1"/>
                <w:color w:val="auto"/>
              </w:rPr>
            </w:pPr>
          </w:p>
        </w:tc>
      </w:tr>
      <w:tr>
        <w:trPr>
          <w:trHeight w:val="372"/>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ARTICLE I DEFINITIONS</w:t>
            </w:r>
          </w:p>
        </w:tc>
        <w:tc>
          <w:tcPr>
            <w:tcW w:w="2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2</w:t>
            </w:r>
          </w:p>
        </w:tc>
        <w:tc>
          <w:tcPr>
            <w:tcW w:w="0" w:type="dxa"/>
            <w:vAlign w:val="bottom"/>
          </w:tcPr>
          <w:p>
            <w:pPr>
              <w:spacing w:after="0"/>
              <w:rPr>
                <w:sz w:val="1"/>
                <w:szCs w:val="1"/>
                <w:color w:val="auto"/>
              </w:rPr>
            </w:pPr>
          </w:p>
        </w:tc>
      </w:tr>
      <w:tr>
        <w:trPr>
          <w:trHeight w:val="197"/>
        </w:trPr>
        <w:tc>
          <w:tcPr>
            <w:tcW w:w="2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1.01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Defined Terms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1.02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Terms Generally</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1.03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Several Obligations; Power of Attorney</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1.04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Classification of Loans and Borrowings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1.05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Additional Alternative Currencies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ARTICLE II THE CREDITS</w:t>
            </w:r>
          </w:p>
        </w:tc>
        <w:tc>
          <w:tcPr>
            <w:tcW w:w="2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54</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2.01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Commitments</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54</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46</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Borrowing Procedure</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49</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59</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Evidence of Debt; Repayment of 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51</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Fees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52</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62</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2.06</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Interest on 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2.07</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Default Interest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56</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66</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2.08</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Alternate Rate of Interest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56</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2.09</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Termination and Reduction of Commitments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57</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67</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2.10</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Conversion and Continuation of Borrowings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57</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2.11</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Optional Prepayment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59</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69</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Mandatory Prepayments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60</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Increased Costs; Capital Requirements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61</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72</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Change in Legality</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Breakage Costs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63</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74</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2.16</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Pro Rata Treatment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2.17</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Sharing of Setoffs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75</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2.18</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Payments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67</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2.19</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Taxes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68</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78</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2.20</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Assignment of Commitments Under Certain Circumstances; Duty to Mitigate</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73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84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2.21</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Letters of Credit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74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85</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Bankers’ Acceptances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81</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92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Swing Line Loans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84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96</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Defaulting Lenders</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89</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Incremental Revolving Credit Increase</w:t>
            </w:r>
          </w:p>
        </w:tc>
        <w:tc>
          <w:tcPr>
            <w:tcW w:w="1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92</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103</w:t>
            </w: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tcBorders>
            <w:gridSpan w:val="2"/>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42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ARTICLE III REPRESENTATIONS AND WARRANTIES</w:t>
            </w:r>
          </w:p>
        </w:tc>
        <w:tc>
          <w:tcPr>
            <w:tcW w:w="1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94</w:t>
            </w:r>
          </w:p>
        </w:tc>
        <w:tc>
          <w:tcPr>
            <w:tcW w:w="26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197"/>
        </w:trPr>
        <w:tc>
          <w:tcPr>
            <w:tcW w:w="2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3.01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Organization; Powers</w:t>
            </w:r>
          </w:p>
        </w:tc>
        <w:tc>
          <w:tcPr>
            <w:tcW w:w="1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3.02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Authorization</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Enforceability</w:t>
            </w:r>
          </w:p>
        </w:tc>
        <w:tc>
          <w:tcPr>
            <w:tcW w:w="1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3.04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Governmental Approvals</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Financial Statements</w:t>
            </w:r>
          </w:p>
        </w:tc>
        <w:tc>
          <w:tcPr>
            <w:tcW w:w="1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96</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Page</w:t>
            </w:r>
          </w:p>
        </w:tc>
      </w:tr>
      <w:tr>
        <w:trPr>
          <w:trHeight w:val="198"/>
        </w:trPr>
        <w:tc>
          <w:tcPr>
            <w:tcW w:w="2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23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3.06</w:t>
            </w:r>
          </w:p>
        </w:tc>
        <w:tc>
          <w:tcPr>
            <w:tcW w:w="8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No Material Adverse Change</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107</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3.07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Title to Properties; Possession Under Leases and Licenses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Subsidiaries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3.09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Litigation; Compliance with Laws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3.10</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Agreements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3.11</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Federal Reserve Regulations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Investment Company Act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Tax Returns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No Material Misstatements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3.16</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Employee Benefit Plans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110</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Security Documents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3.20</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Intellectual Property</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112</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3.21</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Labor Matters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112</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Solvency</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Anti-Corruption Laws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Anti-Money Laundering Laws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Foreign Assets Control Regulations, etc</w:t>
            </w:r>
            <w:r>
              <w:rPr>
                <w:rFonts w:ascii="Arial" w:cs="Arial" w:eastAsia="Arial" w:hAnsi="Arial"/>
                <w:sz w:val="18"/>
                <w:szCs w:val="18"/>
                <w:b w:val="1"/>
                <w:bCs w:val="1"/>
                <w:u w:val="single" w:color="auto"/>
                <w:color w:val="auto"/>
              </w:rPr>
              <w:t>.</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0880" w:type="dxa"/>
            <w:vAlign w:val="bottom"/>
            <w:gridSpan w:val="2"/>
          </w:tcPr>
          <w:p>
            <w:pPr>
              <w:spacing w:after="0" w:line="176" w:lineRule="exact"/>
              <w:rPr>
                <w:sz w:val="20"/>
                <w:szCs w:val="20"/>
                <w:color w:val="auto"/>
              </w:rPr>
            </w:pPr>
            <w:r>
              <w:rPr>
                <w:rFonts w:ascii="Arial" w:cs="Arial" w:eastAsia="Arial" w:hAnsi="Arial"/>
                <w:sz w:val="18"/>
                <w:szCs w:val="18"/>
                <w:color w:val="auto"/>
              </w:rPr>
              <w:t>ARTICLE IV CONDITIONS TO CLOSING AND FUNDING</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102</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2300" w:type="dxa"/>
            <w:vAlign w:val="bottom"/>
          </w:tcPr>
          <w:p>
            <w:pPr>
              <w:ind w:left="500"/>
              <w:spacing w:after="0" w:line="176" w:lineRule="exact"/>
              <w:rPr>
                <w:sz w:val="20"/>
                <w:szCs w:val="20"/>
                <w:color w:val="auto"/>
              </w:rPr>
            </w:pPr>
            <w:r>
              <w:rPr>
                <w:rFonts w:ascii="Arial" w:cs="Arial" w:eastAsia="Arial" w:hAnsi="Arial"/>
                <w:sz w:val="18"/>
                <w:szCs w:val="18"/>
                <w:color w:val="auto"/>
              </w:rPr>
              <w:t>Section 4.01</w:t>
            </w:r>
          </w:p>
        </w:tc>
        <w:tc>
          <w:tcPr>
            <w:tcW w:w="8580" w:type="dxa"/>
            <w:vAlign w:val="bottom"/>
          </w:tcPr>
          <w:p>
            <w:pPr>
              <w:spacing w:after="0" w:line="176" w:lineRule="exact"/>
              <w:rPr>
                <w:sz w:val="20"/>
                <w:szCs w:val="20"/>
                <w:color w:val="auto"/>
              </w:rPr>
            </w:pPr>
            <w:r>
              <w:rPr>
                <w:rFonts w:ascii="Arial" w:cs="Arial" w:eastAsia="Arial" w:hAnsi="Arial"/>
                <w:sz w:val="18"/>
                <w:szCs w:val="18"/>
                <w:color w:val="auto"/>
              </w:rPr>
              <w:t>Conditions to All Credit Events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102</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4.02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Conditions to Closing</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115</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4.03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Conditions to Funding</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0880" w:type="dxa"/>
            <w:vAlign w:val="bottom"/>
            <w:gridSpan w:val="2"/>
          </w:tcPr>
          <w:p>
            <w:pPr>
              <w:spacing w:after="0" w:line="176" w:lineRule="exact"/>
              <w:rPr>
                <w:sz w:val="20"/>
                <w:szCs w:val="20"/>
                <w:color w:val="auto"/>
              </w:rPr>
            </w:pPr>
            <w:r>
              <w:rPr>
                <w:rFonts w:ascii="Arial" w:cs="Arial" w:eastAsia="Arial" w:hAnsi="Arial"/>
                <w:sz w:val="18"/>
                <w:szCs w:val="18"/>
                <w:color w:val="auto"/>
              </w:rPr>
              <w:t>ARTICLE V AFFIRMATIVE COVENANTS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107</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2300" w:type="dxa"/>
            <w:vAlign w:val="bottom"/>
          </w:tcPr>
          <w:p>
            <w:pPr>
              <w:ind w:left="500"/>
              <w:spacing w:after="0" w:line="176" w:lineRule="exact"/>
              <w:rPr>
                <w:sz w:val="20"/>
                <w:szCs w:val="20"/>
                <w:color w:val="auto"/>
              </w:rPr>
            </w:pPr>
            <w:r>
              <w:rPr>
                <w:rFonts w:ascii="Arial" w:cs="Arial" w:eastAsia="Arial" w:hAnsi="Arial"/>
                <w:sz w:val="18"/>
                <w:szCs w:val="18"/>
                <w:color w:val="auto"/>
              </w:rPr>
              <w:t>Section 5.01</w:t>
            </w:r>
          </w:p>
        </w:tc>
        <w:tc>
          <w:tcPr>
            <w:tcW w:w="8580" w:type="dxa"/>
            <w:vAlign w:val="bottom"/>
          </w:tcPr>
          <w:p>
            <w:pPr>
              <w:spacing w:after="0" w:line="176" w:lineRule="exact"/>
              <w:rPr>
                <w:sz w:val="20"/>
                <w:szCs w:val="20"/>
                <w:color w:val="auto"/>
              </w:rPr>
            </w:pPr>
            <w:r>
              <w:rPr>
                <w:rFonts w:ascii="Arial" w:cs="Arial" w:eastAsia="Arial" w:hAnsi="Arial"/>
                <w:sz w:val="18"/>
                <w:szCs w:val="18"/>
                <w:color w:val="auto"/>
              </w:rPr>
              <w:t>Existence; Businesses and Properties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107</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Obligations and Taxes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120</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Financial Statements, Reports, etc</w:t>
            </w:r>
            <w:r>
              <w:rPr>
                <w:rFonts w:ascii="Arial" w:cs="Arial" w:eastAsia="Arial" w:hAnsi="Arial"/>
                <w:sz w:val="18"/>
                <w:szCs w:val="18"/>
                <w:b w:val="1"/>
                <w:bCs w:val="1"/>
                <w:u w:val="single" w:color="auto"/>
                <w:color w:val="auto"/>
              </w:rPr>
              <w: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109</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121</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Litigation and Other Notices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5.06</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Information Regarding Collateral</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Maintaining Records; Access to Properties and Inspections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Use of Proceeds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Further Assurances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b w:val="1"/>
                <w:bCs w:val="1"/>
                <w:color w:val="auto"/>
                <w:strike w:val="1"/>
              </w:rPr>
              <w:t>Section 5.10</w:t>
            </w: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strike w:val="1"/>
              </w:rPr>
              <w:t>Mortgage Duty</w:t>
            </w: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tcPr>
          <w:p>
            <w:pPr>
              <w:ind w:left="500"/>
              <w:spacing w:after="0"/>
              <w:rPr>
                <w:sz w:val="20"/>
                <w:szCs w:val="20"/>
                <w:color w:val="auto"/>
              </w:rPr>
            </w:pPr>
            <w:r>
              <w:rPr>
                <w:rFonts w:ascii="Arial" w:cs="Arial" w:eastAsia="Arial" w:hAnsi="Arial"/>
                <w:sz w:val="18"/>
                <w:szCs w:val="18"/>
                <w:b w:val="1"/>
                <w:bCs w:val="1"/>
                <w:color w:val="auto"/>
                <w:strike w:val="1"/>
              </w:rPr>
              <w:t>Section 5.11</w:t>
            </w:r>
          </w:p>
        </w:tc>
        <w:tc>
          <w:tcPr>
            <w:tcW w:w="8580" w:type="dxa"/>
            <w:vAlign w:val="bottom"/>
          </w:tcPr>
          <w:p>
            <w:pPr>
              <w:spacing w:after="0"/>
              <w:rPr>
                <w:sz w:val="20"/>
                <w:szCs w:val="20"/>
                <w:color w:val="auto"/>
              </w:rPr>
            </w:pPr>
            <w:r>
              <w:rPr>
                <w:rFonts w:ascii="Arial" w:cs="Arial" w:eastAsia="Arial" w:hAnsi="Arial"/>
                <w:sz w:val="18"/>
                <w:szCs w:val="18"/>
                <w:b w:val="1"/>
                <w:bCs w:val="1"/>
                <w:color w:val="auto"/>
                <w:strike w:val="1"/>
              </w:rPr>
              <w:t>Actions Following Whitewash</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strike w:val="1"/>
              </w:rPr>
              <w:t>Section 5.12</w:t>
            </w: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strike w:val="1"/>
              </w:rPr>
              <w:t>Australian Real Property</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1"/>
        </w:trPr>
        <w:tc>
          <w:tcPr>
            <w:tcW w:w="10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ARTICLE VI NEGATIVE COVENANTS</w:t>
            </w:r>
          </w:p>
        </w:tc>
        <w:tc>
          <w:tcPr>
            <w:tcW w:w="28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114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127</w:t>
            </w:r>
          </w:p>
        </w:tc>
      </w:tr>
      <w:tr>
        <w:trPr>
          <w:trHeight w:val="197"/>
        </w:trPr>
        <w:tc>
          <w:tcPr>
            <w:tcW w:w="2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23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6.01</w:t>
            </w:r>
          </w:p>
        </w:tc>
        <w:tc>
          <w:tcPr>
            <w:tcW w:w="8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Indebtedness</w:t>
            </w:r>
          </w:p>
        </w:tc>
        <w:tc>
          <w:tcPr>
            <w:tcW w:w="28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115</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127</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6.02</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Liens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6.03</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Sale and Lease-Back Transactions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6.04</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Investments, Loans and Advances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130</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Page</w:t>
            </w:r>
          </w:p>
        </w:tc>
      </w:tr>
      <w:tr>
        <w:trPr>
          <w:trHeight w:val="198"/>
        </w:trPr>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6.05</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Mergers, Consolidations, Sales of Assets and Acquisitions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119</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132</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Restricted Payments; Restrictive Agreements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133</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Transactions with Affiliates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Business of Borrowers and Subsidiaries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Other Indebtedness and Agreements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6.10</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Interest Coverage Ratio</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6.11</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Maximum Leverage Ratio</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Hedging Agreements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Pension Plans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6.14</w:t>
            </w:r>
          </w:p>
        </w:tc>
        <w:tc>
          <w:tcPr>
            <w:tcW w:w="1860" w:type="dxa"/>
            <w:vAlign w:val="bottom"/>
          </w:tcPr>
          <w:p>
            <w:pPr>
              <w:ind w:left="460"/>
              <w:spacing w:after="0" w:line="156" w:lineRule="exact"/>
              <w:rPr>
                <w:sz w:val="20"/>
                <w:szCs w:val="20"/>
                <w:color w:val="auto"/>
              </w:rPr>
            </w:pPr>
            <w:r>
              <w:rPr>
                <w:rFonts w:ascii="Arial" w:cs="Arial" w:eastAsia="Arial" w:hAnsi="Arial"/>
                <w:sz w:val="18"/>
                <w:szCs w:val="18"/>
                <w:color w:val="auto"/>
                <w:w w:val="93"/>
              </w:rPr>
              <w:t>Amendment of the</w:t>
            </w:r>
          </w:p>
        </w:tc>
        <w:tc>
          <w:tcPr>
            <w:tcW w:w="340" w:type="dxa"/>
            <w:vAlign w:val="bottom"/>
          </w:tcPr>
          <w:p>
            <w:pPr>
              <w:spacing w:after="0" w:line="156" w:lineRule="exact"/>
              <w:rPr>
                <w:sz w:val="20"/>
                <w:szCs w:val="20"/>
                <w:color w:val="auto"/>
              </w:rPr>
            </w:pPr>
            <w:r>
              <w:rPr>
                <w:rFonts w:ascii="Arial" w:cs="Arial" w:eastAsia="Arial" w:hAnsi="Arial"/>
                <w:sz w:val="18"/>
                <w:szCs w:val="18"/>
                <w:b w:val="1"/>
                <w:bCs w:val="1"/>
                <w:color w:val="auto"/>
                <w:strike w:val="1"/>
                <w:w w:val="81"/>
              </w:rPr>
              <w:t>Spin</w:t>
            </w:r>
          </w:p>
        </w:tc>
        <w:tc>
          <w:tcPr>
            <w:tcW w:w="68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 xml:space="preserve">Inversion </w:t>
            </w:r>
            <w:r>
              <w:rPr>
                <w:rFonts w:ascii="Arial" w:cs="Arial" w:eastAsia="Arial" w:hAnsi="Arial"/>
                <w:sz w:val="18"/>
                <w:szCs w:val="18"/>
                <w:color w:val="auto"/>
              </w:rPr>
              <w:t>Documents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Sanction Laws and Regulations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Anti-Corruption Laws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Cross-Guarantee</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VII EVENTS OF DEFAULT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137</w:t>
            </w:r>
          </w:p>
        </w:tc>
      </w:tr>
      <w:tr>
        <w:trPr>
          <w:trHeight w:val="197"/>
        </w:trPr>
        <w:tc>
          <w:tcPr>
            <w:tcW w:w="184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7.01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Events of Default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137</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7.02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Optional Acceleration of Maturity</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7.03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Automatic Acceleration of Maturity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7.04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Non-exclusivity of Remedies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7.05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Application of Proceeds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VIII THE ADMINISTRATIVE AGENTS, THE COLLATERAL AGENTS, THE ISSUING BANKS AND THE SWING LINE</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140</w:t>
            </w:r>
          </w:p>
        </w:tc>
      </w:tr>
      <w:tr>
        <w:trPr>
          <w:trHeight w:val="197"/>
        </w:trPr>
        <w:tc>
          <w:tcPr>
            <w:tcW w:w="1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LENDERS</w:t>
            </w:r>
          </w:p>
        </w:tc>
        <w:tc>
          <w:tcPr>
            <w:tcW w:w="1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8.01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Appointment and Authority</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Rights as a Lender</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Exculpatory Provisions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141</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Reliance by the Agents, the Issuing Banks and the Swing Line Lenders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Delegation of Duties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Resignation of an Agent or a Swing Line Lender</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Non-Reliance on Agents and Other Lenders; Certain Acknowledgments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145</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Collateral and Guaranty Matters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8.10</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No Other Duties, etc</w:t>
            </w:r>
            <w:r>
              <w:rPr>
                <w:rFonts w:ascii="Arial" w:cs="Arial" w:eastAsia="Arial" w:hAnsi="Arial"/>
                <w:sz w:val="18"/>
                <w:szCs w:val="18"/>
                <w:b w:val="1"/>
                <w:bCs w:val="1"/>
                <w:u w:val="single" w:color="auto"/>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147</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8.11</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Agents May File Proofs of Claim</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147</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IX MISCELLANEOUS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134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148</w:t>
            </w:r>
          </w:p>
        </w:tc>
      </w:tr>
      <w:tr>
        <w:trPr>
          <w:trHeight w:val="197"/>
        </w:trPr>
        <w:tc>
          <w:tcPr>
            <w:tcW w:w="184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9.01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Notices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134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148</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Survival of Agreement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Binding Effect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151</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151</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Expenses; Indemnity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156</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Applicable Law</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Waivers; Amendment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Interest Rate Limitation</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163</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19"/>
                <w:szCs w:val="19"/>
                <w:color w:val="auto"/>
              </w:rPr>
            </w:pPr>
          </w:p>
        </w:tc>
        <w:tc>
          <w:tcPr>
            <w:tcW w:w="904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9040" w:type="dxa"/>
            <w:vAlign w:val="bottom"/>
          </w:tcPr>
          <w:p>
            <w:pPr>
              <w:ind w:left="3460"/>
              <w:spacing w:after="0"/>
              <w:rPr>
                <w:sz w:val="20"/>
                <w:szCs w:val="20"/>
                <w:color w:val="auto"/>
              </w:rPr>
            </w:pPr>
            <w:r>
              <w:rPr>
                <w:rFonts w:ascii="Arial" w:cs="Arial" w:eastAsia="Arial" w:hAnsi="Arial"/>
                <w:sz w:val="18"/>
                <w:szCs w:val="18"/>
                <w:color w:val="auto"/>
              </w:rPr>
              <w:t>(continued)</w:t>
            </w:r>
          </w:p>
        </w:tc>
        <w:tc>
          <w:tcPr>
            <w:tcW w:w="5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9.10</w:t>
            </w:r>
          </w:p>
        </w:tc>
        <w:tc>
          <w:tcPr>
            <w:tcW w:w="904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rPr>
              <w:t>Entire Agreement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163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9.11</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9.12</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Severability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9.13</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9.14</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Headings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9.15</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Jurisdiction; Consent to Service of Process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9.16</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Confidentiality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9.17</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Judgment Currency</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9.18</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Exculpation Provisions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9.19</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Payments Set Aside</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9.20</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Termination</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9.21</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Patriot Act Notice</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9.22</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Public Offer</w:t>
            </w:r>
            <w:r>
              <w:rPr>
                <w:rFonts w:ascii="Arial" w:cs="Arial" w:eastAsia="Arial" w:hAnsi="Arial"/>
                <w:sz w:val="18"/>
                <w:szCs w:val="18"/>
                <w:b w:val="1"/>
                <w:bCs w:val="1"/>
                <w:color w:val="auto"/>
                <w:strike w:val="1"/>
              </w:rPr>
              <w: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9.23</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Keepwell</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Rolled Letters of Credit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1.01(b)</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U.S.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1.01(c)</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Canadian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1.01(d)</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Australian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2.01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Lenders and Commitments</w:t>
            </w:r>
          </w:p>
        </w:tc>
        <w:tc>
          <w:tcPr>
            <w:tcW w:w="0" w:type="dxa"/>
            <w:vAlign w:val="bottom"/>
          </w:tcPr>
          <w:p>
            <w:pPr>
              <w:spacing w:after="0"/>
              <w:rPr>
                <w:sz w:val="1"/>
                <w:szCs w:val="1"/>
                <w:color w:val="auto"/>
              </w:rPr>
            </w:pPr>
          </w:p>
        </w:tc>
      </w:tr>
      <w:tr>
        <w:trPr>
          <w:trHeight w:val="212"/>
        </w:trPr>
        <w:tc>
          <w:tcPr>
            <w:tcW w:w="1480" w:type="dxa"/>
            <w:vAlign w:val="bottom"/>
            <w:gridSpan w:val="2"/>
          </w:tcPr>
          <w:p>
            <w:pPr>
              <w:spacing w:after="0"/>
              <w:rPr>
                <w:sz w:val="20"/>
                <w:szCs w:val="20"/>
                <w:color w:val="auto"/>
              </w:rPr>
            </w:pPr>
            <w:r>
              <w:rPr>
                <w:rFonts w:ascii="Arial" w:cs="Arial" w:eastAsia="Arial" w:hAnsi="Arial"/>
                <w:sz w:val="18"/>
                <w:szCs w:val="18"/>
                <w:color w:val="auto"/>
              </w:rPr>
              <w:t>Schedule 2.04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194"/>
        </w:trPr>
        <w:tc>
          <w:tcPr>
            <w:tcW w:w="14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Schedule 2.21</w:t>
            </w:r>
          </w:p>
        </w:tc>
        <w:tc>
          <w:tcPr>
            <w:tcW w:w="4100" w:type="dxa"/>
            <w:vAlign w:val="bottom"/>
            <w:gridSpan w:val="3"/>
          </w:tcPr>
          <w:p>
            <w:pPr>
              <w:ind w:left="240"/>
              <w:spacing w:after="0" w:line="194" w:lineRule="exact"/>
              <w:rPr>
                <w:sz w:val="20"/>
                <w:szCs w:val="20"/>
                <w:color w:val="auto"/>
              </w:rPr>
            </w:pPr>
            <w:r>
              <w:rPr>
                <w:rFonts w:ascii="Arial" w:cs="Arial" w:eastAsia="Arial" w:hAnsi="Arial"/>
                <w:sz w:val="18"/>
                <w:szCs w:val="18"/>
                <w:b w:val="1"/>
                <w:bCs w:val="1"/>
                <w:color w:val="auto"/>
              </w:rPr>
              <w:t>L/C Issuance Limits</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w w:val="90"/>
              </w:rPr>
              <w:t>Schedule 3.08</w:t>
            </w:r>
          </w:p>
        </w:tc>
        <w:tc>
          <w:tcPr>
            <w:tcW w:w="4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60" w:type="dxa"/>
            <w:vAlign w:val="bottom"/>
            <w:gridSpan w:val="2"/>
          </w:tcPr>
          <w:p>
            <w:pPr>
              <w:spacing w:after="0" w:line="182" w:lineRule="exact"/>
              <w:rPr>
                <w:sz w:val="20"/>
                <w:szCs w:val="20"/>
                <w:color w:val="auto"/>
              </w:rPr>
            </w:pPr>
            <w:r>
              <w:rPr>
                <w:rFonts w:ascii="Arial" w:cs="Arial" w:eastAsia="Arial" w:hAnsi="Arial"/>
                <w:sz w:val="18"/>
                <w:szCs w:val="18"/>
                <w:color w:val="auto"/>
                <w:w w:val="93"/>
              </w:rPr>
              <w:t>Subsidiaries and Special Purpose Business Entities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3.09</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3.16(a)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Unfunded Plans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3.16(b)</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Canadian Benefit Plans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3.17</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Outstanding Indebtedness on Closing Date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Liens Existing on Closing Date</w:t>
            </w:r>
          </w:p>
        </w:tc>
        <w:tc>
          <w:tcPr>
            <w:tcW w:w="0" w:type="dxa"/>
            <w:vAlign w:val="bottom"/>
          </w:tcPr>
          <w:p>
            <w:pPr>
              <w:spacing w:after="0"/>
              <w:rPr>
                <w:sz w:val="1"/>
                <w:szCs w:val="1"/>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418"/>
        </w:trPr>
        <w:tc>
          <w:tcPr>
            <w:tcW w:w="14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Swing Line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B-5</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Prepayment Notice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Share Security Deed</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Pledge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Pledge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Security Deed</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Security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Security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w w:val="93"/>
              </w:rPr>
              <w:t>Form of Opinion of Simpson Thacher &amp; Bartlett LLP</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Opinion of Dentons Canada LLP</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Opinion of Arnold Bloch Leibler</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Discount Note</w:t>
            </w:r>
          </w:p>
        </w:tc>
        <w:tc>
          <w:tcPr>
            <w:tcW w:w="0" w:type="dxa"/>
            <w:vAlign w:val="bottom"/>
          </w:tcPr>
          <w:p>
            <w:pPr>
              <w:spacing w:after="0"/>
              <w:rPr>
                <w:sz w:val="1"/>
                <w:szCs w:val="1"/>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Exhibit I-1 – I-4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Forms of Exemption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6" w:name="page47"/>
    <w:bookmarkEnd w:id="46"/>
    <w:p>
      <w:pPr>
        <w:jc w:val="both"/>
        <w:ind w:firstLine="648"/>
        <w:spacing w:after="0" w:line="269" w:lineRule="auto"/>
        <w:rPr>
          <w:sz w:val="20"/>
          <w:szCs w:val="20"/>
          <w:color w:val="auto"/>
        </w:rPr>
      </w:pPr>
      <w:r>
        <w:rPr>
          <w:rFonts w:ascii="Arial" w:cs="Arial" w:eastAsia="Arial" w:hAnsi="Arial"/>
          <w:sz w:val="17"/>
          <w:szCs w:val="17"/>
          <w:color w:val="auto"/>
        </w:rPr>
        <w:t>THIS SYNDICATED FACILITY AGREEMENT dated as of May 28, 2014 (as amended, supplemented or modified from time to time, this “</w:t>
      </w:r>
      <w:r>
        <w:rPr>
          <w:rFonts w:ascii="Arial" w:cs="Arial" w:eastAsia="Arial" w:hAnsi="Arial"/>
          <w:sz w:val="17"/>
          <w:szCs w:val="17"/>
          <w:i w:val="1"/>
          <w:iCs w:val="1"/>
          <w:color w:val="auto"/>
        </w:rPr>
        <w:t>Agreement</w:t>
      </w:r>
      <w:r>
        <w:rPr>
          <w:rFonts w:ascii="Arial" w:cs="Arial" w:eastAsia="Arial" w:hAnsi="Arial"/>
          <w:sz w:val="17"/>
          <w:szCs w:val="17"/>
          <w:color w:val="auto"/>
        </w:rPr>
        <w:t xml:space="preserve">”), is among CIVEO CORPORATION </w:t>
      </w:r>
      <w:r>
        <w:rPr>
          <w:rFonts w:ascii="Arial" w:cs="Arial" w:eastAsia="Arial" w:hAnsi="Arial"/>
          <w:sz w:val="17"/>
          <w:szCs w:val="17"/>
          <w:b w:val="1"/>
          <w:bCs w:val="1"/>
          <w:u w:val="single" w:color="auto"/>
          <w:color w:val="auto"/>
        </w:rPr>
        <w:t>(f/k/a Civeo Canadian Holdings ULC), a corporation incorporated under the laws of the Province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British Columbia (the “</w:t>
      </w:r>
      <w:r>
        <w:rPr>
          <w:rFonts w:ascii="Arial" w:cs="Arial" w:eastAsia="Arial" w:hAnsi="Arial"/>
          <w:sz w:val="17"/>
          <w:szCs w:val="17"/>
          <w:b w:val="1"/>
          <w:bCs w:val="1"/>
          <w:i w:val="1"/>
          <w:iCs w:val="1"/>
          <w:u w:val="single" w:color="auto"/>
          <w:color w:val="auto"/>
        </w:rPr>
        <w:t>Parent Borrower</w:t>
      </w:r>
      <w:r>
        <w:rPr>
          <w:rFonts w:ascii="Arial" w:cs="Arial" w:eastAsia="Arial" w:hAnsi="Arial"/>
          <w:sz w:val="17"/>
          <w:szCs w:val="17"/>
          <w:b w:val="1"/>
          <w:bCs w:val="1"/>
          <w:u w:val="single" w:color="auto"/>
          <w:color w:val="auto"/>
        </w:rPr>
        <w:t>”), CIVEO USA CORP. (f/k/a Civeo Corporation)</w:t>
      </w:r>
      <w:r>
        <w:rPr>
          <w:rFonts w:ascii="Arial" w:cs="Arial" w:eastAsia="Arial" w:hAnsi="Arial"/>
          <w:sz w:val="17"/>
          <w:szCs w:val="17"/>
          <w:color w:val="auto"/>
        </w:rPr>
        <w:t>, a Delaware corporation (the “</w:t>
      </w:r>
      <w:r>
        <w:rPr>
          <w:rFonts w:ascii="Arial" w:cs="Arial" w:eastAsia="Arial" w:hAnsi="Arial"/>
          <w:sz w:val="17"/>
          <w:szCs w:val="17"/>
          <w:i w:val="1"/>
          <w:iCs w:val="1"/>
          <w:color w:val="auto"/>
        </w:rPr>
        <w:t>U.S. Borrower</w:t>
      </w:r>
      <w:r>
        <w:rPr>
          <w:rFonts w:ascii="Arial" w:cs="Arial" w:eastAsia="Arial" w:hAnsi="Arial"/>
          <w:sz w:val="17"/>
          <w:szCs w:val="17"/>
          <w:color w:val="auto"/>
        </w:rPr>
        <w:t>”), CIVEO</w:t>
      </w:r>
      <w:r>
        <w:rPr>
          <w:rFonts w:ascii="Arial" w:cs="Arial" w:eastAsia="Arial" w:hAnsi="Arial"/>
          <w:sz w:val="17"/>
          <w:szCs w:val="17"/>
          <w:b w:val="1"/>
          <w:bCs w:val="1"/>
          <w:color w:val="auto"/>
        </w:rPr>
        <w:t xml:space="preserve"> </w:t>
      </w:r>
      <w:r>
        <w:rPr>
          <w:rFonts w:ascii="Arial" w:cs="Arial" w:eastAsia="Arial" w:hAnsi="Arial"/>
          <w:sz w:val="17"/>
          <w:szCs w:val="17"/>
          <w:color w:val="auto"/>
        </w:rPr>
        <w:t>CANADA INC., a corporation amalgamated under the laws of the Province of Alberta (the “</w:t>
      </w:r>
      <w:r>
        <w:rPr>
          <w:rFonts w:ascii="Arial" w:cs="Arial" w:eastAsia="Arial" w:hAnsi="Arial"/>
          <w:sz w:val="17"/>
          <w:szCs w:val="17"/>
          <w:i w:val="1"/>
          <w:iCs w:val="1"/>
          <w:color w:val="auto"/>
        </w:rPr>
        <w:t>Canadian Parent</w:t>
      </w:r>
      <w:r>
        <w:rPr>
          <w:rFonts w:ascii="Arial" w:cs="Arial" w:eastAsia="Arial" w:hAnsi="Arial"/>
          <w:sz w:val="17"/>
          <w:szCs w:val="17"/>
          <w:color w:val="auto"/>
        </w:rPr>
        <w:t>”), CIVEO PREMIUM CAMP SERVICES LTD., a corporation amalgamated under the laws of the Province of Alberta (“</w:t>
      </w:r>
      <w:r>
        <w:rPr>
          <w:rFonts w:ascii="Arial" w:cs="Arial" w:eastAsia="Arial" w:hAnsi="Arial"/>
          <w:sz w:val="17"/>
          <w:szCs w:val="17"/>
          <w:i w:val="1"/>
          <w:iCs w:val="1"/>
          <w:color w:val="auto"/>
        </w:rPr>
        <w:t>Civeo Premium</w:t>
      </w:r>
      <w:r>
        <w:rPr>
          <w:rFonts w:ascii="Arial" w:cs="Arial" w:eastAsia="Arial" w:hAnsi="Arial"/>
          <w:sz w:val="17"/>
          <w:szCs w:val="17"/>
          <w:color w:val="auto"/>
        </w:rPr>
        <w:t xml:space="preserve">” and, together with the Canadian Parent </w:t>
      </w:r>
      <w:r>
        <w:rPr>
          <w:rFonts w:ascii="Arial" w:cs="Arial" w:eastAsia="Arial" w:hAnsi="Arial"/>
          <w:sz w:val="17"/>
          <w:szCs w:val="17"/>
          <w:b w:val="1"/>
          <w:bCs w:val="1"/>
          <w:color w:val="auto"/>
        </w:rPr>
        <w:t>and the Parent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Borrower</w:t>
      </w:r>
      <w:r>
        <w:rPr>
          <w:rFonts w:ascii="Arial" w:cs="Arial" w:eastAsia="Arial" w:hAnsi="Arial"/>
          <w:sz w:val="17"/>
          <w:szCs w:val="17"/>
          <w:color w:val="auto"/>
        </w:rPr>
        <w:t>, the “</w:t>
      </w:r>
      <w:r>
        <w:rPr>
          <w:rFonts w:ascii="Arial" w:cs="Arial" w:eastAsia="Arial" w:hAnsi="Arial"/>
          <w:sz w:val="17"/>
          <w:szCs w:val="17"/>
          <w:i w:val="1"/>
          <w:iCs w:val="1"/>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i w:val="1"/>
          <w:iCs w:val="1"/>
          <w:color w:val="auto"/>
        </w:rPr>
        <w:t>Australian 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together with the U.S. Borrower and the Canadian Borrowers, the “</w:t>
      </w:r>
      <w:r>
        <w:rPr>
          <w:rFonts w:ascii="Arial" w:cs="Arial" w:eastAsia="Arial" w:hAnsi="Arial"/>
          <w:sz w:val="17"/>
          <w:szCs w:val="17"/>
          <w:i w:val="1"/>
          <w:iCs w:val="1"/>
          <w:color w:val="auto"/>
        </w:rPr>
        <w:t>Borrowers</w:t>
      </w:r>
      <w:r>
        <w:rPr>
          <w:rFonts w:ascii="Arial" w:cs="Arial" w:eastAsia="Arial" w:hAnsi="Arial"/>
          <w:sz w:val="17"/>
          <w:szCs w:val="17"/>
          <w:color w:val="auto"/>
        </w:rPr>
        <w:t>”), the Lenders (as defined in Article I), ROYAL BANK OF CANADA (“</w:t>
      </w:r>
      <w:r>
        <w:rPr>
          <w:rFonts w:ascii="Arial" w:cs="Arial" w:eastAsia="Arial" w:hAnsi="Arial"/>
          <w:sz w:val="17"/>
          <w:szCs w:val="17"/>
          <w:i w:val="1"/>
          <w:iCs w:val="1"/>
          <w:color w:val="auto"/>
        </w:rPr>
        <w:t>RBC</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U.S. Lenders, as U.S. collateral agent (in such capacity, the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Collateral Agent</w:t>
      </w:r>
      <w:r>
        <w:rPr>
          <w:rFonts w:ascii="Arial" w:cs="Arial" w:eastAsia="Arial" w:hAnsi="Arial"/>
          <w:sz w:val="17"/>
          <w:szCs w:val="17"/>
          <w:color w:val="auto"/>
        </w:rPr>
        <w:t>”) for the Lenders, as administrative agent (in such capacity, the “</w:t>
      </w:r>
      <w:r>
        <w:rPr>
          <w:rFonts w:ascii="Arial" w:cs="Arial" w:eastAsia="Arial" w:hAnsi="Arial"/>
          <w:sz w:val="17"/>
          <w:szCs w:val="17"/>
          <w:i w:val="1"/>
          <w:iCs w:val="1"/>
          <w:color w:val="auto"/>
        </w:rPr>
        <w:t>Canadian Administrative Agent</w:t>
      </w:r>
      <w:r>
        <w:rPr>
          <w:rFonts w:ascii="Arial" w:cs="Arial" w:eastAsia="Arial" w:hAnsi="Arial"/>
          <w:sz w:val="17"/>
          <w:szCs w:val="17"/>
          <w:color w:val="auto"/>
        </w:rPr>
        <w:t>”) for the Canadian Lenders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I) and as Canadian collateral agent (in such capacity, the “</w:t>
      </w:r>
      <w:r>
        <w:rPr>
          <w:rFonts w:ascii="Arial" w:cs="Arial" w:eastAsia="Arial" w:hAnsi="Arial"/>
          <w:sz w:val="17"/>
          <w:szCs w:val="17"/>
          <w:i w:val="1"/>
          <w:iCs w:val="1"/>
          <w:color w:val="auto"/>
        </w:rPr>
        <w:t>Canadian Collateral Agent</w:t>
      </w:r>
      <w:r>
        <w:rPr>
          <w:rFonts w:ascii="Arial" w:cs="Arial" w:eastAsia="Arial" w:hAnsi="Arial"/>
          <w:sz w:val="17"/>
          <w:szCs w:val="17"/>
          <w:color w:val="auto"/>
        </w:rPr>
        <w:t>”) for the Lenders, and RBC EUROPE LIMITED (“</w:t>
      </w:r>
      <w:r>
        <w:rPr>
          <w:rFonts w:ascii="Arial" w:cs="Arial" w:eastAsia="Arial" w:hAnsi="Arial"/>
          <w:sz w:val="17"/>
          <w:szCs w:val="17"/>
          <w:i w:val="1"/>
          <w:iCs w:val="1"/>
          <w:color w:val="auto"/>
        </w:rPr>
        <w:t>RBC</w:t>
      </w:r>
      <w:r>
        <w:rPr>
          <w:rFonts w:ascii="Arial" w:cs="Arial" w:eastAsia="Arial" w:hAnsi="Arial"/>
          <w:sz w:val="17"/>
          <w:szCs w:val="17"/>
          <w:color w:val="auto"/>
        </w:rPr>
        <w:t xml:space="preserve"> </w:t>
      </w:r>
      <w:r>
        <w:rPr>
          <w:rFonts w:ascii="Arial" w:cs="Arial" w:eastAsia="Arial" w:hAnsi="Arial"/>
          <w:sz w:val="17"/>
          <w:szCs w:val="17"/>
          <w:i w:val="1"/>
          <w:iCs w:val="1"/>
          <w:color w:val="auto"/>
        </w:rPr>
        <w:t>Europe</w:t>
      </w:r>
      <w:r>
        <w:rPr>
          <w:rFonts w:ascii="Arial" w:cs="Arial" w:eastAsia="Arial" w:hAnsi="Arial"/>
          <w:sz w:val="17"/>
          <w:szCs w:val="17"/>
          <w:color w:val="auto"/>
        </w:rPr>
        <w:t>”)</w:t>
      </w:r>
      <w:r>
        <w:rPr>
          <w:rFonts w:ascii="Arial" w:cs="Arial" w:eastAsia="Arial" w:hAnsi="Arial"/>
          <w:sz w:val="17"/>
          <w:szCs w:val="17"/>
          <w:b w:val="1"/>
          <w:bCs w:val="1"/>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administrative agent (in such capacity, the “</w:t>
      </w:r>
      <w:r>
        <w:rPr>
          <w:rFonts w:ascii="Arial" w:cs="Arial" w:eastAsia="Arial" w:hAnsi="Arial"/>
          <w:sz w:val="17"/>
          <w:szCs w:val="17"/>
          <w:i w:val="1"/>
          <w:iCs w:val="1"/>
          <w:color w:val="auto"/>
        </w:rPr>
        <w:t>Australian Administrative Agent</w:t>
      </w:r>
      <w:r>
        <w:rPr>
          <w:rFonts w:ascii="Arial" w:cs="Arial" w:eastAsia="Arial" w:hAnsi="Arial"/>
          <w:sz w:val="17"/>
          <w:szCs w:val="17"/>
          <w:color w:val="auto"/>
        </w:rPr>
        <w:t>”) for the Australian Lenders (as defined in Article I)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Australian collateral agent (in such capacity, the “</w:t>
      </w:r>
      <w:r>
        <w:rPr>
          <w:rFonts w:ascii="Arial" w:cs="Arial" w:eastAsia="Arial" w:hAnsi="Arial"/>
          <w:sz w:val="17"/>
          <w:szCs w:val="17"/>
          <w:i w:val="1"/>
          <w:iCs w:val="1"/>
          <w:color w:val="auto"/>
        </w:rPr>
        <w:t>Australian Collateral Agent</w:t>
      </w:r>
      <w:r>
        <w:rPr>
          <w:rFonts w:ascii="Arial" w:cs="Arial" w:eastAsia="Arial" w:hAnsi="Arial"/>
          <w:sz w:val="17"/>
          <w:szCs w:val="17"/>
          <w:color w:val="auto"/>
        </w:rPr>
        <w: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-982345</wp:posOffset>
            </wp:positionV>
            <wp:extent cx="8058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-999490</wp:posOffset>
            </wp:positionV>
            <wp:extent cx="802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Borrower has requested the U.S. Lenders to extend credit in the form of U.S. Loans to the U.S. Borrower in an aggregate principal amount at any time outstanding not in excess of U.S.$</w:t>
      </w:r>
      <w:r>
        <w:rPr>
          <w:rFonts w:ascii="Arial" w:cs="Arial" w:eastAsia="Arial" w:hAnsi="Arial"/>
          <w:sz w:val="17"/>
          <w:szCs w:val="17"/>
          <w:b w:val="1"/>
          <w:bCs w:val="1"/>
          <w:color w:val="auto"/>
          <w:strike w:val="1"/>
        </w:rPr>
        <w:t>1,225,000,000</w:t>
      </w:r>
      <w:r>
        <w:rPr>
          <w:rFonts w:ascii="Arial" w:cs="Arial" w:eastAsia="Arial" w:hAnsi="Arial"/>
          <w:sz w:val="17"/>
          <w:szCs w:val="17"/>
          <w:b w:val="1"/>
          <w:bCs w:val="1"/>
          <w:u w:val="single" w:color="auto"/>
          <w:color w:val="auto"/>
        </w:rPr>
        <w:t>100,000,000</w:t>
      </w:r>
      <w:r>
        <w:rPr>
          <w:rFonts w:ascii="Arial" w:cs="Arial" w:eastAsia="Arial" w:hAnsi="Arial"/>
          <w:sz w:val="17"/>
          <w:szCs w:val="17"/>
          <w:color w:val="auto"/>
        </w:rPr>
        <w:t xml:space="preserve">; the Canadian Borrowers have requested the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to extend credit in the form of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to the Canadian Borrowers in an aggregate principal amount at any time outstanding not in excess of U.S.$100,000,000 (or the Canadian Dollar Equivalent thereof); and the Australian Borrower has requested the Australian Lenders to extend credit in the form of Australian Revolving Credit Loans to the Australian Borrower in an aggregate principal amount at any time outstanding not in excess of U.S.$100,000,000 (or the Australian Dollar Equivalent thereof), in each case, as such principal amounts may be modified in accordance with the terms hereof. The Borrowers have requested the Issuing Banks to issue Letters of Credit to support payment obligations of the Borrowers and the Subsidiaries incurred in the ordinary course of business.</w:t>
      </w:r>
    </w:p>
    <w:p>
      <w:pPr>
        <w:spacing w:after="0" w:line="17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Further, as of the First Amendment Effective Date, the Parent Borrower has requested the Canadian Term Lenders to extend credit in the form of Canadian Term Loans to the Parent Borrower in the amount of the Canadian Dollar Equivalent of U.S.$325,000,000 and the Canadian Tranche B Lenders to extend credit in the form of Canadian Tranche B Revolving Credit Loans to the Parent Borrower in an aggregate principal amount at any time outstanding not in excess of U.S.$125,000,000 (or the Canadian Dollar Equivalent thereof).</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consideration of the mutual covenants and agreements herein contained,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5300"/>
        <w:spacing w:after="0"/>
        <w:rPr>
          <w:sz w:val="20"/>
          <w:szCs w:val="20"/>
          <w:color w:val="auto"/>
        </w:rPr>
      </w:pPr>
      <w:r>
        <w:rPr>
          <w:rFonts w:ascii="Arial" w:cs="Arial" w:eastAsia="Arial" w:hAnsi="Arial"/>
          <w:sz w:val="18"/>
          <w:szCs w:val="18"/>
          <w:b w:val="1"/>
          <w:bCs w:val="1"/>
          <w:i w:val="1"/>
          <w:i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1.01</w:t>
      </w:r>
      <w:r>
        <w:rPr>
          <w:sz w:val="20"/>
          <w:szCs w:val="20"/>
          <w:color w:val="auto"/>
        </w:rPr>
        <w:tab/>
      </w:r>
      <w:r>
        <w:rPr>
          <w:rFonts w:ascii="Arial" w:cs="Arial" w:eastAsia="Arial" w:hAnsi="Arial"/>
          <w:sz w:val="16"/>
          <w:szCs w:val="16"/>
          <w:b w:val="1"/>
          <w:bCs w:val="1"/>
          <w:i w:val="1"/>
          <w:iCs w:val="1"/>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Acceptance Fee</w:t>
      </w:r>
      <w:r>
        <w:rPr>
          <w:rFonts w:ascii="Arial" w:cs="Arial" w:eastAsia="Arial" w:hAnsi="Arial"/>
          <w:sz w:val="18"/>
          <w:szCs w:val="18"/>
          <w:color w:val="auto"/>
        </w:rPr>
        <w:t>” shall mean a fee payable in Canadian dollars by a Canadian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Acquired Entity</w:t>
      </w:r>
      <w:r>
        <w:rPr>
          <w:rFonts w:ascii="Arial" w:cs="Arial" w:eastAsia="Arial" w:hAnsi="Arial"/>
          <w:sz w:val="18"/>
          <w:szCs w:val="18"/>
          <w:b w:val="1"/>
          <w:bCs w:val="1"/>
          <w:u w:val="single" w:color="auto"/>
          <w:color w:val="auto"/>
        </w:rPr>
        <w:t>” shall have the meaning assigned to such term in Section 6.04(i).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LIBO Rate</w:t>
      </w:r>
      <w:r>
        <w:rPr>
          <w:rFonts w:ascii="Arial" w:cs="Arial" w:eastAsia="Arial" w:hAnsi="Arial"/>
          <w:sz w:val="16"/>
          <w:szCs w:val="16"/>
          <w:color w:val="auto"/>
        </w:rPr>
        <w:t>” shall mean, with respect to any Eurocurrency Borrowing for any Interest Period, an interest rate per annum (rounded upwards, if necessary, to the nearest whole 1/100 of 1%) equal to the product of (a) the LIBO Rate in effect for such Interest Period and (b) Statutory Reserves.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Agents</w:t>
      </w:r>
      <w:r>
        <w:rPr>
          <w:rFonts w:ascii="Arial" w:cs="Arial" w:eastAsia="Arial" w:hAnsi="Arial"/>
          <w:sz w:val="17"/>
          <w:szCs w:val="17"/>
          <w:color w:val="auto"/>
        </w:rPr>
        <w:t>” shall mean the Administrative Agent, the Canadian Administrative Agent and the Australian Administrative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Questionnaire</w:t>
      </w:r>
      <w:r>
        <w:rPr>
          <w:rFonts w:ascii="Arial" w:cs="Arial" w:eastAsia="Arial" w:hAnsi="Arial"/>
          <w:sz w:val="17"/>
          <w:szCs w:val="17"/>
          <w:color w:val="auto"/>
        </w:rPr>
        <w:t>” shall mean an administrative questionnaire in a form supplied from time to time by the Applicable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 Australian Land Company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means</w:t>
      </w:r>
      <w:r>
        <w:rPr>
          <w:rFonts w:ascii="Arial" w:cs="Arial" w:eastAsia="Arial" w:hAnsi="Arial"/>
          <w:sz w:val="17"/>
          <w:szCs w:val="17"/>
          <w:b w:val="1"/>
          <w:bCs w:val="1"/>
          <w:u w:val="single" w:color="auto"/>
          <w:color w:val="auto"/>
        </w:rPr>
        <w:t>shall mean</w:t>
      </w:r>
      <w:r>
        <w:rPr>
          <w:rFonts w:ascii="Arial" w:cs="Arial" w:eastAsia="Arial" w:hAnsi="Arial"/>
          <w:sz w:val="17"/>
          <w:szCs w:val="17"/>
          <w:color w:val="auto"/>
        </w:rPr>
        <w:t xml:space="preserve"> Civeo Property Pty Ltd (ACN 160 463 463), a company incorporated in Australia.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Agent Parties</w:t>
      </w:r>
      <w:r>
        <w:rPr>
          <w:rFonts w:ascii="Arial" w:cs="Arial" w:eastAsia="Arial" w:hAnsi="Arial"/>
          <w:sz w:val="18"/>
          <w:szCs w:val="18"/>
          <w:b w:val="1"/>
          <w:bCs w:val="1"/>
          <w:u w:val="single" w:color="auto"/>
          <w:color w:val="auto"/>
        </w:rPr>
        <w:t>” shall have the meaning assigned to such term in Section 9.01(d).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collectively, the Administrative Agents and the Collateral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L/C Exposure</w:t>
      </w:r>
      <w:r>
        <w:rPr>
          <w:rFonts w:ascii="Arial" w:cs="Arial" w:eastAsia="Arial" w:hAnsi="Arial"/>
          <w:sz w:val="18"/>
          <w:szCs w:val="18"/>
          <w:color w:val="auto"/>
        </w:rPr>
        <w:t>” shall mean, at any time, the sum of the U.S. L/C Exposure, the U.S. Dollar Equivalent of the Canadian L/C Exposure and the U.S. Dollar Equivalent of the Australian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Base Rate</w:t>
      </w:r>
      <w:r>
        <w:rPr>
          <w:rFonts w:ascii="Arial" w:cs="Arial" w:eastAsia="Arial" w:hAnsi="Arial"/>
          <w:sz w:val="18"/>
          <w:szCs w:val="18"/>
          <w:color w:val="auto"/>
        </w:rPr>
        <w:t>” shall mean, for any day, a rate per annum equal to the greatest of (a) the Prime Rate in effect on such day, (b) the Federal Funds Effective Rate in effect on such day plus ½ of 1.0% and (c) the Adjusted LIBO Rate for a deposit in U.S. dollars with an Interest Period of one month beginning on such day (or if such day is not a Business Day, the immediately preceding Business Day) plus 1.0%. Any change in the Alternate Base Rate due to a change in the Prime Rate, the Federal Funds Effective Rate or the Adjusted LIBO Rate shall be effective on the effective date of such change in the Prime Rate, the Federal Funds Effective Rate or the Adjusted LIBO Rate, respectively.</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Alternative Currency</w:t>
      </w:r>
      <w:r>
        <w:rPr>
          <w:rFonts w:ascii="Arial" w:cs="Arial" w:eastAsia="Arial" w:hAnsi="Arial"/>
          <w:sz w:val="16"/>
          <w:szCs w:val="16"/>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Administrative Agent</w:t>
      </w:r>
      <w:r>
        <w:rPr>
          <w:rFonts w:ascii="Arial" w:cs="Arial" w:eastAsia="Arial" w:hAnsi="Arial"/>
          <w:sz w:val="18"/>
          <w:szCs w:val="18"/>
          <w:color w:val="auto"/>
        </w:rPr>
        <w:t xml:space="preserve">” shall mean (a) the Administrative Agent, with respect to any U.S. Loan or U.S. Letter of Credit, (b) the Canadian Administrative Agent, with respect to any Canadian </w:t>
      </w:r>
      <w:r>
        <w:rPr>
          <w:rFonts w:ascii="Arial" w:cs="Arial" w:eastAsia="Arial" w:hAnsi="Arial"/>
          <w:sz w:val="18"/>
          <w:szCs w:val="18"/>
          <w:b w:val="1"/>
          <w:bCs w:val="1"/>
          <w:color w:val="auto"/>
          <w:strike w:val="1"/>
        </w:rPr>
        <w:t>Revolving Credit</w:t>
      </w:r>
      <w:r>
        <w:rPr>
          <w:rFonts w:ascii="Arial" w:cs="Arial" w:eastAsia="Arial" w:hAnsi="Arial"/>
          <w:sz w:val="18"/>
          <w:szCs w:val="18"/>
          <w:color w:val="auto"/>
        </w:rPr>
        <w:t xml:space="preserve"> Loan or Canadian Letter of Credit and (c) the Australian Administrative Agent, with respect to any Australian Revolving Credit Loan or Australian Letter of Credit.</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Borrower</w:t>
      </w:r>
      <w:r>
        <w:rPr>
          <w:rFonts w:ascii="Arial" w:cs="Arial" w:eastAsia="Arial" w:hAnsi="Arial"/>
          <w:sz w:val="18"/>
          <w:szCs w:val="18"/>
          <w:color w:val="auto"/>
        </w:rPr>
        <w:t xml:space="preserve">” shall mean (a) the </w:t>
      </w:r>
      <w:r>
        <w:rPr>
          <w:rFonts w:ascii="Arial" w:cs="Arial" w:eastAsia="Arial" w:hAnsi="Arial"/>
          <w:sz w:val="18"/>
          <w:szCs w:val="18"/>
          <w:b w:val="1"/>
          <w:bCs w:val="1"/>
          <w:u w:val="single" w:color="auto"/>
          <w:color w:val="auto"/>
        </w:rPr>
        <w:t>Parent Borrower, with respect to the Canadian Term Loan Facility or the Canadian Tranche B</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Revolving Credit Facility, (b) the</w:t>
      </w:r>
      <w:r>
        <w:rPr>
          <w:rFonts w:ascii="Arial" w:cs="Arial" w:eastAsia="Arial" w:hAnsi="Arial"/>
          <w:sz w:val="18"/>
          <w:szCs w:val="18"/>
          <w:b w:val="1"/>
          <w:bCs w:val="1"/>
          <w:color w:val="auto"/>
        </w:rPr>
        <w:t xml:space="preserve"> </w:t>
      </w:r>
      <w:r>
        <w:rPr>
          <w:rFonts w:ascii="Arial" w:cs="Arial" w:eastAsia="Arial" w:hAnsi="Arial"/>
          <w:sz w:val="18"/>
          <w:szCs w:val="18"/>
          <w:color w:val="auto"/>
        </w:rPr>
        <w:t>U.S. Borrower, with respect to the U.S. Revolving Credit Facility or the U.S. Term Loan Facility, (</w:t>
      </w:r>
      <w:r>
        <w:rPr>
          <w:rFonts w:ascii="Arial" w:cs="Arial" w:eastAsia="Arial" w:hAnsi="Arial"/>
          <w:sz w:val="18"/>
          <w:szCs w:val="18"/>
          <w:b w:val="1"/>
          <w:bCs w:val="1"/>
          <w:color w:val="auto"/>
          <w:strike w:val="1"/>
        </w:rPr>
        <w:t>b</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Parent or Civeo Premium</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with respect to the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and (</w:t>
      </w:r>
      <w:r>
        <w:rPr>
          <w:rFonts w:ascii="Arial" w:cs="Arial" w:eastAsia="Arial" w:hAnsi="Arial"/>
          <w:sz w:val="18"/>
          <w:szCs w:val="18"/>
          <w:b w:val="1"/>
          <w:bCs w:val="1"/>
          <w:color w:val="auto"/>
          <w:strike w:val="1"/>
        </w:rPr>
        <w:t>c</w:t>
      </w:r>
      <w:r>
        <w:rPr>
          <w:rFonts w:ascii="Arial" w:cs="Arial" w:eastAsia="Arial" w:hAnsi="Arial"/>
          <w:sz w:val="18"/>
          <w:szCs w:val="18"/>
          <w:b w:val="1"/>
          <w:bCs w:val="1"/>
          <w:u w:val="single" w:color="auto"/>
          <w:color w:val="auto"/>
        </w:rPr>
        <w:t>d</w:t>
      </w:r>
      <w:r>
        <w:rPr>
          <w:rFonts w:ascii="Arial" w:cs="Arial" w:eastAsia="Arial" w:hAnsi="Arial"/>
          <w:sz w:val="18"/>
          <w:szCs w:val="18"/>
          <w:color w:val="auto"/>
        </w:rPr>
        <w:t>) the Australian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with respect to the Australian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Collateral Agent</w:t>
      </w:r>
      <w:r>
        <w:rPr>
          <w:rFonts w:ascii="Arial" w:cs="Arial" w:eastAsia="Arial" w:hAnsi="Arial"/>
          <w:sz w:val="18"/>
          <w:szCs w:val="18"/>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7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Issuing Bank</w:t>
      </w:r>
      <w:r>
        <w:rPr>
          <w:rFonts w:ascii="Arial" w:cs="Arial" w:eastAsia="Arial" w:hAnsi="Arial"/>
          <w:sz w:val="16"/>
          <w:szCs w:val="16"/>
          <w:color w:val="auto"/>
        </w:rPr>
        <w:t>” shall mean (a) RBC</w:t>
      </w:r>
      <w:r>
        <w:rPr>
          <w:rFonts w:ascii="Arial" w:cs="Arial" w:eastAsia="Arial" w:hAnsi="Arial"/>
          <w:sz w:val="16"/>
          <w:szCs w:val="16"/>
          <w:b w:val="1"/>
          <w:bCs w:val="1"/>
          <w:color w:val="auto"/>
          <w:strike w:val="1"/>
        </w:rPr>
        <w:t>, Wells Fargo Bank, N.A.</w:t>
      </w:r>
      <w:r>
        <w:rPr>
          <w:rFonts w:ascii="Arial" w:cs="Arial" w:eastAsia="Arial" w:hAnsi="Arial"/>
          <w:sz w:val="16"/>
          <w:szCs w:val="16"/>
          <w:color w:val="auto"/>
        </w:rPr>
        <w:t xml:space="preserve"> or any other Issuing Bank that has issued, or has a commitment to issue, U.S. Letters of Credit, (b) RBC, The Toronto-Dominion Bank, The Bank of Nova Scotia or any other Issuing Bank that has issued, or has a commitment to issue, Canadian Letters of Credit, or (c) RBC Europe, or any other Issuing Bank that has issued, or has a commitment to issue, Australian Letters of Credit.</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Lender</w:t>
      </w:r>
      <w:r>
        <w:rPr>
          <w:rFonts w:ascii="Arial" w:cs="Arial" w:eastAsia="Arial" w:hAnsi="Arial"/>
          <w:sz w:val="18"/>
          <w:szCs w:val="18"/>
          <w:color w:val="auto"/>
        </w:rPr>
        <w:t xml:space="preserve">” shall mean (a) when used with respect to the U.S. Revolving Credit Facility, the U.S. Term Loan Facility, the Canadian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Loan Facility, the Canadian 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Facility, the Canadian Tranche B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or the Australian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Facility, a Lender that has a Commitment or holds a Loan with respect to such Facility, (b) with respect to any Letter of Credit, (i) the Issuing Banks and (ii) if any L/C Disbursements have been made by an Issuing Bank and not reimbursed or refinanced by Section 2.02(g),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the U.S. Revolving Lenders or the Australian Lenders, as the case may be, and (c) with respect to the U.S. Swing Line Sublimit or the Canadian Swing Line Sublimit, the Applicable Swing Line Lender.</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tbl>
      <w:tblPr>
        <w:tblLayout w:type="fixed"/>
        <w:tblInd w:w="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6"/>
          </w:tcPr>
          <w:p>
            <w:pPr>
              <w:ind w:left="300"/>
              <w:spacing w:after="0"/>
              <w:rPr>
                <w:sz w:val="20"/>
                <w:szCs w:val="20"/>
                <w:color w:val="auto"/>
              </w:rPr>
            </w:pPr>
            <w:r>
              <w:rPr>
                <w:rFonts w:ascii="Arial" w:cs="Arial" w:eastAsia="Arial" w:hAnsi="Arial"/>
                <w:sz w:val="18"/>
                <w:szCs w:val="18"/>
                <w:color w:val="auto"/>
              </w:rPr>
              <w:t>Leverage Ratio</w:t>
            </w:r>
          </w:p>
        </w:tc>
        <w:tc>
          <w:tcPr>
            <w:tcW w:w="252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Eurocurrency/BBSY Rate/B/A</w:t>
            </w:r>
          </w:p>
        </w:tc>
        <w:tc>
          <w:tcPr>
            <w:tcW w:w="306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ABR, Canadian Prime Rate and U.S.</w:t>
            </w:r>
          </w:p>
        </w:tc>
        <w:tc>
          <w:tcPr>
            <w:tcW w:w="2680" w:type="dxa"/>
            <w:vAlign w:val="bottom"/>
            <w:gridSpan w:val="8"/>
          </w:tcPr>
          <w:p>
            <w:pPr>
              <w:jc w:val="center"/>
              <w:ind w:right="120"/>
              <w:spacing w:after="0"/>
              <w:rPr>
                <w:sz w:val="20"/>
                <w:szCs w:val="20"/>
                <w:color w:val="auto"/>
              </w:rPr>
            </w:pPr>
            <w:r>
              <w:rPr>
                <w:rFonts w:ascii="Arial" w:cs="Arial" w:eastAsia="Arial" w:hAnsi="Arial"/>
                <w:sz w:val="18"/>
                <w:szCs w:val="18"/>
                <w:color w:val="auto"/>
                <w:w w:val="88"/>
              </w:rPr>
              <w:t>Commitment Fee Percentage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8"/>
                <w:szCs w:val="18"/>
                <w:color w:val="auto"/>
              </w:rPr>
              <w:t>Spread</w:t>
            </w:r>
          </w:p>
        </w:tc>
        <w:tc>
          <w:tcPr>
            <w:tcW w:w="30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Base Rate Spread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Less than 1.50 to 1.00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1.75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2.00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0.75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1.00</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0.45</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1.50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2.00</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2.25</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1.00</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1.25</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0.51</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2.00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2.00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2.25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2.50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1.25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1.50</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0.56</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2.50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2.50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2.50</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2.75</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1.50</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1.75</w:t>
            </w:r>
            <w:r>
              <w:rPr>
                <w:rFonts w:ascii="Arial" w:cs="Arial" w:eastAsia="Arial" w:hAnsi="Arial"/>
                <w:sz w:val="18"/>
                <w:szCs w:val="18"/>
                <w:color w:val="auto"/>
                <w:w w:val="90"/>
              </w:rPr>
              <w:t>%</w:t>
            </w:r>
          </w:p>
        </w:tc>
        <w:tc>
          <w:tcPr>
            <w:tcW w:w="1200" w:type="dxa"/>
            <w:vAlign w:val="bottom"/>
            <w:gridSpan w:val="2"/>
            <w:shd w:val="clear" w:color="auto" w:fill="CCEEFF"/>
          </w:tcPr>
          <w:p>
            <w:pPr>
              <w:jc w:val="center"/>
              <w:ind w:left="810"/>
              <w:spacing w:after="0" w:line="176" w:lineRule="exact"/>
              <w:rPr>
                <w:sz w:val="20"/>
                <w:szCs w:val="20"/>
                <w:color w:val="auto"/>
              </w:rPr>
            </w:pPr>
            <w:r>
              <w:rPr>
                <w:rFonts w:ascii="Arial" w:cs="Arial" w:eastAsia="Arial" w:hAnsi="Arial"/>
                <w:sz w:val="18"/>
                <w:szCs w:val="18"/>
                <w:b w:val="1"/>
                <w:bCs w:val="1"/>
                <w:color w:val="auto"/>
                <w:strike w:val="1"/>
                <w:w w:val="85"/>
              </w:rPr>
              <w:t>0.50</w:t>
            </w:r>
          </w:p>
        </w:tc>
        <w:tc>
          <w:tcPr>
            <w:tcW w:w="1480" w:type="dxa"/>
            <w:vAlign w:val="bottom"/>
            <w:gridSpan w:val="6"/>
            <w:shd w:val="clear" w:color="auto" w:fill="CCEEFF"/>
          </w:tcPr>
          <w:p>
            <w:pPr>
              <w:jc w:val="right"/>
              <w:ind w:right="1000"/>
              <w:spacing w:after="0" w:line="176" w:lineRule="exact"/>
              <w:rPr>
                <w:sz w:val="20"/>
                <w:szCs w:val="20"/>
                <w:color w:val="auto"/>
              </w:rPr>
            </w:pPr>
            <w:r>
              <w:rPr>
                <w:rFonts w:ascii="Arial" w:cs="Arial" w:eastAsia="Arial" w:hAnsi="Arial"/>
                <w:sz w:val="18"/>
                <w:szCs w:val="18"/>
                <w:b w:val="1"/>
                <w:bCs w:val="1"/>
                <w:color w:val="auto"/>
                <w:w w:val="90"/>
              </w:rPr>
              <w:t>0.62</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3.00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3.00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2.75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3.00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1.75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2.00</w:t>
            </w:r>
            <w:r>
              <w:rPr>
                <w:rFonts w:ascii="Arial" w:cs="Arial" w:eastAsia="Arial" w:hAnsi="Arial"/>
                <w:sz w:val="18"/>
                <w:szCs w:val="18"/>
                <w:color w:val="auto"/>
                <w:w w:val="90"/>
              </w:rPr>
              <w:t>%</w:t>
            </w:r>
          </w:p>
        </w:tc>
        <w:tc>
          <w:tcPr>
            <w:tcW w:w="1200" w:type="dxa"/>
            <w:vAlign w:val="bottom"/>
            <w:gridSpan w:val="2"/>
            <w:shd w:val="clear" w:color="auto" w:fill="CCEEFF"/>
          </w:tcPr>
          <w:p>
            <w:pPr>
              <w:jc w:val="center"/>
              <w:ind w:left="810"/>
              <w:spacing w:after="0" w:line="176" w:lineRule="exact"/>
              <w:rPr>
                <w:sz w:val="20"/>
                <w:szCs w:val="20"/>
                <w:color w:val="auto"/>
              </w:rPr>
            </w:pPr>
            <w:r>
              <w:rPr>
                <w:rFonts w:ascii="Arial" w:cs="Arial" w:eastAsia="Arial" w:hAnsi="Arial"/>
                <w:sz w:val="18"/>
                <w:szCs w:val="18"/>
                <w:b w:val="1"/>
                <w:bCs w:val="1"/>
                <w:color w:val="auto"/>
                <w:strike w:val="1"/>
                <w:w w:val="85"/>
              </w:rPr>
              <w:t>0.50</w:t>
            </w:r>
          </w:p>
        </w:tc>
        <w:tc>
          <w:tcPr>
            <w:tcW w:w="1480" w:type="dxa"/>
            <w:vAlign w:val="bottom"/>
            <w:gridSpan w:val="6"/>
            <w:shd w:val="clear" w:color="auto" w:fill="CCEEFF"/>
          </w:tcPr>
          <w:p>
            <w:pPr>
              <w:jc w:val="right"/>
              <w:ind w:right="1000"/>
              <w:spacing w:after="0" w:line="176" w:lineRule="exact"/>
              <w:rPr>
                <w:sz w:val="20"/>
                <w:szCs w:val="20"/>
                <w:color w:val="auto"/>
              </w:rPr>
            </w:pPr>
            <w:r>
              <w:rPr>
                <w:rFonts w:ascii="Arial" w:cs="Arial" w:eastAsia="Arial" w:hAnsi="Arial"/>
                <w:sz w:val="18"/>
                <w:szCs w:val="18"/>
                <w:b w:val="1"/>
                <w:bCs w:val="1"/>
                <w:color w:val="auto"/>
                <w:w w:val="90"/>
              </w:rPr>
              <w:t>0.68</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gridSpan w:val="8"/>
            <w:shd w:val="clear" w:color="auto" w:fill="CCEEFF"/>
          </w:tcPr>
          <w:p>
            <w:pPr>
              <w:spacing w:after="0" w:line="156" w:lineRule="exact"/>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1.00 but less than 3.50</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3"/>
              </w:rPr>
              <w:t>to</w:t>
            </w:r>
          </w:p>
        </w:tc>
        <w:tc>
          <w:tcPr>
            <w:tcW w:w="500" w:type="dxa"/>
            <w:vAlign w:val="bottom"/>
            <w:tcBorders>
              <w:top w:val="single" w:sz="8" w:color="auto"/>
            </w:tcBorders>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w w:val="91"/>
              </w:rPr>
              <w:t>1.00</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Category 6</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or equal to</w:t>
            </w:r>
          </w:p>
        </w:tc>
        <w:tc>
          <w:tcPr>
            <w:tcW w:w="2520" w:type="dxa"/>
            <w:vAlign w:val="bottom"/>
            <w:gridSpan w:val="4"/>
            <w:shd w:val="clear" w:color="auto" w:fill="CCEEFF"/>
          </w:tcPr>
          <w:p>
            <w:pPr>
              <w:jc w:val="right"/>
              <w:ind w:right="1020"/>
              <w:spacing w:after="0" w:line="176"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50%</w:t>
            </w:r>
          </w:p>
        </w:tc>
        <w:tc>
          <w:tcPr>
            <w:tcW w:w="3060" w:type="dxa"/>
            <w:vAlign w:val="bottom"/>
            <w:gridSpan w:val="5"/>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2.</w:t>
            </w:r>
            <w:r>
              <w:rPr>
                <w:rFonts w:ascii="Arial" w:cs="Arial" w:eastAsia="Arial" w:hAnsi="Arial"/>
                <w:sz w:val="18"/>
                <w:szCs w:val="18"/>
                <w:b w:val="1"/>
                <w:bCs w:val="1"/>
                <w:u w:val="single" w:color="auto"/>
                <w:color w:val="auto"/>
                <w:w w:val="93"/>
              </w:rPr>
              <w:t>50%</w:t>
            </w:r>
          </w:p>
        </w:tc>
        <w:tc>
          <w:tcPr>
            <w:tcW w:w="1560" w:type="dxa"/>
            <w:vAlign w:val="bottom"/>
            <w:gridSpan w:val="7"/>
            <w:shd w:val="clear" w:color="auto" w:fill="CCEEFF"/>
          </w:tcPr>
          <w:p>
            <w:pPr>
              <w:jc w:val="center"/>
              <w:ind w:left="930"/>
              <w:spacing w:after="0" w:line="176" w:lineRule="exact"/>
              <w:rPr>
                <w:sz w:val="20"/>
                <w:szCs w:val="20"/>
                <w:color w:val="auto"/>
              </w:rPr>
            </w:pPr>
            <w:r>
              <w:rPr>
                <w:rFonts w:ascii="Arial" w:cs="Arial" w:eastAsia="Arial" w:hAnsi="Arial"/>
                <w:sz w:val="18"/>
                <w:szCs w:val="18"/>
                <w:b w:val="1"/>
                <w:bCs w:val="1"/>
                <w:color w:val="auto"/>
                <w:w w:val="97"/>
              </w:rPr>
              <w:t>0.</w:t>
            </w:r>
            <w:r>
              <w:rPr>
                <w:rFonts w:ascii="Arial" w:cs="Arial" w:eastAsia="Arial" w:hAnsi="Arial"/>
                <w:sz w:val="18"/>
                <w:szCs w:val="18"/>
                <w:b w:val="1"/>
                <w:bCs w:val="1"/>
                <w:u w:val="single" w:color="auto"/>
                <w:color w:val="auto"/>
                <w:w w:val="97"/>
              </w:rPr>
              <w:t>79%</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3.</w:t>
            </w:r>
            <w:r>
              <w:rPr>
                <w:rFonts w:ascii="Arial" w:cs="Arial" w:eastAsia="Arial" w:hAnsi="Arial"/>
                <w:sz w:val="18"/>
                <w:szCs w:val="18"/>
                <w:b w:val="1"/>
                <w:bCs w:val="1"/>
                <w:u w:val="single" w:color="auto"/>
                <w:color w:val="auto"/>
                <w:w w:val="87"/>
              </w:rPr>
              <w:t>50</w:t>
            </w:r>
            <w:r>
              <w:rPr>
                <w:rFonts w:ascii="Arial" w:cs="Arial" w:eastAsia="Arial" w:hAnsi="Arial"/>
                <w:sz w:val="18"/>
                <w:szCs w:val="18"/>
                <w:b w:val="1"/>
                <w:bCs w:val="1"/>
                <w:color w:val="auto"/>
                <w:w w:val="87"/>
              </w:rPr>
              <w:t xml:space="preserve"> to 1.00 but less than</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w:t>
            </w:r>
            <w:r>
              <w:rPr>
                <w:rFonts w:ascii="Arial" w:cs="Arial" w:eastAsia="Arial" w:hAnsi="Arial"/>
                <w:sz w:val="18"/>
                <w:szCs w:val="18"/>
                <w:b w:val="1"/>
                <w:bCs w:val="1"/>
                <w:color w:val="auto"/>
              </w:rPr>
              <w:t xml:space="preserve"> to 1.00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Category 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or equal to</w:t>
            </w:r>
          </w:p>
        </w:tc>
        <w:tc>
          <w:tcPr>
            <w:tcW w:w="2520" w:type="dxa"/>
            <w:vAlign w:val="bottom"/>
            <w:gridSpan w:val="4"/>
            <w:shd w:val="clear" w:color="auto" w:fill="CCEEFF"/>
          </w:tcPr>
          <w:p>
            <w:pPr>
              <w:jc w:val="right"/>
              <w:ind w:right="1020"/>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w:t>
            </w:r>
          </w:p>
        </w:tc>
        <w:tc>
          <w:tcPr>
            <w:tcW w:w="3060" w:type="dxa"/>
            <w:vAlign w:val="bottom"/>
            <w:gridSpan w:val="5"/>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3.</w:t>
            </w:r>
            <w:r>
              <w:rPr>
                <w:rFonts w:ascii="Arial" w:cs="Arial" w:eastAsia="Arial" w:hAnsi="Arial"/>
                <w:sz w:val="18"/>
                <w:szCs w:val="18"/>
                <w:b w:val="1"/>
                <w:bCs w:val="1"/>
                <w:u w:val="single" w:color="auto"/>
                <w:color w:val="auto"/>
                <w:w w:val="93"/>
              </w:rPr>
              <w:t>00%</w:t>
            </w:r>
          </w:p>
        </w:tc>
        <w:tc>
          <w:tcPr>
            <w:tcW w:w="1560" w:type="dxa"/>
            <w:vAlign w:val="bottom"/>
            <w:gridSpan w:val="7"/>
            <w:shd w:val="clear" w:color="auto" w:fill="CCEEFF"/>
          </w:tcPr>
          <w:p>
            <w:pPr>
              <w:jc w:val="center"/>
              <w:ind w:left="930"/>
              <w:spacing w:after="0" w:line="176" w:lineRule="exact"/>
              <w:rPr>
                <w:sz w:val="20"/>
                <w:szCs w:val="20"/>
                <w:color w:val="auto"/>
              </w:rPr>
            </w:pPr>
            <w:r>
              <w:rPr>
                <w:rFonts w:ascii="Arial" w:cs="Arial" w:eastAsia="Arial" w:hAnsi="Arial"/>
                <w:sz w:val="18"/>
                <w:szCs w:val="18"/>
                <w:b w:val="1"/>
                <w:bCs w:val="1"/>
                <w:color w:val="auto"/>
                <w:w w:val="97"/>
              </w:rPr>
              <w:t>0.</w:t>
            </w:r>
            <w:r>
              <w:rPr>
                <w:rFonts w:ascii="Arial" w:cs="Arial" w:eastAsia="Arial" w:hAnsi="Arial"/>
                <w:sz w:val="18"/>
                <w:szCs w:val="18"/>
                <w:b w:val="1"/>
                <w:bCs w:val="1"/>
                <w:u w:val="single" w:color="auto"/>
                <w:color w:val="auto"/>
                <w:w w:val="97"/>
              </w:rPr>
              <w:t>90%</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4.</w:t>
            </w:r>
            <w:r>
              <w:rPr>
                <w:rFonts w:ascii="Arial" w:cs="Arial" w:eastAsia="Arial" w:hAnsi="Arial"/>
                <w:sz w:val="18"/>
                <w:szCs w:val="18"/>
                <w:b w:val="1"/>
                <w:bCs w:val="1"/>
                <w:u w:val="single" w:color="auto"/>
                <w:color w:val="auto"/>
                <w:w w:val="88"/>
              </w:rPr>
              <w:t>00</w:t>
            </w:r>
            <w:r>
              <w:rPr>
                <w:rFonts w:ascii="Arial" w:cs="Arial" w:eastAsia="Arial" w:hAnsi="Arial"/>
                <w:sz w:val="18"/>
                <w:szCs w:val="18"/>
                <w:b w:val="1"/>
                <w:bCs w:val="1"/>
                <w:color w:val="auto"/>
                <w:w w:val="88"/>
              </w:rPr>
              <w:t xml:space="preserve"> to 1.00</w:t>
            </w: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Each change in the Applicable Percentage resulting from a change in the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any time during which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has failed to deliver when due the financial statements required by Section 5.04(a) or (b) and the Compliance Certificate required by Section 5.04(c), respectively, the Leverage Ratio shall be deemed to be in Category </w:t>
      </w:r>
      <w:r>
        <w:rPr>
          <w:rFonts w:ascii="Arial" w:cs="Arial" w:eastAsia="Arial" w:hAnsi="Arial"/>
          <w:sz w:val="16"/>
          <w:szCs w:val="16"/>
          <w:b w:val="1"/>
          <w:bCs w:val="1"/>
          <w:color w:val="auto"/>
          <w:strike w:val="1"/>
        </w:rPr>
        <w:t>5</w:t>
      </w:r>
      <w:r>
        <w:rPr>
          <w:rFonts w:ascii="Arial" w:cs="Arial" w:eastAsia="Arial" w:hAnsi="Arial"/>
          <w:sz w:val="16"/>
          <w:szCs w:val="16"/>
          <w:b w:val="1"/>
          <w:bCs w:val="1"/>
          <w:u w:val="single" w:color="auto"/>
          <w:color w:val="auto"/>
        </w:rPr>
        <w:t>7</w:t>
      </w:r>
      <w:r>
        <w:rPr>
          <w:rFonts w:ascii="Arial" w:cs="Arial" w:eastAsia="Arial" w:hAnsi="Arial"/>
          <w:sz w:val="16"/>
          <w:szCs w:val="16"/>
          <w:color w:val="auto"/>
        </w:rPr>
        <w:t xml:space="preserve"> for purposes of determining the Applicable Percentage. Notwithstanding the foregoing, </w:t>
      </w:r>
      <w:r>
        <w:rPr>
          <w:rFonts w:ascii="Arial" w:cs="Arial" w:eastAsia="Arial" w:hAnsi="Arial"/>
          <w:sz w:val="16"/>
          <w:szCs w:val="16"/>
          <w:b w:val="1"/>
          <w:bCs w:val="1"/>
          <w:color w:val="auto"/>
          <w:strike w:val="1"/>
        </w:rPr>
        <w:t>(x) from the Funding</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strike w:val="1"/>
        </w:rPr>
        <w:t>Date through but excluding the date of delivery to the Administrative Agent of financial statements required by Section 5.04(a) or (b) and the Compliance Certificate required by Section 5.04(c), respectively, the Leverage Ratio shall be deemed to be in Category 3 for purposes of determining the Applicable Percentage and (y) thereafter</w:t>
      </w:r>
      <w:r>
        <w:rPr>
          <w:rFonts w:ascii="Arial" w:cs="Arial" w:eastAsia="Arial" w:hAnsi="Arial"/>
          <w:sz w:val="18"/>
          <w:szCs w:val="18"/>
          <w:b w:val="1"/>
          <w:bCs w:val="1"/>
          <w:u w:val="single" w:color="auto"/>
          <w:color w:val="auto"/>
          <w:strike w:val="1"/>
        </w:rPr>
        <w:t>as of the First Amendment Effective Date</w:t>
      </w:r>
      <w:r>
        <w:rPr>
          <w:rFonts w:ascii="Arial" w:cs="Arial" w:eastAsia="Arial" w:hAnsi="Arial"/>
          <w:sz w:val="18"/>
          <w:szCs w:val="18"/>
          <w:color w:val="auto"/>
          <w:strike w:val="1"/>
        </w:rPr>
        <w:t>, the Applicable Percentage shall be based on the Leverage Ratio</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reflected in the most recently delivered financial statements required by Section 5.04(a) or (b) and the Compliance Certificate required by Section 5.04(c),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 Rata Percentage</w:t>
      </w:r>
      <w:r>
        <w:rPr>
          <w:rFonts w:ascii="Arial" w:cs="Arial" w:eastAsia="Arial" w:hAnsi="Arial"/>
          <w:sz w:val="18"/>
          <w:szCs w:val="18"/>
          <w:color w:val="auto"/>
        </w:rPr>
        <w:t xml:space="preserve">” shall mean the Canadian </w:t>
      </w:r>
      <w:r>
        <w:rPr>
          <w:rFonts w:ascii="Arial" w:cs="Arial" w:eastAsia="Arial" w:hAnsi="Arial"/>
          <w:sz w:val="18"/>
          <w:szCs w:val="18"/>
          <w:b w:val="1"/>
          <w:bCs w:val="1"/>
          <w:color w:val="auto"/>
          <w:strike w:val="1"/>
        </w:rPr>
        <w:t>Revolving</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Pro Rata Percentage, the Australian Revolving Pro </w:t>
      </w:r>
      <w:r>
        <w:rPr>
          <w:rFonts w:ascii="Arial" w:cs="Arial" w:eastAsia="Arial" w:hAnsi="Arial"/>
          <w:sz w:val="18"/>
          <w:szCs w:val="18"/>
          <w:b w:val="1"/>
          <w:bCs w:val="1"/>
          <w:color w:val="auto"/>
          <w:strike w:val="1"/>
        </w:rPr>
        <w:t>Rate</w:t>
      </w:r>
      <w:r>
        <w:rPr>
          <w:rFonts w:ascii="Arial" w:cs="Arial" w:eastAsia="Arial" w:hAnsi="Arial"/>
          <w:sz w:val="18"/>
          <w:szCs w:val="18"/>
          <w:b w:val="1"/>
          <w:bCs w:val="1"/>
          <w:u w:val="single" w:color="auto"/>
          <w:color w:val="auto"/>
        </w:rPr>
        <w:t>Rata</w:t>
      </w:r>
      <w:r>
        <w:rPr>
          <w:rFonts w:ascii="Arial" w:cs="Arial" w:eastAsia="Arial" w:hAnsi="Arial"/>
          <w:sz w:val="18"/>
          <w:szCs w:val="18"/>
          <w:color w:val="auto"/>
        </w:rPr>
        <w:t xml:space="preserve"> Percentage or the U.S. Applicable Pro Rata Percentage, as the context may require.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Required Lenders</w:t>
      </w:r>
      <w:r>
        <w:rPr>
          <w:rFonts w:ascii="Arial" w:cs="Arial" w:eastAsia="Arial" w:hAnsi="Arial"/>
          <w:sz w:val="18"/>
          <w:szCs w:val="18"/>
          <w:color w:val="auto"/>
        </w:rPr>
        <w:t xml:space="preserve">” shall mean (a) the Required U.S. Revolving Lenders with respect to the U.S. Revolving Credit Facility, (b) the Required U.S. Term Lenders with respect to the U.S. Term Loan Facility, (c) the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with respect to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w:t>
      </w:r>
      <w:r>
        <w:rPr>
          <w:rFonts w:ascii="Arial" w:cs="Arial" w:eastAsia="Arial" w:hAnsi="Arial"/>
          <w:sz w:val="18"/>
          <w:szCs w:val="18"/>
          <w:b w:val="1"/>
          <w:bCs w:val="1"/>
          <w:color w:val="auto"/>
        </w:rPr>
        <w:t xml:space="preserve"> or</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w:t>
      </w:r>
      <w:r>
        <w:rPr>
          <w:rFonts w:ascii="Arial" w:cs="Arial" w:eastAsia="Arial" w:hAnsi="Arial"/>
          <w:sz w:val="18"/>
          <w:szCs w:val="18"/>
          <w:b w:val="1"/>
          <w:bCs w:val="1"/>
          <w:u w:val="single" w:color="auto"/>
          <w:color w:val="auto"/>
        </w:rPr>
        <w:t>) the Required Canadian Tranche B Lenders with respect to the Canadian Tranche B Revolving 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Facility, (e) the Required Canadian Term Lenders with respect to the Canadian Term Loan Facility, or (f</w:t>
      </w:r>
      <w:r>
        <w:rPr>
          <w:rFonts w:ascii="Arial" w:cs="Arial" w:eastAsia="Arial" w:hAnsi="Arial"/>
          <w:sz w:val="18"/>
          <w:szCs w:val="18"/>
          <w:color w:val="auto"/>
        </w:rPr>
        <w:t>) the Required Australian Lenders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Australian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-351155</wp:posOffset>
            </wp:positionV>
            <wp:extent cx="1447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Swing Line Lender</w:t>
      </w:r>
      <w:r>
        <w:rPr>
          <w:rFonts w:ascii="Arial" w:cs="Arial" w:eastAsia="Arial" w:hAnsi="Arial"/>
          <w:sz w:val="18"/>
          <w:szCs w:val="18"/>
          <w:color w:val="auto"/>
        </w:rPr>
        <w:t xml:space="preserve">” shall mean (a) with respect to the U.S. Swing Line Sublimit, (i) the U.S. Swing Line Lender and (ii) if any U.S. Swing Line Loans are outstanding </w:t>
      </w:r>
      <w:r>
        <w:rPr>
          <w:rFonts w:ascii="Arial" w:cs="Arial" w:eastAsia="Arial" w:hAnsi="Arial"/>
          <w:sz w:val="18"/>
          <w:szCs w:val="18"/>
          <w:b w:val="1"/>
          <w:bCs w:val="1"/>
          <w:u w:val="single" w:color="auto"/>
          <w:color w:val="auto"/>
        </w:rPr>
        <w:t>and have not been refinanced by a U.S. Revolving Borrowing</w:t>
      </w:r>
      <w:r>
        <w:rPr>
          <w:rFonts w:ascii="Arial" w:cs="Arial" w:eastAsia="Arial" w:hAnsi="Arial"/>
          <w:sz w:val="18"/>
          <w:szCs w:val="18"/>
          <w:color w:val="auto"/>
        </w:rPr>
        <w:t xml:space="preserve"> pursuant to Section 2.23(c)</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the U.S. Revolving Lenders and (b) with respect to the Canadian Swing Line Sublimit, </w:t>
      </w:r>
      <w:r>
        <w:rPr>
          <w:rFonts w:ascii="Arial" w:cs="Arial" w:eastAsia="Arial" w:hAnsi="Arial"/>
          <w:sz w:val="18"/>
          <w:szCs w:val="18"/>
          <w:b w:val="1"/>
          <w:bCs w:val="1"/>
          <w:color w:val="auto"/>
          <w:strike w:val="1"/>
        </w:rPr>
        <w:t>(i)</w:t>
      </w:r>
      <w:r>
        <w:rPr>
          <w:rFonts w:ascii="Arial" w:cs="Arial" w:eastAsia="Arial" w:hAnsi="Arial"/>
          <w:sz w:val="18"/>
          <w:szCs w:val="18"/>
          <w:color w:val="auto"/>
        </w:rPr>
        <w:t xml:space="preserve"> the Canadian Swing Line Lender and (ii) if any Canadian Swing Line Loans are outstanding </w:t>
      </w:r>
      <w:r>
        <w:rPr>
          <w:rFonts w:ascii="Arial" w:cs="Arial" w:eastAsia="Arial" w:hAnsi="Arial"/>
          <w:sz w:val="18"/>
          <w:szCs w:val="18"/>
          <w:b w:val="1"/>
          <w:bCs w:val="1"/>
          <w:u w:val="single" w:color="auto"/>
          <w:color w:val="auto"/>
        </w:rPr>
        <w:t>and have not been refinanced by a Canadian Tranche A Revolving Borrowing</w:t>
      </w:r>
      <w:r>
        <w:rPr>
          <w:rFonts w:ascii="Arial" w:cs="Arial" w:eastAsia="Arial" w:hAnsi="Arial"/>
          <w:sz w:val="18"/>
          <w:szCs w:val="18"/>
          <w:color w:val="auto"/>
        </w:rPr>
        <w:t xml:space="preserve"> pursuant to Section 2.23(c)</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shall mean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shall mean the sale, transfer or other disposition (by way of merger, casualty, condemnation or otherwise) of any or all of the property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to any person other than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(other than (a) Equity Interests in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directors’ qualifying shares in any Subsidiary, (b) inventory, damaged, obsolete or worn out assets, scrap and Permitted Investments, in each case disposed of in the ordinary course of business, or (c) dispositions between or among Subsidiaries that are not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 sale or series of related asset sales described above having a value not in excess of U.S.$1,000,000 shall be deemed not to be an “Asset Sale” for purposes of this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 Group</w:t>
      </w:r>
      <w:r>
        <w:rPr>
          <w:rFonts w:ascii="Arial" w:cs="Arial" w:eastAsia="Arial" w:hAnsi="Arial"/>
          <w:sz w:val="18"/>
          <w:szCs w:val="18"/>
          <w:color w:val="auto"/>
        </w:rPr>
        <w:t>” shall mean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shall mean an “associate” as defined in section 128F(9) of the Australian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Attorneys</w:t>
      </w:r>
      <w:r>
        <w:rPr>
          <w:rFonts w:ascii="Arial" w:cs="Arial" w:eastAsia="Arial" w:hAnsi="Arial"/>
          <w:sz w:val="18"/>
          <w:szCs w:val="18"/>
          <w:color w:val="auto"/>
        </w:rPr>
        <w:t>” shall have the meaning assigned to such term in Section 1.03(b).</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Collateral</w:t>
      </w:r>
      <w:r>
        <w:rPr>
          <w:rFonts w:ascii="Arial" w:cs="Arial" w:eastAsia="Arial" w:hAnsi="Arial"/>
          <w:sz w:val="18"/>
          <w:szCs w:val="18"/>
          <w:color w:val="auto"/>
        </w:rPr>
        <w:t>” shall mean all “Collateral” or “Secured Property” as defined in any Australian Security Document.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Collateral Agent</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Corporations Act</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Corporations Act 2001 (Cth)</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 Equivalent</w:t>
      </w:r>
      <w:r>
        <w:rPr>
          <w:rFonts w:ascii="Arial" w:cs="Arial" w:eastAsia="Arial" w:hAnsi="Arial"/>
          <w:sz w:val="18"/>
          <w:szCs w:val="18"/>
          <w:color w:val="auto"/>
        </w:rPr>
        <w:t>” shall mean, on any date of determination, with respect to any amount in U.S. dollars, the equivalent in Australian dollars of such amount, determined by the Administrative Agent using the Exchange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dollars</w:t>
      </w:r>
      <w:r>
        <w:rPr>
          <w:rFonts w:ascii="Arial" w:cs="Arial" w:eastAsia="Arial" w:hAnsi="Arial"/>
          <w:sz w:val="18"/>
          <w:szCs w:val="18"/>
          <w:color w:val="auto"/>
        </w:rPr>
        <w:t>”, “</w:t>
      </w:r>
      <w:r>
        <w:rPr>
          <w:rFonts w:ascii="Arial" w:cs="Arial" w:eastAsia="Arial" w:hAnsi="Arial"/>
          <w:sz w:val="18"/>
          <w:szCs w:val="18"/>
          <w:i w:val="1"/>
          <w:iCs w:val="1"/>
          <w:color w:val="auto"/>
        </w:rPr>
        <w:t>AUD</w:t>
      </w:r>
      <w:r>
        <w:rPr>
          <w:rFonts w:ascii="Arial" w:cs="Arial" w:eastAsia="Arial" w:hAnsi="Arial"/>
          <w:sz w:val="18"/>
          <w:szCs w:val="18"/>
          <w:color w:val="auto"/>
        </w:rPr>
        <w:t>” and “</w:t>
      </w:r>
      <w:r>
        <w:rPr>
          <w:rFonts w:ascii="Arial" w:cs="Arial" w:eastAsia="Arial" w:hAnsi="Arial"/>
          <w:sz w:val="18"/>
          <w:szCs w:val="18"/>
          <w:i w:val="1"/>
          <w:iCs w:val="1"/>
          <w:color w:val="auto"/>
        </w:rPr>
        <w:t>AUD$</w:t>
      </w:r>
      <w:r>
        <w:rPr>
          <w:rFonts w:ascii="Arial" w:cs="Arial" w:eastAsia="Arial" w:hAnsi="Arial"/>
          <w:sz w:val="18"/>
          <w:szCs w:val="18"/>
          <w:color w:val="auto"/>
        </w:rPr>
        <w:t>” shall mean the lawful money of the Commonwealth of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GAAP</w:t>
      </w:r>
      <w:r>
        <w:rPr>
          <w:rFonts w:ascii="Arial" w:cs="Arial" w:eastAsia="Arial" w:hAnsi="Arial"/>
          <w:sz w:val="18"/>
          <w:szCs w:val="18"/>
          <w:color w:val="auto"/>
        </w:rPr>
        <w:t>” shall mean generally accepted accounting principles, standards and practices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“Australian GST” shall have the meaning given in 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“Australian GST Liability” shall have the meaning assigned to such term in Section 2.19(j).</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Guarantee Agreement</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Deed of Guarantee and Indemnity, substantially in the form of Exhibit C-1, in favor of the Australian Collateral Agent, for the benefit of the Australian Secured Parties.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“Australian GST” shall have the meaning given in A New Tax System (Goods and Services Tax) Act 1999 (Cth).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i w:val="1"/>
          <w:iCs w:val="1"/>
          <w:color w:val="auto"/>
          <w:strike w:val="1"/>
        </w:rPr>
        <w:t>“Australian GST Liability” shall have the meaning assigned to such term in Section 2.19(j).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Holdco</w:t>
      </w:r>
      <w:r>
        <w:rPr>
          <w:rFonts w:ascii="Arial" w:cs="Arial" w:eastAsia="Arial" w:hAnsi="Arial"/>
          <w:sz w:val="18"/>
          <w:szCs w:val="18"/>
          <w:color w:val="auto"/>
        </w:rPr>
        <w:t>” shall mean Civeo Holding Company 2 Pty Limited ACN 146 700 487, a proprietary limited company organized and existing under the laws of Australia, and the direct owner of 100% of the Equity Interests of the Australian Borrower.</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Land Access Agreement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a land access and use agreement between (a) the Affiliate Australian Land Company, the Australian Collateral Agent and, where the land the subject of such agreement is not owned by the Affiliate Australian Land Company, the registered proprietor of that land or (b) for an Australian Third Party Lease, the relevant Australian Loan Party, the Affiliate Australian Land Company, if applicable, and the registered proprietor of the land the subject of that Australian Third Party Lease, in each case, in form reasonably satisfactory to the Australian Collateral Agent, that includes (among other matters) provisions consenting to the creation of the Liens under the Security Documents and enforcement of rights under the Security Documents.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Exposure</w:t>
      </w:r>
      <w:r>
        <w:rPr>
          <w:rFonts w:ascii="Arial" w:cs="Arial" w:eastAsia="Arial" w:hAnsi="Arial"/>
          <w:sz w:val="18"/>
          <w:szCs w:val="18"/>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Lenders</w:t>
      </w:r>
      <w:r>
        <w:rPr>
          <w:rFonts w:ascii="Arial" w:cs="Arial" w:eastAsia="Arial" w:hAnsi="Arial"/>
          <w:sz w:val="18"/>
          <w:szCs w:val="18"/>
          <w:color w:val="auto"/>
        </w:rPr>
        <w:t xml:space="preserve">” shall mean Lenders having Australian Revolving Commitments, outstanding Australian Revolving Credit Loans or participations in Australian Letters of Credit </w:t>
      </w:r>
      <w:r>
        <w:rPr>
          <w:rFonts w:ascii="Arial" w:cs="Arial" w:eastAsia="Arial" w:hAnsi="Arial"/>
          <w:sz w:val="18"/>
          <w:szCs w:val="18"/>
          <w:b w:val="1"/>
          <w:bCs w:val="1"/>
          <w:u w:val="single" w:color="auto"/>
          <w:color w:val="auto"/>
        </w:rPr>
        <w:t>pursuant to Section 2.21(d)</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Loan Parties</w:t>
      </w:r>
      <w:r>
        <w:rPr>
          <w:rFonts w:ascii="Arial" w:cs="Arial" w:eastAsia="Arial" w:hAnsi="Arial"/>
          <w:sz w:val="18"/>
          <w:szCs w:val="18"/>
          <w:color w:val="auto"/>
        </w:rPr>
        <w:t>” shall mean the Australian Borrower, Australian Holdco and the Australian Subsidiary Guarantors.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Borrowing</w:t>
      </w:r>
      <w:r>
        <w:rPr>
          <w:rFonts w:ascii="Arial" w:cs="Arial" w:eastAsia="Arial" w:hAnsi="Arial"/>
          <w:sz w:val="18"/>
          <w:szCs w:val="18"/>
          <w:color w:val="auto"/>
        </w:rPr>
        <w:t>” shall mean a group of Australian Revolving Credit Loans of a single Type made, converted or continued by the Australian Lenders on a single date and as to which a single Interest Period is in effect.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Commitment</w:t>
      </w:r>
      <w:r>
        <w:rPr>
          <w:rFonts w:ascii="Arial" w:cs="Arial" w:eastAsia="Arial" w:hAnsi="Arial"/>
          <w:sz w:val="16"/>
          <w:szCs w:val="16"/>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reduced from time to time pursuant to Section 2.09 and (ii) reduced or increased from time to time pursuant to assignments by or to such Australian Lender pursuant to Section 9.04. The aggregate amount of the Australian Revolving Commitments as of the Closing Date is U.S.$100,000,000.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Credit Exposure</w:t>
      </w:r>
      <w:r>
        <w:rPr>
          <w:rFonts w:ascii="Arial" w:cs="Arial" w:eastAsia="Arial" w:hAnsi="Arial"/>
          <w:sz w:val="16"/>
          <w:szCs w:val="16"/>
          <w:color w:val="auto"/>
        </w:rPr>
        <w:t xml:space="preserve">” shall mean, with respect to any Australian Lender at any time, the aggregate principal amount at such time of all outstanding Australian Revolving Credit Loans of such Lender denominated in U.S.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principal amount at such time of all outstanding Australian Revolving Credit Loans of such Australian Lender denominated in Australian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amount at such time of such Australian Lender’s Australian Revolving Pro Rata Percentage of the Australian L/C Exposure.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Facility</w:t>
      </w:r>
      <w:r>
        <w:rPr>
          <w:rFonts w:ascii="Arial" w:cs="Arial" w:eastAsia="Arial" w:hAnsi="Arial"/>
          <w:sz w:val="18"/>
          <w:szCs w:val="18"/>
          <w:color w:val="auto"/>
        </w:rPr>
        <w:t>” shall mean at any time the aggregate amount of the Australian Revolving Commitments of the Australian Lenders at such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Loans</w:t>
      </w:r>
      <w:r>
        <w:rPr>
          <w:rFonts w:ascii="Arial" w:cs="Arial" w:eastAsia="Arial" w:hAnsi="Arial"/>
          <w:sz w:val="18"/>
          <w:szCs w:val="18"/>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Eurocurrency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Revolving Pro Rata Percentage</w:t>
      </w:r>
      <w:r>
        <w:rPr>
          <w:rFonts w:ascii="Arial" w:cs="Arial" w:eastAsia="Arial" w:hAnsi="Arial"/>
          <w:sz w:val="17"/>
          <w:szCs w:val="17"/>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Australian Revolving Commitments have terminated, the Australian</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auto"/>
        </w:rPr>
        <w:t>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Pro Rata Percentages of the Australian Lenders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the Australian Revolving Commitments most recently in effect, giving effect to any assignments.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Secured Parties</w:t>
      </w:r>
      <w:r>
        <w:rPr>
          <w:rFonts w:ascii="Arial" w:cs="Arial" w:eastAsia="Arial" w:hAnsi="Arial"/>
          <w:sz w:val="18"/>
          <w:szCs w:val="18"/>
          <w:color w:val="auto"/>
        </w:rPr>
        <w:t>” shall have the meaning assigned to the term “Beneficiaries” in the Australian Security Trust Deed.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Deed</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Australian General Security Deed governed by the laws of New South Wales, Australia, substantially in the form of Exhibit E-1, among the Australian Borrower and the Australian Subsidiary Guarantors, as grantors, and the Australian Collateral Agent for the benefit of the Australian Secured Parties.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Documents</w:t>
      </w:r>
      <w:r>
        <w:rPr>
          <w:rFonts w:ascii="Arial" w:cs="Arial" w:eastAsia="Arial" w:hAnsi="Arial"/>
          <w:sz w:val="18"/>
          <w:szCs w:val="18"/>
          <w:color w:val="auto"/>
        </w:rPr>
        <w:t xml:space="preserve">” shall mean the Australian Security </w:t>
      </w:r>
      <w:r>
        <w:rPr>
          <w:rFonts w:ascii="Arial" w:cs="Arial" w:eastAsia="Arial" w:hAnsi="Arial"/>
          <w:sz w:val="18"/>
          <w:szCs w:val="18"/>
          <w:b w:val="1"/>
          <w:bCs w:val="1"/>
          <w:color w:val="auto"/>
          <w:strike w:val="1"/>
        </w:rPr>
        <w:t>Deed</w:t>
      </w:r>
      <w:r>
        <w:rPr>
          <w:rFonts w:ascii="Arial" w:cs="Arial" w:eastAsia="Arial" w:hAnsi="Arial"/>
          <w:sz w:val="18"/>
          <w:szCs w:val="18"/>
          <w:b w:val="1"/>
          <w:bCs w:val="1"/>
          <w:u w:val="single" w:color="auto"/>
          <w:color w:val="auto"/>
        </w:rPr>
        <w:t>Deeds</w:t>
      </w:r>
      <w:r>
        <w:rPr>
          <w:rFonts w:ascii="Arial" w:cs="Arial" w:eastAsia="Arial" w:hAnsi="Arial"/>
          <w:sz w:val="18"/>
          <w:szCs w:val="18"/>
          <w:color w:val="auto"/>
        </w:rPr>
        <w:t xml:space="preserve">, the Australian Security Trust Deed, the Australian Share Security Deed and each other Security Document to which the Australian Borrower, Australian Holdco, any Australian Subsidiary Guarantor or any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Australian Borrower is a party and that purports to grant a Lien in the assets of any such person in favor of the Australian</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for the benefit of the Australian Secured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Trust Deed</w:t>
      </w:r>
      <w:r>
        <w:rPr>
          <w:rFonts w:ascii="Arial" w:cs="Arial" w:eastAsia="Arial" w:hAnsi="Arial"/>
          <w:sz w:val="18"/>
          <w:szCs w:val="18"/>
          <w:color w:val="auto"/>
        </w:rPr>
        <w:t>” shall mean the security trust deed granted by the Australian Collateral Agent, as security trustee.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Share Security Deed</w:t>
      </w:r>
      <w:r>
        <w:rPr>
          <w:rFonts w:ascii="Arial" w:cs="Arial" w:eastAsia="Arial" w:hAnsi="Arial"/>
          <w:sz w:val="18"/>
          <w:szCs w:val="18"/>
          <w:color w:val="auto"/>
        </w:rPr>
        <w:t>” shall mean the Australian Specific Security Deed governed by the laws of New South Wales, Australia, substantially in the form of Exhibit D-1, among Australian Holdco as grantor and the Australian Collateral Agent for the benefit of the Australian Secured 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Subsidiaries</w:t>
      </w:r>
      <w:r>
        <w:rPr>
          <w:rFonts w:ascii="Arial" w:cs="Arial" w:eastAsia="Arial" w:hAnsi="Arial"/>
          <w:sz w:val="18"/>
          <w:szCs w:val="18"/>
          <w:color w:val="auto"/>
        </w:rPr>
        <w:t>” shall mean the Subsidiaries (other than the Australian Borrower) organized under the laws of the Commonwealth of Australia or any state, territory or other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Subsidiary Guarantor</w:t>
      </w:r>
      <w:r>
        <w:rPr>
          <w:rFonts w:ascii="Arial" w:cs="Arial" w:eastAsia="Arial" w:hAnsi="Arial"/>
          <w:sz w:val="18"/>
          <w:szCs w:val="18"/>
          <w:color w:val="auto"/>
        </w:rPr>
        <w:t xml:space="preserve">” shall mean each Australia Subsidiary listed on Schedule 1.01(d), and each other Australian Subsidiary that is or becomes a party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w:t>
      </w:r>
      <w:r>
        <w:rPr>
          <w:rFonts w:ascii="Arial" w:cs="Arial" w:eastAsia="Arial" w:hAnsi="Arial"/>
          <w:sz w:val="18"/>
          <w:szCs w:val="18"/>
          <w:color w:val="auto"/>
        </w:rPr>
        <w:t xml:space="preserve"> Australian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Tax Act</w:t>
      </w:r>
      <w:r>
        <w:rPr>
          <w:rFonts w:ascii="Arial" w:cs="Arial" w:eastAsia="Arial" w:hAnsi="Arial"/>
          <w:sz w:val="18"/>
          <w:szCs w:val="18"/>
          <w:color w:val="auto"/>
        </w:rPr>
        <w:t>” shall mean the Income Tax Assessment Act 1936 (Cth) (Australia) or the Income Tax Assessment Act 1997 (Cth) (Australia) as applicable.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Third Party Leases</w:t>
      </w:r>
      <w:r>
        <w:rPr>
          <w:rFonts w:ascii="Arial" w:cs="Arial" w:eastAsia="Arial" w:hAnsi="Arial"/>
          <w:sz w:val="17"/>
          <w:szCs w:val="17"/>
          <w:color w:val="auto"/>
        </w:rPr>
        <w:t>” shall mean (a) leasehold property or interest of an Australian Loan Party of land as to which an Affiliate Australian Land Company is not the registered proprietor of such land and (b) leasehold property or interest of an Affiliate Australian Land Company of land as to which an Australian Loan Party also has rights through a sublease, license or other agreement with such Affiliate Australian Land Company.</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Withholding Tax</w:t>
      </w:r>
      <w:r>
        <w:rPr>
          <w:rFonts w:ascii="Arial" w:cs="Arial" w:eastAsia="Arial" w:hAnsi="Arial"/>
          <w:sz w:val="17"/>
          <w:szCs w:val="17"/>
          <w:color w:val="auto"/>
        </w:rPr>
        <w:t xml:space="preserve">” shall mean any Australian Tax required to be withheld or deducted from any interest or other payment under Division 11A of Part III of the Tax Act or Subdivision 12-F of Schedule 1 to the </w:t>
      </w:r>
      <w:r>
        <w:rPr>
          <w:rFonts w:ascii="Arial" w:cs="Arial" w:eastAsia="Arial" w:hAnsi="Arial"/>
          <w:sz w:val="17"/>
          <w:szCs w:val="17"/>
          <w:i w:val="1"/>
          <w:iCs w:val="1"/>
          <w:color w:val="auto"/>
        </w:rPr>
        <w:t>Taxation Administration Act</w:t>
      </w:r>
      <w:r>
        <w:rPr>
          <w:rFonts w:ascii="Arial" w:cs="Arial" w:eastAsia="Arial" w:hAnsi="Arial"/>
          <w:sz w:val="17"/>
          <w:szCs w:val="17"/>
          <w:color w:val="auto"/>
        </w:rPr>
        <w:t xml:space="preserve"> 1953 (Commonwealth of Australia).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AutoBorrow Agreement</w:t>
      </w:r>
      <w:r>
        <w:rPr>
          <w:rFonts w:ascii="Arial" w:cs="Arial" w:eastAsia="Arial" w:hAnsi="Arial"/>
          <w:sz w:val="16"/>
          <w:szCs w:val="16"/>
          <w:color w:val="auto"/>
        </w:rPr>
        <w:t>” shall mean any agreement providing for automatic borrowing services between a Loan Party and a Swing Line Lender.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Discount Rate</w:t>
      </w:r>
      <w:r>
        <w:rPr>
          <w:rFonts w:ascii="Arial" w:cs="Arial" w:eastAsia="Arial" w:hAnsi="Arial"/>
          <w:sz w:val="18"/>
          <w:szCs w:val="18"/>
          <w:color w:val="auto"/>
        </w:rPr>
        <w:t>” shall mean:</w:t>
      </w:r>
    </w:p>
    <w:p>
      <w:pPr>
        <w:spacing w:after="0" w:line="225" w:lineRule="exact"/>
        <w:rPr>
          <w:sz w:val="20"/>
          <w:szCs w:val="20"/>
          <w:color w:val="auto"/>
        </w:rPr>
      </w:pPr>
    </w:p>
    <w:p>
      <w:pPr>
        <w:ind w:right="20" w:firstLine="656"/>
        <w:spacing w:after="0" w:line="277" w:lineRule="auto"/>
        <w:tabs>
          <w:tab w:leader="none" w:pos="11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with respect to an issue of Bankers’ Acceptances having the same Contract Period accepted by a Lender that is a Canadian chartered bank listed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(other than Canadian Western Bank), the CDOR Rate; and</w:t>
      </w:r>
    </w:p>
    <w:p>
      <w:pPr>
        <w:spacing w:after="0" w:line="170" w:lineRule="exact"/>
        <w:rPr>
          <w:rFonts w:ascii="Arial" w:cs="Arial" w:eastAsia="Arial" w:hAnsi="Arial"/>
          <w:sz w:val="18"/>
          <w:szCs w:val="18"/>
          <w:color w:val="auto"/>
        </w:rPr>
      </w:pPr>
    </w:p>
    <w:p>
      <w:pPr>
        <w:ind w:firstLine="656"/>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 issue of Bankers’ Acceptances having the same Contract Period accepted by Canadian Western Bank or a Lender that is not a bank under Schedule I to the Bank Act (Canada), the CDOR Rate plus 0.10%;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B/A Discount Rate for purposes of this Agreement shall at no time be less than 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 Loan</w:t>
      </w:r>
      <w:r>
        <w:rPr>
          <w:rFonts w:ascii="Arial" w:cs="Arial" w:eastAsia="Arial" w:hAnsi="Arial"/>
          <w:sz w:val="17"/>
          <w:szCs w:val="17"/>
          <w:color w:val="auto"/>
        </w:rPr>
        <w:t xml:space="preserve">” shall mean a Borrowing comprised of one or more Bankers’ Acceptances or, as applicable, B/A Equivalent Loans. For greater certainty, all provisions of this Agreement that are applicable to Bankers’ Acceptances are also applicable, </w:t>
      </w:r>
      <w:r>
        <w:rPr>
          <w:rFonts w:ascii="Arial" w:cs="Arial" w:eastAsia="Arial" w:hAnsi="Arial"/>
          <w:sz w:val="17"/>
          <w:szCs w:val="17"/>
          <w:i w:val="1"/>
          <w:iCs w:val="1"/>
          <w:color w:val="auto"/>
        </w:rPr>
        <w:t>mutatis mutandis</w:t>
      </w:r>
      <w:r>
        <w:rPr>
          <w:rFonts w:ascii="Arial" w:cs="Arial" w:eastAsia="Arial" w:hAnsi="Arial"/>
          <w:sz w:val="17"/>
          <w:szCs w:val="17"/>
          <w:color w:val="auto"/>
        </w:rPr>
        <w:t>, to B/A Equivalent Loans.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Bankers</w:t>
      </w:r>
      <w:r>
        <w:rPr>
          <w:rFonts w:ascii="Arial" w:cs="Arial" w:eastAsia="Arial" w:hAnsi="Arial"/>
          <w:sz w:val="18"/>
          <w:szCs w:val="18"/>
          <w:color w:val="auto"/>
        </w:rPr>
        <w:t xml:space="preserve">’ </w:t>
      </w:r>
      <w:r>
        <w:rPr>
          <w:rFonts w:ascii="Arial" w:cs="Arial" w:eastAsia="Arial" w:hAnsi="Arial"/>
          <w:sz w:val="18"/>
          <w:szCs w:val="18"/>
          <w:i w:val="1"/>
          <w:iCs w:val="1"/>
          <w:color w:val="auto"/>
        </w:rPr>
        <w:t>Acceptance</w:t>
      </w:r>
      <w:r>
        <w:rPr>
          <w:rFonts w:ascii="Arial" w:cs="Arial" w:eastAsia="Arial" w:hAnsi="Arial"/>
          <w:sz w:val="18"/>
          <w:szCs w:val="18"/>
          <w:color w:val="auto"/>
        </w:rPr>
        <w:t>” and “</w:t>
      </w:r>
      <w:r>
        <w:rPr>
          <w:rFonts w:ascii="Arial" w:cs="Arial" w:eastAsia="Arial" w:hAnsi="Arial"/>
          <w:sz w:val="18"/>
          <w:szCs w:val="18"/>
          <w:i w:val="1"/>
          <w:iCs w:val="1"/>
          <w:color w:val="auto"/>
        </w:rPr>
        <w:t>B/A</w:t>
      </w:r>
      <w:r>
        <w:rPr>
          <w:rFonts w:ascii="Arial" w:cs="Arial" w:eastAsia="Arial" w:hAnsi="Arial"/>
          <w:sz w:val="18"/>
          <w:szCs w:val="18"/>
          <w:color w:val="auto"/>
        </w:rPr>
        <w:t xml:space="preserve">” shall mean a non-interest bearing draft denominated in Canadian dollars, drawn by a Canadian Borrower, and accepted by a Canadian Lender in accordance with this Agreement, and may include a depository note within the meaning of the </w:t>
      </w:r>
      <w:r>
        <w:rPr>
          <w:rFonts w:ascii="Arial" w:cs="Arial" w:eastAsia="Arial" w:hAnsi="Arial"/>
          <w:sz w:val="18"/>
          <w:szCs w:val="18"/>
          <w:i w:val="1"/>
          <w:iCs w:val="1"/>
          <w:color w:val="auto"/>
        </w:rPr>
        <w:t>Depository Bills and 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and a bill of exchange within the meaning of the</w:t>
      </w:r>
      <w:r>
        <w:rPr>
          <w:rFonts w:ascii="Arial" w:cs="Arial" w:eastAsia="Arial" w:hAnsi="Arial"/>
          <w:sz w:val="18"/>
          <w:szCs w:val="18"/>
          <w:i w:val="1"/>
          <w:iCs w:val="1"/>
          <w:color w:val="auto"/>
        </w:rPr>
        <w:t xml:space="preserve"> Bills of Exchange Act </w:t>
      </w: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Banking Services</w:t>
      </w:r>
      <w:r>
        <w:rPr>
          <w:rFonts w:ascii="Arial" w:cs="Arial" w:eastAsia="Arial" w:hAnsi="Arial"/>
          <w:sz w:val="17"/>
          <w:szCs w:val="17"/>
          <w:color w:val="auto"/>
        </w:rPr>
        <w:t xml:space="preserve">” shall mean each and any of the following bank services provided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Banking Services Obligations</w:t>
      </w:r>
      <w:r>
        <w:rPr>
          <w:rFonts w:ascii="Arial" w:cs="Arial" w:eastAsia="Arial" w:hAnsi="Arial"/>
          <w:sz w:val="18"/>
          <w:szCs w:val="18"/>
          <w:color w:val="auto"/>
        </w:rPr>
        <w:t xml:space="preserve">” shall mean any and all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BBSY Rate</w:t>
      </w:r>
      <w:r>
        <w:rPr>
          <w:rFonts w:ascii="Arial" w:cs="Arial" w:eastAsia="Arial" w:hAnsi="Arial"/>
          <w:sz w:val="17"/>
          <w:szCs w:val="17"/>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i w:val="1"/>
          <w:iCs w:val="1"/>
          <w:u w:val="single" w:color="auto"/>
          <w:color w:val="auto"/>
        </w:rPr>
        <w:t>Bilateral Agreement” shall mean that certain AUD$30,000,000 Facility Agreement dated September 14, 2012 between the Australian Borrower</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u w:val="single" w:color="auto"/>
          <w:color w:val="auto"/>
        </w:rPr>
        <w:t xml:space="preserve">and </w:t>
      </w:r>
      <w:r>
        <w:rPr>
          <w:rFonts w:ascii="Arial" w:cs="Arial" w:eastAsia="Arial" w:hAnsi="Arial"/>
          <w:sz w:val="18"/>
          <w:szCs w:val="18"/>
          <w:b w:val="1"/>
          <w:bCs w:val="1"/>
          <w:u w:val="single" w:color="auto"/>
          <w:color w:val="auto"/>
        </w:rPr>
        <w:t>the Bilateral Lender, as amended or supplemented from time to time or any agreement between the Australian Borrower and the Bilateral</w:t>
      </w:r>
      <w:r>
        <w:rPr>
          <w:rFonts w:ascii="Arial" w:cs="Arial" w:eastAsia="Arial" w:hAnsi="Arial"/>
          <w:sz w:val="18"/>
          <w:szCs w:val="18"/>
          <w:i w:val="1"/>
          <w:iCs w:val="1"/>
          <w:u w:val="single" w:color="auto"/>
          <w:color w:val="auto"/>
        </w:rPr>
        <w:t xml:space="preserve"> </w:t>
      </w:r>
      <w:r>
        <w:rPr>
          <w:rFonts w:ascii="Arial" w:cs="Arial" w:eastAsia="Arial" w:hAnsi="Arial"/>
          <w:sz w:val="18"/>
          <w:szCs w:val="18"/>
          <w:b w:val="1"/>
          <w:bCs w:val="1"/>
          <w:u w:val="single" w:color="auto"/>
          <w:color w:val="auto"/>
        </w:rPr>
        <w:t>Lender that replaces that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Bilateral Obligations</w:t>
      </w:r>
      <w:r>
        <w:rPr>
          <w:rFonts w:ascii="Arial" w:cs="Arial" w:eastAsia="Arial" w:hAnsi="Arial"/>
          <w:sz w:val="18"/>
          <w:szCs w:val="18"/>
          <w:b w:val="1"/>
          <w:bCs w:val="1"/>
          <w:u w:val="single" w:color="auto"/>
          <w:color w:val="auto"/>
        </w:rPr>
        <w:t xml:space="preserve">” shall mean all the liabilities of the Australian Borrower to the Bilateral Lender under or by reason of the </w:t>
      </w:r>
      <w:r>
        <w:rPr>
          <w:rFonts w:ascii="Arial" w:cs="Arial" w:eastAsia="Arial" w:hAnsi="Arial"/>
          <w:sz w:val="18"/>
          <w:szCs w:val="18"/>
          <w:i w:val="1"/>
          <w:iCs w:val="1"/>
          <w:u w:val="single" w:color="auto"/>
          <w:color w:val="auto"/>
        </w:rPr>
        <w:t>Bilateral</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u w:val="single" w:color="auto"/>
          <w:color w:val="auto"/>
        </w:rPr>
        <w:t xml:space="preserve">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w:t>
      </w:r>
      <w:r>
        <w:rPr>
          <w:rFonts w:ascii="Arial" w:cs="Arial" w:eastAsia="Arial" w:hAnsi="Arial"/>
          <w:sz w:val="18"/>
          <w:szCs w:val="18"/>
          <w:b w:val="1"/>
          <w:bCs w:val="1"/>
          <w:u w:val="single" w:color="auto"/>
          <w:color w:val="auto"/>
        </w:rPr>
        <w:t>Bilateral Obligations under this Agreement or any other Loan</w:t>
      </w:r>
      <w:r>
        <w:rPr>
          <w:rFonts w:ascii="Arial" w:cs="Arial" w:eastAsia="Arial" w:hAnsi="Arial"/>
          <w:sz w:val="18"/>
          <w:szCs w:val="18"/>
          <w:i w:val="1"/>
          <w:iCs w:val="1"/>
          <w:u w:val="single" w:color="auto"/>
          <w:color w:val="auto"/>
        </w:rPr>
        <w:t xml:space="preserve"> </w:t>
      </w:r>
      <w:r>
        <w:rPr>
          <w:rFonts w:ascii="Arial" w:cs="Arial" w:eastAsia="Arial" w:hAnsi="Arial"/>
          <w:sz w:val="18"/>
          <w:szCs w:val="18"/>
          <w:b w:val="1"/>
          <w:bCs w:val="1"/>
          <w:u w:val="single" w:color="auto"/>
          <w:color w:val="auto"/>
        </w:rPr>
        <w:t>Document shall not exceed AUD$30,000,000.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Bilateral Lender</w:t>
      </w:r>
      <w:r>
        <w:rPr>
          <w:rFonts w:ascii="Arial" w:cs="Arial" w:eastAsia="Arial" w:hAnsi="Arial"/>
          <w:sz w:val="18"/>
          <w:szCs w:val="18"/>
          <w:b w:val="1"/>
          <w:bCs w:val="1"/>
          <w:u w:val="single" w:color="auto"/>
          <w:color w:val="auto"/>
        </w:rPr>
        <w:t>” shall mean National Australia Bank Limited in its capacity as lender under the Bilateral Agreement or any other Lender that succeeds National Australia Bank Limited as a party to the Bilateral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Materials</w:t>
      </w:r>
      <w:r>
        <w:rPr>
          <w:rFonts w:ascii="Arial" w:cs="Arial" w:eastAsia="Arial" w:hAnsi="Arial"/>
          <w:sz w:val="18"/>
          <w:szCs w:val="18"/>
          <w:color w:val="auto"/>
        </w:rPr>
        <w:t>” shall have the meaning assigned to such term in Section 5.04.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Borrowers</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xml:space="preserve">” shall mean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Borrowing</w:t>
      </w:r>
      <w:r>
        <w:rPr>
          <w:rFonts w:ascii="Arial" w:cs="Arial" w:eastAsia="Arial" w:hAnsi="Arial"/>
          <w:sz w:val="18"/>
          <w:szCs w:val="18"/>
          <w:b w:val="1"/>
          <w:bCs w:val="1"/>
          <w:u w:val="single" w:color="auto"/>
          <w:color w:val="auto"/>
        </w:rPr>
        <w:t>, a Canadian Tranche B Revolving Borrowing, a Canadian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Borrowing</w:t>
      </w:r>
      <w:r>
        <w:rPr>
          <w:rFonts w:ascii="Arial" w:cs="Arial" w:eastAsia="Arial" w:hAnsi="Arial"/>
          <w:sz w:val="18"/>
          <w:szCs w:val="18"/>
          <w:color w:val="auto"/>
        </w:rPr>
        <w:t>, an Australian Revolving Borrowing, a U.S. Revolving Borrowing, a U.S. Term Borrowing or a Swing Line Borrowing.</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Breakage Event</w:t>
      </w:r>
      <w:r>
        <w:rPr>
          <w:rFonts w:ascii="Arial" w:cs="Arial" w:eastAsia="Arial" w:hAnsi="Arial"/>
          <w:sz w:val="18"/>
          <w:szCs w:val="18"/>
          <w:color w:val="auto"/>
        </w:rPr>
        <w:t>” shall have the meaning assigned to such term in Section 2.15.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shall mean (a) when used in connection with a Loan, Letter of Credit or payment denominated in U.S. dollars, any day other than a Saturday, Sunday or any day on which banks in Houston and New York City are authorized or required by law to close;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used in connection with a Eurocurrency Loan, the term “Business Day” shall also exclude any day on which banks are not open for dealings in deposits in U.S. dollars in the London interbank market, (b) when used in connection with </w:t>
      </w:r>
      <w:r>
        <w:rPr>
          <w:rFonts w:ascii="Arial" w:cs="Arial" w:eastAsia="Arial" w:hAnsi="Arial"/>
          <w:sz w:val="16"/>
          <w:szCs w:val="16"/>
          <w:b w:val="1"/>
          <w:bCs w:val="1"/>
          <w:u w:val="single" w:color="auto"/>
          <w:color w:val="auto"/>
        </w:rPr>
        <w:t>the Canadian Term Loan,</w:t>
      </w:r>
      <w:r>
        <w:rPr>
          <w:rFonts w:ascii="Arial" w:cs="Arial" w:eastAsia="Arial" w:hAnsi="Arial"/>
          <w:sz w:val="16"/>
          <w:szCs w:val="16"/>
          <w:color w:val="auto"/>
        </w:rPr>
        <w:t xml:space="preserve"> a Canadian Revolving Credit Loan,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Canadian Letter of Credit or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payment </w:t>
      </w:r>
      <w:r>
        <w:rPr>
          <w:rFonts w:ascii="Arial" w:cs="Arial" w:eastAsia="Arial" w:hAnsi="Arial"/>
          <w:sz w:val="16"/>
          <w:szCs w:val="16"/>
          <w:b w:val="1"/>
          <w:bCs w:val="1"/>
          <w:color w:val="auto"/>
          <w:strike w:val="1"/>
        </w:rPr>
        <w:t>denominated in</w:t>
      </w:r>
      <w:r>
        <w:rPr>
          <w:rFonts w:ascii="Arial" w:cs="Arial" w:eastAsia="Arial" w:hAnsi="Arial"/>
          <w:sz w:val="16"/>
          <w:szCs w:val="16"/>
          <w:b w:val="1"/>
          <w:bCs w:val="1"/>
          <w:u w:val="single" w:color="auto"/>
          <w:color w:val="auto"/>
        </w:rPr>
        <w:t>under the</w:t>
      </w:r>
      <w:r>
        <w:rPr>
          <w:rFonts w:ascii="Arial" w:cs="Arial" w:eastAsia="Arial" w:hAnsi="Arial"/>
          <w:sz w:val="16"/>
          <w:szCs w:val="16"/>
          <w:color w:val="auto"/>
        </w:rPr>
        <w:t xml:space="preserve"> Canadian </w:t>
      </w:r>
      <w:r>
        <w:rPr>
          <w:rFonts w:ascii="Arial" w:cs="Arial" w:eastAsia="Arial" w:hAnsi="Arial"/>
          <w:sz w:val="16"/>
          <w:szCs w:val="16"/>
          <w:b w:val="1"/>
          <w:bCs w:val="1"/>
          <w:color w:val="auto"/>
          <w:strike w:val="1"/>
        </w:rPr>
        <w:t>dollars or U.S. dollars under</w:t>
      </w:r>
      <w:r>
        <w:rPr>
          <w:rFonts w:ascii="Arial" w:cs="Arial" w:eastAsia="Arial" w:hAnsi="Arial"/>
          <w:sz w:val="16"/>
          <w:szCs w:val="16"/>
          <w:b w:val="1"/>
          <w:bCs w:val="1"/>
          <w:u w:val="single" w:color="auto"/>
          <w:color w:val="auto"/>
        </w:rPr>
        <w:t>Term Loan Facility or</w:t>
      </w:r>
      <w:r>
        <w:rPr>
          <w:rFonts w:ascii="Arial" w:cs="Arial" w:eastAsia="Arial" w:hAnsi="Arial"/>
          <w:sz w:val="16"/>
          <w:szCs w:val="16"/>
          <w:color w:val="auto"/>
        </w:rPr>
        <w:t xml:space="preserve"> the Canadian Revolving Credit Facility, any day other than a Saturday, Sunday or any day on which banks in Toronto, Ontario, Calgary, Alberta and Montreal, Quebec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w:t>
      </w:r>
      <w:r>
        <w:rPr>
          <w:rFonts w:ascii="Arial" w:cs="Arial" w:eastAsia="Arial" w:hAnsi="Arial"/>
          <w:sz w:val="16"/>
          <w:szCs w:val="16"/>
          <w:b w:val="1"/>
          <w:bCs w:val="1"/>
          <w:color w:val="auto"/>
          <w:strike w:val="1"/>
        </w:rPr>
        <w:t>Alternate</w:t>
      </w:r>
      <w:r>
        <w:rPr>
          <w:rFonts w:ascii="Arial" w:cs="Arial" w:eastAsia="Arial" w:hAnsi="Arial"/>
          <w:sz w:val="16"/>
          <w:szCs w:val="16"/>
          <w:b w:val="1"/>
          <w:bCs w:val="1"/>
          <w:u w:val="single" w:color="auto"/>
          <w:color w:val="auto"/>
        </w:rPr>
        <w:t>Alternative</w:t>
      </w:r>
      <w:r>
        <w:rPr>
          <w:rFonts w:ascii="Arial" w:cs="Arial" w:eastAsia="Arial" w:hAnsi="Arial"/>
          <w:sz w:val="16"/>
          <w:szCs w:val="16"/>
          <w:color w:val="auto"/>
        </w:rPr>
        <w:t xml:space="preserve"> Currency and on which the relevant office of the Applicable Issuing Bank is not authorized or required by law to close.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Agreement</w:t>
      </w:r>
      <w:r>
        <w:rPr>
          <w:rFonts w:ascii="Arial" w:cs="Arial" w:eastAsia="Arial" w:hAnsi="Arial"/>
          <w:sz w:val="16"/>
          <w:szCs w:val="16"/>
          <w:color w:val="auto"/>
        </w:rPr>
        <w:t>” shall mean that certain CAM Exchange Agreement dated as of the date hereof by and among the Lenders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Applicable Pro Rata Percentage</w:t>
      </w:r>
      <w:r>
        <w:rPr>
          <w:rFonts w:ascii="Arial" w:cs="Arial" w:eastAsia="Arial" w:hAnsi="Arial"/>
          <w:sz w:val="18"/>
          <w:szCs w:val="18"/>
          <w:b w:val="1"/>
          <w:bCs w:val="1"/>
          <w:u w:val="single" w:color="auto"/>
          <w:color w:val="auto"/>
        </w:rPr>
        <w:t>” shall mean with respect to any Canadian Tranche A Lender, Canadian Tranche B Lender or Canadian Term Lender, the Canadian Tranche A Revolving Pro Rata Percentage, the Canadian Tranche B Revolving Pro Rata Percentage or the Canadian Term Loan Pro Rata Percentage, respectively.</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Benefit Plans</w:t>
      </w:r>
      <w:r>
        <w:rPr>
          <w:rFonts w:ascii="Arial" w:cs="Arial" w:eastAsia="Arial" w:hAnsi="Arial"/>
          <w:sz w:val="18"/>
          <w:szCs w:val="18"/>
          <w:color w:val="auto"/>
        </w:rPr>
        <w:t xml:space="preserve">” shall mean all employee benefit plans of any nature or kind whatsoever that are not Canadian Pension Plans or Defined Benefit Plans and are maintained or contributed to by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the Canadian Subsidiaries, in each case covering employees in Canada.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Borrowers</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Collateral</w:t>
      </w:r>
      <w:r>
        <w:rPr>
          <w:rFonts w:ascii="Arial" w:cs="Arial" w:eastAsia="Arial" w:hAnsi="Arial"/>
          <w:sz w:val="18"/>
          <w:szCs w:val="18"/>
          <w:color w:val="auto"/>
        </w:rPr>
        <w:t>” shall mean all “Collateral” as defined in any Canadian Security Document.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strike w:val="1"/>
        </w:rPr>
        <w:t>Commitment Fee</w:t>
      </w:r>
      <w:r>
        <w:rPr>
          <w:rFonts w:ascii="Arial" w:cs="Arial" w:eastAsia="Arial" w:hAnsi="Arial"/>
          <w:sz w:val="17"/>
          <w:szCs w:val="17"/>
          <w:b w:val="1"/>
          <w:bCs w:val="1"/>
          <w:i w:val="1"/>
          <w:iCs w:val="1"/>
          <w:u w:val="single" w:color="auto"/>
          <w:color w:val="auto"/>
        </w:rPr>
        <w:t>Collateral Agent</w:t>
      </w:r>
      <w:r>
        <w:rPr>
          <w:rFonts w:ascii="Arial" w:cs="Arial" w:eastAsia="Arial" w:hAnsi="Arial"/>
          <w:sz w:val="17"/>
          <w:szCs w:val="17"/>
          <w:color w:val="auto"/>
        </w:rPr>
        <w:t xml:space="preserve">” shall have the meaning assigned to such term in </w:t>
      </w:r>
      <w:r>
        <w:rPr>
          <w:rFonts w:ascii="Arial" w:cs="Arial" w:eastAsia="Arial" w:hAnsi="Arial"/>
          <w:sz w:val="17"/>
          <w:szCs w:val="17"/>
          <w:b w:val="1"/>
          <w:bCs w:val="1"/>
          <w:color w:val="auto"/>
          <w:strike w:val="1"/>
        </w:rPr>
        <w:t>Section 2.05(a)</w:t>
      </w:r>
      <w:r>
        <w:rPr>
          <w:rFonts w:ascii="Arial" w:cs="Arial" w:eastAsia="Arial" w:hAnsi="Arial"/>
          <w:sz w:val="17"/>
          <w:szCs w:val="17"/>
          <w:b w:val="1"/>
          <w:bCs w:val="1"/>
          <w:u w:val="single" w:color="auto"/>
          <w:color w:val="auto"/>
        </w:rPr>
        <w:t>the preamble hereto</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Commitment</w:t>
      </w:r>
      <w:r>
        <w:rPr>
          <w:rFonts w:ascii="Arial" w:cs="Arial" w:eastAsia="Arial" w:hAnsi="Arial"/>
          <w:sz w:val="17"/>
          <w:szCs w:val="17"/>
          <w:b w:val="1"/>
          <w:bCs w:val="1"/>
          <w:u w:val="single" w:color="auto"/>
          <w:color w:val="auto"/>
        </w:rPr>
        <w:t>” shall mean a Canadian Revolving Commitment or a Canadian Term Commitment, as the context requires.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Commitment Fees</w:t>
      </w:r>
      <w:r>
        <w:rPr>
          <w:rFonts w:ascii="Arial" w:cs="Arial" w:eastAsia="Arial" w:hAnsi="Arial"/>
          <w:sz w:val="17"/>
          <w:szCs w:val="17"/>
          <w:b w:val="1"/>
          <w:bCs w:val="1"/>
          <w:u w:val="single" w:color="auto"/>
          <w:color w:val="auto"/>
        </w:rPr>
        <w:t>” shall mean the Canadian Tranche A Commitment Fee and Canadian Tranche B Commitment Fee.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 Equivalent</w:t>
      </w:r>
      <w:r>
        <w:rPr>
          <w:rFonts w:ascii="Arial" w:cs="Arial" w:eastAsia="Arial" w:hAnsi="Arial"/>
          <w:sz w:val="18"/>
          <w:szCs w:val="18"/>
          <w:color w:val="auto"/>
        </w:rPr>
        <w:t xml:space="preserve">” shall mean, on any date of determination, with respect to any amount in U.S. dollars, the equivalent in Canadian dollars of such amount, determined by the Administrative Agent using the Exchange Rate </w:t>
      </w:r>
      <w:r>
        <w:rPr>
          <w:rFonts w:ascii="Arial" w:cs="Arial" w:eastAsia="Arial" w:hAnsi="Arial"/>
          <w:sz w:val="18"/>
          <w:szCs w:val="18"/>
          <w:b w:val="1"/>
          <w:bCs w:val="1"/>
          <w:u w:val="single" w:color="auto"/>
          <w:color w:val="auto"/>
        </w:rPr>
        <w:t>or the Canadian Term Facility Exchange Rate, as applicable,</w:t>
      </w:r>
      <w:r>
        <w:rPr>
          <w:rFonts w:ascii="Arial" w:cs="Arial" w:eastAsia="Arial" w:hAnsi="Arial"/>
          <w:sz w:val="18"/>
          <w:szCs w:val="18"/>
          <w:color w:val="auto"/>
        </w:rPr>
        <w:t xml:space="preserve"> then in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shall mean lawful currency of Canada.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GAAP</w:t>
      </w:r>
      <w:r>
        <w:rPr>
          <w:rFonts w:ascii="Arial" w:cs="Arial" w:eastAsia="Arial" w:hAnsi="Arial"/>
          <w:sz w:val="18"/>
          <w:szCs w:val="18"/>
          <w:color w:val="auto"/>
        </w:rPr>
        <w:t>” shall mean generally accepted accounting principles in Canada, as recommended from time to time by the Canadian Institute of Chartered Accountants, applied on a consistent basis, and which shall include the implementation of International Financial Reporting Standards to the extent required by the Canadian Accounting Standards Board.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Guarantee Agreement</w:t>
      </w:r>
      <w:r>
        <w:rPr>
          <w:rFonts w:ascii="Arial" w:cs="Arial" w:eastAsia="Arial" w:hAnsi="Arial"/>
          <w:sz w:val="18"/>
          <w:szCs w:val="18"/>
          <w:color w:val="auto"/>
        </w:rPr>
        <w:t>” shall mean the Canadian Guarantee Agreement, substantially in the form of Exhibit C-2, in favor of the Canadian Collateral Agent, for the benefit of the Canadian Secured Parties.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L/C Exposure</w:t>
      </w:r>
      <w:r>
        <w:rPr>
          <w:rFonts w:ascii="Arial" w:cs="Arial" w:eastAsia="Arial" w:hAnsi="Arial"/>
          <w:sz w:val="17"/>
          <w:szCs w:val="17"/>
          <w:color w:val="auto"/>
        </w:rPr>
        <w:t xml:space="preserve">”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at any time shall mean its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aggregate Canadian L/C Exposure at such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L/C Participation Fee</w:t>
      </w:r>
      <w:r>
        <w:rPr>
          <w:rFonts w:ascii="Arial" w:cs="Arial" w:eastAsia="Arial" w:hAnsi="Arial"/>
          <w:sz w:val="18"/>
          <w:szCs w:val="18"/>
          <w:color w:val="auto"/>
        </w:rPr>
        <w:t>” shall have the meaning assigned to such term in Section 2.05(c).</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Lenders</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Lenders having</w:t>
      </w:r>
      <w:r>
        <w:rPr>
          <w:rFonts w:ascii="Arial" w:cs="Arial" w:eastAsia="Arial" w:hAnsi="Arial"/>
          <w:sz w:val="18"/>
          <w:szCs w:val="18"/>
          <w:color w:val="auto"/>
        </w:rPr>
        <w:t xml:space="preserve"> Canadian Revolving </w:t>
      </w:r>
      <w:r>
        <w:rPr>
          <w:rFonts w:ascii="Arial" w:cs="Arial" w:eastAsia="Arial" w:hAnsi="Arial"/>
          <w:sz w:val="18"/>
          <w:szCs w:val="18"/>
          <w:b w:val="1"/>
          <w:bCs w:val="1"/>
          <w:color w:val="auto"/>
          <w:strike w:val="1"/>
        </w:rPr>
        <w:t>Commitments, outstanding</w:t>
      </w:r>
      <w:r>
        <w:rPr>
          <w:rFonts w:ascii="Arial" w:cs="Arial" w:eastAsia="Arial" w:hAnsi="Arial"/>
          <w:sz w:val="18"/>
          <w:szCs w:val="18"/>
          <w:b w:val="1"/>
          <w:bCs w:val="1"/>
          <w:u w:val="single" w:color="auto"/>
          <w:color w:val="auto"/>
        </w:rPr>
        <w:t>Lenders and</w:t>
      </w:r>
      <w:r>
        <w:rPr>
          <w:rFonts w:ascii="Arial" w:cs="Arial" w:eastAsia="Arial" w:hAnsi="Arial"/>
          <w:sz w:val="18"/>
          <w:szCs w:val="18"/>
          <w:color w:val="auto"/>
        </w:rPr>
        <w:t xml:space="preserve"> Canadian </w:t>
      </w:r>
      <w:r>
        <w:rPr>
          <w:rFonts w:ascii="Arial" w:cs="Arial" w:eastAsia="Arial" w:hAnsi="Arial"/>
          <w:sz w:val="18"/>
          <w:szCs w:val="18"/>
          <w:b w:val="1"/>
          <w:bCs w:val="1"/>
          <w:color w:val="auto"/>
          <w:strike w:val="1"/>
        </w:rPr>
        <w:t>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Loans or participations in Canadian Letters of Credit or Canadian Swing Line Loans</w:t>
      </w:r>
      <w:r>
        <w:rPr>
          <w:rFonts w:ascii="Arial" w:cs="Arial" w:eastAsia="Arial" w:hAnsi="Arial"/>
          <w:sz w:val="18"/>
          <w:szCs w:val="18"/>
          <w:b w:val="1"/>
          <w:bCs w:val="1"/>
          <w:u w:val="single" w:color="auto"/>
          <w:color w:val="auto"/>
        </w:rPr>
        <w:t>Term Lenders, as applicable</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Loan</w:t>
      </w:r>
      <w:r>
        <w:rPr>
          <w:rFonts w:ascii="Arial" w:cs="Arial" w:eastAsia="Arial" w:hAnsi="Arial"/>
          <w:sz w:val="18"/>
          <w:szCs w:val="18"/>
          <w:b w:val="1"/>
          <w:bCs w:val="1"/>
          <w:u w:val="single" w:color="auto"/>
          <w:color w:val="auto"/>
        </w:rPr>
        <w:t>” shall mean a Canadian Revolving Credit Loan or a Canadian Term Loan.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Loan Parties</w:t>
      </w:r>
      <w:r>
        <w:rPr>
          <w:rFonts w:ascii="Arial" w:cs="Arial" w:eastAsia="Arial" w:hAnsi="Arial"/>
          <w:sz w:val="18"/>
          <w:szCs w:val="18"/>
          <w:color w:val="auto"/>
        </w:rPr>
        <w:t>” shall mean the Canadian Borrowers, Civeo Holdco Sub and the Canadian Subsidiary Guarantors.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Parent”</w:t>
      </w:r>
      <w:r>
        <w:rPr>
          <w:rFonts w:ascii="Arial" w:cs="Arial" w:eastAsia="Arial" w:hAnsi="Arial"/>
          <w:sz w:val="18"/>
          <w:szCs w:val="18"/>
          <w:b w:val="1"/>
          <w:bCs w:val="1"/>
          <w:u w:val="single" w:color="auto"/>
          <w:color w:val="auto"/>
        </w:rPr>
        <w:t xml:space="preserve"> shall have the meaning assigned to such term in the preamble hereto.</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Pension Plans</w:t>
      </w:r>
      <w:r>
        <w:rPr>
          <w:rFonts w:ascii="Arial" w:cs="Arial" w:eastAsia="Arial" w:hAnsi="Arial"/>
          <w:sz w:val="18"/>
          <w:szCs w:val="18"/>
          <w:color w:val="auto"/>
        </w:rPr>
        <w:t>” shall mean each plan that is considered to be a pension plan for the purposes of any applicable pension benefits standards statute and/or regulation in Canada established, maintained or contributed to by a Canadian Borrower or any of the Canadian Subsidiaries for its employees or former employees, but excluding the Defined Benefit Plans.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Pledge Agreement</w:t>
      </w:r>
      <w:r>
        <w:rPr>
          <w:rFonts w:ascii="Arial" w:cs="Arial" w:eastAsia="Arial" w:hAnsi="Arial"/>
          <w:sz w:val="18"/>
          <w:szCs w:val="18"/>
          <w:color w:val="auto"/>
        </w:rPr>
        <w:t>” shall mean the Canadian Pledge Agreement, substantially in the form of Exhibit D-2, among the Canadian Borrowers, Civeo Holdco Sub and the Canadian Subsidiary Guarantors, as pledgors, and the Canadian Collateral Agent, for the benefit of the Canadian Secured Parties.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Canada; and (b) the annual rate of interest equal to the sum of (i) the CDOR Rate in effect on such day and (ii) 1%. When used in reference to any Loan or Borrowing, “Canadian Prime Rate” refers to whether such Loan, or the Loans comprising such Borrowing, are bearing interest at a rate determined by reference to the Canadian Prime Rate.</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Commitment</w:t>
      </w:r>
      <w:r>
        <w:rPr>
          <w:rFonts w:ascii="Arial" w:cs="Arial" w:eastAsia="Arial" w:hAnsi="Arial"/>
          <w:sz w:val="18"/>
          <w:szCs w:val="18"/>
          <w:b w:val="1"/>
          <w:bCs w:val="1"/>
          <w:u w:val="single" w:color="auto"/>
          <w:color w:val="auto"/>
        </w:rPr>
        <w:t>” shall mean the Canadian Tranche A Revolving Commitment and/or the Canadian Tranche B Revolving Commitment, as applicable.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Credit Facilities</w:t>
      </w:r>
      <w:r>
        <w:rPr>
          <w:rFonts w:ascii="Arial" w:cs="Arial" w:eastAsia="Arial" w:hAnsi="Arial"/>
          <w:sz w:val="18"/>
          <w:szCs w:val="18"/>
          <w:b w:val="1"/>
          <w:bCs w:val="1"/>
          <w:u w:val="single" w:color="auto"/>
          <w:color w:val="auto"/>
        </w:rPr>
        <w:t>” shall mean at any time the Canadian Tranche A Revolving Credit Facility and the Canadian Tranche B Revolving Credit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Credit Loans</w:t>
      </w:r>
      <w:r>
        <w:rPr>
          <w:rFonts w:ascii="Arial" w:cs="Arial" w:eastAsia="Arial" w:hAnsi="Arial"/>
          <w:sz w:val="18"/>
          <w:szCs w:val="18"/>
          <w:b w:val="1"/>
          <w:bCs w:val="1"/>
          <w:u w:val="single" w:color="auto"/>
          <w:color w:val="auto"/>
        </w:rPr>
        <w:t>” shall mean Canadian Tranche A Revolving Credit Loans and Canadian Tranche B Revolving Credit Loans,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Lenders</w:t>
      </w:r>
      <w:r>
        <w:rPr>
          <w:rFonts w:ascii="Arial" w:cs="Arial" w:eastAsia="Arial" w:hAnsi="Arial"/>
          <w:sz w:val="18"/>
          <w:szCs w:val="18"/>
          <w:b w:val="1"/>
          <w:bCs w:val="1"/>
          <w:u w:val="single" w:color="auto"/>
          <w:color w:val="auto"/>
        </w:rPr>
        <w:t>” shall mean Canadian Tranche A Lenders and Canadian Tranche B Lenders, as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Secured Parties</w:t>
      </w:r>
      <w:r>
        <w:rPr>
          <w:rFonts w:ascii="Arial" w:cs="Arial" w:eastAsia="Arial" w:hAnsi="Arial"/>
          <w:sz w:val="17"/>
          <w:szCs w:val="17"/>
          <w:b w:val="1"/>
          <w:bCs w:val="1"/>
          <w:u w:val="single" w:color="auto"/>
          <w:color w:val="auto"/>
        </w:rPr>
        <w:t>” shall have the meaning assigned to the term “Secured Parties” in the Canadian Security Agreement.</w:t>
      </w:r>
    </w:p>
    <w:p>
      <w:pPr>
        <w:spacing w:after="0" w:line="23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Security Agreement</w:t>
      </w:r>
      <w:r>
        <w:rPr>
          <w:rFonts w:ascii="Arial" w:cs="Arial" w:eastAsia="Arial" w:hAnsi="Arial"/>
          <w:sz w:val="16"/>
          <w:szCs w:val="16"/>
          <w:b w:val="1"/>
          <w:bCs w:val="1"/>
          <w:u w:val="single" w:color="auto"/>
          <w:color w:val="auto"/>
        </w:rPr>
        <w:t xml:space="preserve">” shall mean </w:t>
      </w:r>
      <w:r>
        <w:rPr>
          <w:rFonts w:ascii="Arial" w:cs="Arial" w:eastAsia="Arial" w:hAnsi="Arial"/>
          <w:sz w:val="16"/>
          <w:szCs w:val="16"/>
          <w:i w:val="1"/>
          <w:iCs w:val="1"/>
          <w:u w:val="single" w:color="auto"/>
          <w:color w:val="auto"/>
        </w:rPr>
        <w:t>the Canadian Security Agreement, substantially in the form of Exhibit E-2, among the Canadian</w:t>
      </w:r>
      <w:r>
        <w:rPr>
          <w:rFonts w:ascii="Arial" w:cs="Arial" w:eastAsia="Arial" w:hAnsi="Arial"/>
          <w:sz w:val="16"/>
          <w:szCs w:val="16"/>
          <w:b w:val="1"/>
          <w:bCs w:val="1"/>
          <w:u w:val="single" w:color="auto"/>
          <w:color w:val="auto"/>
        </w:rPr>
        <w:t xml:space="preserve"> </w:t>
      </w:r>
      <w:r>
        <w:rPr>
          <w:rFonts w:ascii="Arial" w:cs="Arial" w:eastAsia="Arial" w:hAnsi="Arial"/>
          <w:sz w:val="16"/>
          <w:szCs w:val="16"/>
          <w:i w:val="1"/>
          <w:iCs w:val="1"/>
          <w:u w:val="single" w:color="auto"/>
          <w:color w:val="auto"/>
        </w:rPr>
        <w:t xml:space="preserve">Borrowers and the Canadian Subsidiary Guarantors, as grantors, </w:t>
      </w:r>
      <w:r>
        <w:rPr>
          <w:rFonts w:ascii="Arial" w:cs="Arial" w:eastAsia="Arial" w:hAnsi="Arial"/>
          <w:sz w:val="16"/>
          <w:szCs w:val="16"/>
          <w:b w:val="1"/>
          <w:bCs w:val="1"/>
          <w:u w:val="single" w:color="auto"/>
          <w:color w:val="auto"/>
        </w:rPr>
        <w:t>and the Canadian Collateral Agent, for the benefit of the Canadian Secured Parties.</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Security Documents</w:t>
      </w:r>
      <w:r>
        <w:rPr>
          <w:rFonts w:ascii="Arial" w:cs="Arial" w:eastAsia="Arial" w:hAnsi="Arial"/>
          <w:sz w:val="17"/>
          <w:szCs w:val="17"/>
          <w:b w:val="1"/>
          <w:bCs w:val="1"/>
          <w:u w:val="single" w:color="auto"/>
          <w:color w:val="auto"/>
        </w:rPr>
        <w:t xml:space="preserve">” shall mean the Canadian Security Agreement, the Parent Borrower Security Agreement, the Canadian Pledge Agreement, the Parent Borrower Pledge Agreement </w:t>
      </w:r>
      <w:r>
        <w:rPr>
          <w:rFonts w:ascii="Arial" w:cs="Arial" w:eastAsia="Arial" w:hAnsi="Arial"/>
          <w:sz w:val="17"/>
          <w:szCs w:val="17"/>
          <w:i w:val="1"/>
          <w:iCs w:val="1"/>
          <w:u w:val="single" w:color="auto"/>
          <w:color w:val="auto"/>
        </w:rPr>
        <w:t>and each other Security Document to which any Canadian Borrower, Civeo Holdco Sub, any</w:t>
      </w:r>
      <w:r>
        <w:rPr>
          <w:rFonts w:ascii="Arial" w:cs="Arial" w:eastAsia="Arial" w:hAnsi="Arial"/>
          <w:sz w:val="17"/>
          <w:szCs w:val="17"/>
          <w:b w:val="1"/>
          <w:bCs w:val="1"/>
          <w:u w:val="single" w:color="auto"/>
          <w:color w:val="auto"/>
        </w:rPr>
        <w:t xml:space="preserve"> </w:t>
      </w:r>
      <w:r>
        <w:rPr>
          <w:rFonts w:ascii="Arial" w:cs="Arial" w:eastAsia="Arial" w:hAnsi="Arial"/>
          <w:sz w:val="17"/>
          <w:szCs w:val="17"/>
          <w:i w:val="1"/>
          <w:iCs w:val="1"/>
          <w:u w:val="single" w:color="auto"/>
          <w:color w:val="auto"/>
        </w:rPr>
        <w:t xml:space="preserve">Canadian Subsidiary Guarantor or any Subsidiary of a Canadian Borrower is a party and that purports to grant a Lien in the assets of any such person in favor of the Canadian Collateral Agent for the benefit of the Canadian Secured Parties </w:t>
      </w:r>
      <w:r>
        <w:rPr>
          <w:rFonts w:ascii="Arial" w:cs="Arial" w:eastAsia="Arial" w:hAnsi="Arial"/>
          <w:sz w:val="17"/>
          <w:szCs w:val="17"/>
          <w:b w:val="1"/>
          <w:bCs w:val="1"/>
          <w:u w:val="single" w:color="auto"/>
          <w:color w:val="auto"/>
        </w:rPr>
        <w:t>or the Secured Parties, as applicable.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Subsidiaries</w:t>
      </w:r>
      <w:r>
        <w:rPr>
          <w:rFonts w:ascii="Arial" w:cs="Arial" w:eastAsia="Arial" w:hAnsi="Arial"/>
          <w:sz w:val="16"/>
          <w:szCs w:val="16"/>
          <w:b w:val="1"/>
          <w:bCs w:val="1"/>
          <w:u w:val="single" w:color="auto"/>
          <w:color w:val="auto"/>
        </w:rPr>
        <w:t xml:space="preserve">” shall mean the Subsidiaries </w:t>
      </w:r>
      <w:r>
        <w:rPr>
          <w:rFonts w:ascii="Arial" w:cs="Arial" w:eastAsia="Arial" w:hAnsi="Arial"/>
          <w:sz w:val="16"/>
          <w:szCs w:val="16"/>
          <w:i w:val="1"/>
          <w:iCs w:val="1"/>
          <w:u w:val="single" w:color="auto"/>
          <w:color w:val="auto"/>
        </w:rPr>
        <w:t>organized under the laws of Canada or any province, territory or other political subdivision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thereof.</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u w:val="single" w:color="auto"/>
          <w:color w:val="auto"/>
        </w:rPr>
        <w:t>“Canadian Subsidiary Guarantor” shall mean each Canadian Subsidiary (other than a Canadian Borrower) listed on Schedule 1.01(c), and each other Canadian Subsidiary that is or becomes a party to the Canadian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“Canadian Swing Line Borrowing”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“Canadian Swing Line Lender” shall mean RBC in its capacity as provider of Canadian Swing Line Loans, or any successor swing line lender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Swing Line Loan</w:t>
      </w:r>
      <w:r>
        <w:rPr>
          <w:rFonts w:ascii="Arial" w:cs="Arial" w:eastAsia="Arial" w:hAnsi="Arial"/>
          <w:sz w:val="18"/>
          <w:szCs w:val="18"/>
          <w:b w:val="1"/>
          <w:bCs w:val="1"/>
          <w:u w:val="single" w:color="auto"/>
          <w:color w:val="auto"/>
        </w:rPr>
        <w:t>” shall have the meaning assigned to such term in Section 2.23(a)(ii).</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Swing Line Sublimit</w:t>
      </w:r>
      <w:r>
        <w:rPr>
          <w:rFonts w:ascii="Arial" w:cs="Arial" w:eastAsia="Arial" w:hAnsi="Arial"/>
          <w:sz w:val="18"/>
          <w:szCs w:val="18"/>
          <w:b w:val="1"/>
          <w:bCs w:val="1"/>
          <w:u w:val="single" w:color="auto"/>
          <w:color w:val="auto"/>
        </w:rPr>
        <w:t>” shall mean U.S.$25,000,000. The Canadian Swing Line Sublimit is part of, and not in addition to, the Canadian Tranche A Revolving Commitments.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Borrowing</w:t>
      </w:r>
      <w:r>
        <w:rPr>
          <w:rFonts w:ascii="Arial" w:cs="Arial" w:eastAsia="Arial" w:hAnsi="Arial"/>
          <w:sz w:val="18"/>
          <w:szCs w:val="18"/>
          <w:b w:val="1"/>
          <w:bCs w:val="1"/>
          <w:u w:val="single" w:color="auto"/>
          <w:color w:val="auto"/>
        </w:rPr>
        <w:t>” shall mean a group of Canadian Term Loans of a single Type made, converted or continued by the Canadian Term Lenders on a single date and, in the case of a B/A Loan, as to which a single Contract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Term Commitment</w:t>
      </w:r>
      <w:r>
        <w:rPr>
          <w:rFonts w:ascii="Arial" w:cs="Arial" w:eastAsia="Arial" w:hAnsi="Arial"/>
          <w:sz w:val="17"/>
          <w:szCs w:val="17"/>
          <w:b w:val="1"/>
          <w:bCs w:val="1"/>
          <w:u w:val="single" w:color="auto"/>
          <w:color w:val="auto"/>
        </w:rPr>
        <w:t xml:space="preserve">” shall mean, with respect to each Canadian Term Lender, the commitment of such Canadian Term Lender to make a single Canadian Term Loan to the Parent Borrower on the First Amendment Effective Date in an aggregate principal amount not to exceed the Canadian Dollar Equivalent of </w:t>
      </w:r>
      <w:r>
        <w:rPr>
          <w:rFonts w:ascii="Arial" w:cs="Arial" w:eastAsia="Arial" w:hAnsi="Arial"/>
          <w:sz w:val="17"/>
          <w:szCs w:val="17"/>
          <w:i w:val="1"/>
          <w:iCs w:val="1"/>
          <w:u w:val="single" w:color="auto"/>
          <w:color w:val="auto"/>
        </w:rPr>
        <w:t>the U.S. dollar amount set forth opposite such Lender’s name on Schedule 2.01. The aggregate amount of the</w:t>
      </w:r>
      <w:r>
        <w:rPr>
          <w:rFonts w:ascii="Arial" w:cs="Arial" w:eastAsia="Arial" w:hAnsi="Arial"/>
          <w:sz w:val="17"/>
          <w:szCs w:val="17"/>
          <w:b w:val="1"/>
          <w:bCs w:val="1"/>
          <w:u w:val="single" w:color="auto"/>
          <w:color w:val="auto"/>
        </w:rPr>
        <w:t xml:space="preserve"> Canadian Term Commitments as of the First Amendment Effective Date is U.S.$325,000,000.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Facility Exchange Rate</w:t>
      </w:r>
      <w:r>
        <w:rPr>
          <w:rFonts w:ascii="Arial" w:cs="Arial" w:eastAsia="Arial" w:hAnsi="Arial"/>
          <w:sz w:val="18"/>
          <w:szCs w:val="18"/>
          <w:b w:val="1"/>
          <w:bCs w:val="1"/>
          <w:u w:val="single" w:color="auto"/>
          <w:color w:val="auto"/>
        </w:rPr>
        <w:t>” shall have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Lender</w:t>
      </w:r>
      <w:r>
        <w:rPr>
          <w:rFonts w:ascii="Arial" w:cs="Arial" w:eastAsia="Arial" w:hAnsi="Arial"/>
          <w:sz w:val="18"/>
          <w:szCs w:val="18"/>
          <w:b w:val="1"/>
          <w:bCs w:val="1"/>
          <w:u w:val="single" w:color="auto"/>
          <w:color w:val="auto"/>
        </w:rPr>
        <w:t>” shall mean any Lender that has a Canadian Term Commitment or holds a Canadian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Loan</w:t>
      </w:r>
      <w:r>
        <w:rPr>
          <w:rFonts w:ascii="Arial" w:cs="Arial" w:eastAsia="Arial" w:hAnsi="Arial"/>
          <w:sz w:val="18"/>
          <w:szCs w:val="18"/>
          <w:b w:val="1"/>
          <w:bCs w:val="1"/>
          <w:u w:val="single" w:color="auto"/>
          <w:color w:val="auto"/>
        </w:rPr>
        <w:t>” shall mean the Canadian dollar-denominated term loans made by the Canadian Term Lenders to the Parent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Loan Facility</w:t>
      </w:r>
      <w:r>
        <w:rPr>
          <w:rFonts w:ascii="Arial" w:cs="Arial" w:eastAsia="Arial" w:hAnsi="Arial"/>
          <w:sz w:val="18"/>
          <w:szCs w:val="18"/>
          <w:b w:val="1"/>
          <w:bCs w:val="1"/>
          <w:u w:val="single" w:color="auto"/>
          <w:color w:val="auto"/>
        </w:rPr>
        <w:t>” shall mean the aggregate principal amount of the Canadian Term Loans of all Canadian Term Lenders outstanding at such time.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Term Loan Pro Rata Percentage</w:t>
      </w:r>
      <w:r>
        <w:rPr>
          <w:rFonts w:ascii="Arial" w:cs="Arial" w:eastAsia="Arial" w:hAnsi="Arial"/>
          <w:sz w:val="17"/>
          <w:szCs w:val="17"/>
          <w:b w:val="1"/>
          <w:bCs w:val="1"/>
          <w:u w:val="single" w:color="auto"/>
          <w:color w:val="auto"/>
        </w:rPr>
        <w:t>” with respect to any Canadian Term Lender, (a) prior to the termination of the Canadian Term Commitments, the percentage of the aggregate Canadian Term Commitments represented by such Canadian Term Lender’s Canadian Term Commitment at such time and (b) following the termination of the Canadian Term Commitments, the percentage of the aggregate principal amount of the Canadian Term Loans represented by such Canadian Term Lender’s Canadian Term Loans at such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A Commitment Fee</w:t>
      </w:r>
      <w:r>
        <w:rPr>
          <w:rFonts w:ascii="Arial" w:cs="Arial" w:eastAsia="Arial" w:hAnsi="Arial"/>
          <w:sz w:val="18"/>
          <w:szCs w:val="18"/>
          <w:b w:val="1"/>
          <w:bCs w:val="1"/>
          <w:u w:val="single" w:color="auto"/>
          <w:color w:val="auto"/>
        </w:rPr>
        <w:t>” shall have the meaning assigned to such term in Section 2.05(a)(ii).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A Lenders</w:t>
      </w:r>
      <w:r>
        <w:rPr>
          <w:rFonts w:ascii="Arial" w:cs="Arial" w:eastAsia="Arial" w:hAnsi="Arial"/>
          <w:sz w:val="18"/>
          <w:szCs w:val="18"/>
          <w:b w:val="1"/>
          <w:bCs w:val="1"/>
          <w:u w:val="single" w:color="auto"/>
          <w:color w:val="auto"/>
        </w:rPr>
        <w:t>” shall mean Lenders having Canadian Tranche A Revolving Commitments, outstanding Canadian Tranche A Revolving Credit Loans, or participations in Canadian Letters of Credit pursuant to Section 2.21(d) or in Canadian Swing Line Loans pursuant to Section 2.23.</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Borrowing</w:t>
      </w:r>
      <w:r>
        <w:rPr>
          <w:rFonts w:ascii="Arial" w:cs="Arial" w:eastAsia="Arial" w:hAnsi="Arial"/>
          <w:sz w:val="18"/>
          <w:szCs w:val="18"/>
          <w:color w:val="auto"/>
        </w:rPr>
        <w:t xml:space="preserve">” shall mean a group of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of a single Type made, converted or continued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on a single date and, in the case of a Eurocurrency Borrowing, as to which a single Interest Period is in effect and, in the case of a B/A Borrowing, as to which a single Contract Period is in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w:t>
      </w:r>
      <w:r>
        <w:rPr>
          <w:rFonts w:ascii="Arial" w:cs="Arial" w:eastAsia="Arial" w:hAnsi="Arial"/>
          <w:sz w:val="18"/>
          <w:szCs w:val="18"/>
          <w:color w:val="auto"/>
        </w:rPr>
        <w:t xml:space="preserve">” shall mean, with respect to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the commitment of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to (a) make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Loans hereunder, (b) purchase participations in the Canadian L/C Exposure and (c)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participations in Canadian Swing Line Loans, in an aggregate principal amount not to exceed the amount set forth opposite such Lender’s name on Schedule 2.01 under the caption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or in the Assignment and Acceptance or Lender Joinder Agreement pursuant to which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assumed its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as applicable, as the same may be (i) reduced from time to time pursuant to Section 2.09 and (ii) reduced or increased from time to time pursuant to assignments by or to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pursuant to Section 9.04.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as of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is U.S.$100,000,000.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Tranche A</w:t>
      </w:r>
      <w:r>
        <w:rPr>
          <w:rFonts w:ascii="Arial" w:cs="Arial" w:eastAsia="Arial" w:hAnsi="Arial"/>
          <w:sz w:val="17"/>
          <w:szCs w:val="17"/>
          <w:color w:val="auto"/>
        </w:rPr>
        <w:t xml:space="preserve"> </w:t>
      </w:r>
      <w:r>
        <w:rPr>
          <w:rFonts w:ascii="Arial" w:cs="Arial" w:eastAsia="Arial" w:hAnsi="Arial"/>
          <w:sz w:val="17"/>
          <w:szCs w:val="17"/>
          <w:i w:val="1"/>
          <w:iCs w:val="1"/>
          <w:color w:val="auto"/>
        </w:rPr>
        <w:t>Revolving Credit Exposure</w:t>
      </w:r>
      <w:r>
        <w:rPr>
          <w:rFonts w:ascii="Arial" w:cs="Arial" w:eastAsia="Arial" w:hAnsi="Arial"/>
          <w:sz w:val="17"/>
          <w:szCs w:val="17"/>
          <w:color w:val="auto"/>
        </w:rPr>
        <w:t xml:space="preserve">” shall mean, with respect to any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at any time, the aggregate principal amount at such time of all outstanding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of such Lender denominated in U.S.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principal amount at such time of all outstanding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of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denominated in Canadian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amount at such time of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Canadian L/C Exposure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outstanding amount of all Canadian Swing Line Loans.</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xml:space="preserve">” shall mean at any time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such time.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Loans</w:t>
      </w:r>
      <w:r>
        <w:rPr>
          <w:rFonts w:ascii="Arial" w:cs="Arial" w:eastAsia="Arial" w:hAnsi="Arial"/>
          <w:sz w:val="18"/>
          <w:szCs w:val="18"/>
          <w:color w:val="auto"/>
        </w:rPr>
        <w:t xml:space="preserve">” shall mean (a) the Canadian dollar-denominated Revolving Credit Loans (including the aggregate face amount of outstanding B/As) made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to the Canadian Borrowers hereunder and (b) the U.S. dollar-denominated Revolving Credit Loans made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to the Canadian Borrowers.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 denominated in Canadian dollars shall be a Canadian Prime Rate Loan or a B/A Loan.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 denominated in U.S. dollars and made to a Canadian Borrower shall be a Eurocurrency Loan or a U.S. Base Rate Loan.</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Pro Rata Percentage</w:t>
      </w:r>
      <w:r>
        <w:rPr>
          <w:rFonts w:ascii="Arial" w:cs="Arial" w:eastAsia="Arial" w:hAnsi="Arial"/>
          <w:sz w:val="18"/>
          <w:szCs w:val="18"/>
          <w:color w:val="auto"/>
        </w:rPr>
        <w:t xml:space="preserve">” of any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subject to any adjustment as provided in Section 2.24(c) or 2.25(a), shall mean the percentage of the aggregate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represented by such Canadian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have terminated,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Pro Rata Percentages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shall be determined based upon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most recently in effect, giving effect to any assignments.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Secured Parties</w:t>
      </w:r>
      <w:r>
        <w:rPr>
          <w:rFonts w:ascii="Arial" w:cs="Arial" w:eastAsia="Arial" w:hAnsi="Arial"/>
          <w:sz w:val="18"/>
          <w:szCs w:val="18"/>
          <w:b w:val="1"/>
          <w:bCs w:val="1"/>
          <w:i w:val="1"/>
          <w:iCs w:val="1"/>
          <w:u w:val="single" w:color="auto"/>
          <w:color w:val="auto"/>
        </w:rPr>
        <w:t>Tranche B Commitment Fee</w:t>
      </w:r>
      <w:r>
        <w:rPr>
          <w:rFonts w:ascii="Arial" w:cs="Arial" w:eastAsia="Arial" w:hAnsi="Arial"/>
          <w:sz w:val="18"/>
          <w:szCs w:val="18"/>
          <w:color w:val="auto"/>
        </w:rPr>
        <w:t xml:space="preserve">” shall have the meaning assigned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term </w:t>
      </w:r>
      <w:r>
        <w:rPr>
          <w:rFonts w:ascii="Arial" w:cs="Arial" w:eastAsia="Arial" w:hAnsi="Arial"/>
          <w:sz w:val="18"/>
          <w:szCs w:val="18"/>
          <w:b w:val="1"/>
          <w:bCs w:val="1"/>
          <w:color w:val="auto"/>
          <w:strike w:val="1"/>
        </w:rPr>
        <w:t>“Secured Parties” in the Canadian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Security Agreement</w:t>
      </w:r>
      <w:r>
        <w:rPr>
          <w:rFonts w:ascii="Arial" w:cs="Arial" w:eastAsia="Arial" w:hAnsi="Arial"/>
          <w:sz w:val="18"/>
          <w:szCs w:val="18"/>
          <w:b w:val="1"/>
          <w:bCs w:val="1"/>
          <w:u w:val="single" w:color="auto"/>
          <w:color w:val="auto"/>
        </w:rPr>
        <w:t>in Section 2.05(a)(ii)</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B Lenders</w:t>
      </w:r>
      <w:r>
        <w:rPr>
          <w:rFonts w:ascii="Arial" w:cs="Arial" w:eastAsia="Arial" w:hAnsi="Arial"/>
          <w:sz w:val="18"/>
          <w:szCs w:val="18"/>
          <w:b w:val="1"/>
          <w:bCs w:val="1"/>
          <w:u w:val="single" w:color="auto"/>
          <w:color w:val="auto"/>
        </w:rPr>
        <w:t>” shall mean Lenders having Canadian Tranche B Revolving Commitments or outstanding Canadian Tranche B Revolving Credit Loans.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Security Agreement</w:t>
      </w:r>
      <w:r>
        <w:rPr>
          <w:rFonts w:ascii="Arial" w:cs="Arial" w:eastAsia="Arial" w:hAnsi="Arial"/>
          <w:sz w:val="18"/>
          <w:szCs w:val="18"/>
          <w:b w:val="1"/>
          <w:bCs w:val="1"/>
          <w:i w:val="1"/>
          <w:iCs w:val="1"/>
          <w:u w:val="single" w:color="auto"/>
          <w:color w:val="auto"/>
        </w:rPr>
        <w:t>Tranche B Revolving Borrowing</w:t>
      </w:r>
      <w:r>
        <w:rPr>
          <w:rFonts w:ascii="Arial" w:cs="Arial" w:eastAsia="Arial" w:hAnsi="Arial"/>
          <w:sz w:val="18"/>
          <w:szCs w:val="18"/>
          <w:color w:val="auto"/>
        </w:rPr>
        <w:t xml:space="preserve">” shall mean </w:t>
      </w:r>
      <w:r>
        <w:rPr>
          <w:rFonts w:ascii="Arial" w:cs="Arial" w:eastAsia="Arial" w:hAnsi="Arial"/>
          <w:sz w:val="18"/>
          <w:szCs w:val="18"/>
          <w:i w:val="1"/>
          <w:iCs w:val="1"/>
          <w:color w:val="auto"/>
          <w:strike w:val="1"/>
        </w:rPr>
        <w:t>the Canadian Security Agreement, substantially in the form of Exhibit</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 xml:space="preserve">E-2, among the Canadian Borrowers and the Canadian Subsidiary Guarantors, as grantors, </w:t>
      </w:r>
      <w:r>
        <w:rPr>
          <w:rFonts w:ascii="Arial" w:cs="Arial" w:eastAsia="Arial" w:hAnsi="Arial"/>
          <w:sz w:val="18"/>
          <w:szCs w:val="18"/>
          <w:b w:val="1"/>
          <w:bCs w:val="1"/>
          <w:u w:val="single" w:color="auto"/>
          <w:color w:val="auto"/>
          <w:strike w:val="1"/>
        </w:rPr>
        <w:t>a group of Canadian Tranche B Revolving Credit Loans of a</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u w:val="single" w:color="auto"/>
          <w:color w:val="auto"/>
          <w:strike w:val="1"/>
        </w:rPr>
        <w:t>single Type made, converted or continued by the Canadian Tranche B Lenders on a single date and, in the case of a Eurocurrency Borrowing, as to which a single Interest Period is in effect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and</w:t>
      </w:r>
      <w:r>
        <w:rPr>
          <w:rFonts w:ascii="Arial" w:cs="Arial" w:eastAsia="Arial" w:hAnsi="Arial"/>
          <w:sz w:val="18"/>
          <w:szCs w:val="18"/>
          <w:b w:val="1"/>
          <w:bCs w:val="1"/>
          <w:u w:val="single" w:color="auto"/>
          <w:color w:val="auto"/>
          <w:strike w:val="1"/>
        </w:rPr>
        <w:t>, in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the</w:t>
      </w:r>
      <w:r>
        <w:rPr>
          <w:rFonts w:ascii="Arial" w:cs="Arial" w:eastAsia="Arial" w:hAnsi="Arial"/>
          <w:sz w:val="18"/>
          <w:szCs w:val="18"/>
          <w:b w:val="1"/>
          <w:bCs w:val="1"/>
          <w:color w:val="auto"/>
          <w:strike w:val="1"/>
        </w:rPr>
        <w:t xml:space="preserve"> Canadian Collateral Agent, for the benefit of the Canadian Secured Parties</w:t>
      </w:r>
      <w:r>
        <w:rPr>
          <w:rFonts w:ascii="Arial" w:cs="Arial" w:eastAsia="Arial" w:hAnsi="Arial"/>
          <w:sz w:val="18"/>
          <w:szCs w:val="18"/>
          <w:b w:val="1"/>
          <w:bCs w:val="1"/>
          <w:u w:val="single" w:color="auto"/>
          <w:color w:val="auto"/>
          <w:strike w:val="1"/>
        </w:rPr>
        <w:t>case of a B/A</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Borrowing, as to which a single Contract Period is in effect</w:t>
      </w:r>
      <w:r>
        <w:rPr>
          <w:rFonts w:ascii="Arial" w:cs="Arial" w:eastAsia="Arial" w:hAnsi="Arial"/>
          <w:sz w:val="18"/>
          <w:szCs w:val="18"/>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Tranche B Revolving Commitment</w:t>
      </w:r>
      <w:r>
        <w:rPr>
          <w:rFonts w:ascii="Arial" w:cs="Arial" w:eastAsia="Arial" w:hAnsi="Arial"/>
          <w:sz w:val="16"/>
          <w:szCs w:val="16"/>
          <w:b w:val="1"/>
          <w:bCs w:val="1"/>
          <w:u w:val="single" w:color="auto"/>
          <w:color w:val="auto"/>
        </w:rPr>
        <w:t>” shall mean, with respect to each Canadian Tranche B Lender, the commitment of such Canadian Tranche B Lender to make Canadian Tranche B Revolving Credit Loans hereunder in an aggregate principal amount not to exceed the amount set forth opposite such Lender’s name on Schedule 2.01 under the caption “Canadian Tranche B Revolving Commitment”, or in the Assignment and Acceptance or Lender Joinder Agreement pursuant to which such Canadian Tranche B Lender assumed its Canadian Tranche B Revolving Commitment, as applicable, as the same may be (i) reduced from time to time pursuant to Section 2.09 and (ii) reduced or increased from time to time pursuant to assignments by or to such Canadian Tranche B Lender pursuant to Section 9.04. The aggregate amount of the Canadian Tranche B Revolving Commitments as of the First Amendment Effective Date is U.S.$125,000,000.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B Revolving Credit Exposure</w:t>
      </w:r>
      <w:r>
        <w:rPr>
          <w:rFonts w:ascii="Arial" w:cs="Arial" w:eastAsia="Arial" w:hAnsi="Arial"/>
          <w:sz w:val="18"/>
          <w:szCs w:val="18"/>
          <w:b w:val="1"/>
          <w:bCs w:val="1"/>
          <w:u w:val="single" w:color="auto"/>
          <w:color w:val="auto"/>
        </w:rPr>
        <w:t xml:space="preserve">” shall mean, with respect to any Canadian Tranche B Lender at any time, the aggregate principal amount at such time of all outstanding Canadian Tranche B Revolving Credit Loans of such Lender denominated in U.S. dollars, </w:t>
      </w:r>
      <w:r>
        <w:rPr>
          <w:rFonts w:ascii="Arial" w:cs="Arial" w:eastAsia="Arial" w:hAnsi="Arial"/>
          <w:sz w:val="18"/>
          <w:szCs w:val="18"/>
          <w:b w:val="1"/>
          <w:bCs w:val="1"/>
          <w:i w:val="1"/>
          <w:iCs w:val="1"/>
          <w:u w:val="single" w:color="auto"/>
          <w:color w:val="auto"/>
        </w:rPr>
        <w:t>plus</w:t>
      </w:r>
      <w:r>
        <w:rPr>
          <w:rFonts w:ascii="Arial" w:cs="Arial" w:eastAsia="Arial" w:hAnsi="Arial"/>
          <w:sz w:val="18"/>
          <w:szCs w:val="18"/>
          <w:b w:val="1"/>
          <w:bCs w:val="1"/>
          <w:u w:val="single" w:color="auto"/>
          <w:color w:val="auto"/>
        </w:rPr>
        <w:t xml:space="preserve"> the U.S. Dollar Equivalent of the aggregate principal amount at such time of all outstanding Canadian Tranche B Revolving Credit Loans of such Canadian Tranche B Lender denominated in Canadian dollars.</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Canadian Security Documents</w:t>
      </w:r>
      <w:r>
        <w:rPr>
          <w:rFonts w:ascii="Arial" w:cs="Arial" w:eastAsia="Arial" w:hAnsi="Arial"/>
          <w:sz w:val="16"/>
          <w:szCs w:val="16"/>
          <w:b w:val="1"/>
          <w:bCs w:val="1"/>
          <w:color w:val="auto"/>
          <w:strike w:val="1"/>
        </w:rPr>
        <w:t xml:space="preserve">” shall mean the Canadian Security Agreement, the Canadian Pledge Agreement, </w:t>
      </w:r>
      <w:r>
        <w:rPr>
          <w:rFonts w:ascii="Arial" w:cs="Arial" w:eastAsia="Arial" w:hAnsi="Arial"/>
          <w:sz w:val="16"/>
          <w:szCs w:val="16"/>
          <w:i w:val="1"/>
          <w:iCs w:val="1"/>
          <w:color w:val="auto"/>
          <w:strike w:val="1"/>
        </w:rPr>
        <w:t>and each other Security</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Document to which any Canadian Borrower, Civeo Holdco Sub, any Canadian Subsidiary Guarantor or any Subsidiary of a Canadian Borrower is a party and that purports to grant a Lien in the assets of any such person in favor of the Canadian Collateral Agent for the benefit of the Canadian Secured Parties</w:t>
      </w:r>
      <w:r>
        <w:rPr>
          <w:rFonts w:ascii="Arial" w:cs="Arial" w:eastAsia="Arial" w:hAnsi="Arial"/>
          <w:sz w:val="16"/>
          <w:szCs w:val="16"/>
          <w:b w:val="1"/>
          <w:bCs w:val="1"/>
          <w:color w:val="auto"/>
          <w:strike w:val="1"/>
        </w:rPr>
        <w: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Canadian Subsidiaries</w:t>
      </w:r>
      <w:r>
        <w:rPr>
          <w:rFonts w:ascii="Arial" w:cs="Arial" w:eastAsia="Arial" w:hAnsi="Arial"/>
          <w:sz w:val="18"/>
          <w:szCs w:val="18"/>
          <w:b w:val="1"/>
          <w:bCs w:val="1"/>
          <w:color w:val="auto"/>
          <w:strike w:val="1"/>
        </w:rPr>
        <w:t xml:space="preserve">” shall mean the Subsidiaries (other than the Canadian Parent) </w:t>
      </w:r>
      <w:r>
        <w:rPr>
          <w:rFonts w:ascii="Arial" w:cs="Arial" w:eastAsia="Arial" w:hAnsi="Arial"/>
          <w:sz w:val="18"/>
          <w:szCs w:val="18"/>
          <w:i w:val="1"/>
          <w:iCs w:val="1"/>
          <w:color w:val="auto"/>
          <w:strike w:val="1"/>
        </w:rPr>
        <w:t>organized under the laws of Canada or any province,</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territory or other political subdivision thereof.</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strike w:val="1"/>
        </w:rPr>
        <w:t>“Canadian Subsidiary Guarantor” shall mean each Canadian Subsidiary (other than a Canadian Borrower) listed on Schedule 1.01(c), and each other Canadian Subsidiary that is or becomes a party to the Canadian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strike w:val="1"/>
        </w:rPr>
        <w:t>“Canadian Swing Line Borrowing”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strike w:val="1"/>
        </w:rPr>
        <w:t>“Canadian Swing Line Lender” shall mean RBC in its capacity as provider of Canadian Swing Line Loans, or any successor swing line lender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Canadian Swing Line Loan</w:t>
      </w:r>
      <w:r>
        <w:rPr>
          <w:rFonts w:ascii="Arial" w:cs="Arial" w:eastAsia="Arial" w:hAnsi="Arial"/>
          <w:sz w:val="18"/>
          <w:szCs w:val="18"/>
          <w:b w:val="1"/>
          <w:bCs w:val="1"/>
          <w:color w:val="auto"/>
          <w:strike w:val="1"/>
        </w:rPr>
        <w:t>” has the meaning assigned to such term in Section 2.23(a)(ii).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Swing Line Sublimit</w:t>
      </w:r>
      <w:r>
        <w:rPr>
          <w:rFonts w:ascii="Arial" w:cs="Arial" w:eastAsia="Arial" w:hAnsi="Arial"/>
          <w:sz w:val="18"/>
          <w:szCs w:val="18"/>
          <w:b w:val="1"/>
          <w:bCs w:val="1"/>
          <w:i w:val="1"/>
          <w:iCs w:val="1"/>
          <w:u w:val="single" w:color="auto"/>
          <w:color w:val="auto"/>
        </w:rPr>
        <w:t>Tranche B Revolving Credit Facility</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U.S.$10,000,000. The Canadian Swing Line Sublimit is part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of, and not in addition to,</w:t>
      </w:r>
      <w:r>
        <w:rPr>
          <w:rFonts w:ascii="Arial" w:cs="Arial" w:eastAsia="Arial" w:hAnsi="Arial"/>
          <w:sz w:val="18"/>
          <w:szCs w:val="18"/>
          <w:b w:val="1"/>
          <w:bCs w:val="1"/>
          <w:u w:val="single" w:color="auto"/>
          <w:color w:val="auto"/>
        </w:rPr>
        <w:t>at any time the aggregate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Commitments</w:t>
      </w:r>
      <w:r>
        <w:rPr>
          <w:rFonts w:ascii="Arial" w:cs="Arial" w:eastAsia="Arial" w:hAnsi="Arial"/>
          <w:sz w:val="18"/>
          <w:szCs w:val="18"/>
          <w:b w:val="1"/>
          <w:bCs w:val="1"/>
          <w:color w:val="auto"/>
        </w:rPr>
        <w:t xml:space="preserve"> of the Canadian Tranche B Lenders at </w:t>
      </w:r>
      <w:r>
        <w:rPr>
          <w:rFonts w:ascii="Arial" w:cs="Arial" w:eastAsia="Arial" w:hAnsi="Arial"/>
          <w:sz w:val="18"/>
          <w:szCs w:val="18"/>
          <w:b w:val="1"/>
          <w:bCs w:val="1"/>
          <w:u w:val="single" w:color="auto"/>
          <w:color w:val="auto"/>
        </w:rPr>
        <w:t>such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-158750</wp:posOffset>
            </wp:positionV>
            <wp:extent cx="1895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-175895</wp:posOffset>
            </wp:positionV>
            <wp:extent cx="18999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99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Tranche B Revolving Credit Loans</w:t>
      </w:r>
      <w:r>
        <w:rPr>
          <w:rFonts w:ascii="Arial" w:cs="Arial" w:eastAsia="Arial" w:hAnsi="Arial"/>
          <w:sz w:val="17"/>
          <w:szCs w:val="17"/>
          <w:b w:val="1"/>
          <w:bCs w:val="1"/>
          <w:u w:val="single" w:color="auto"/>
          <w:color w:val="auto"/>
        </w:rPr>
        <w:t>” shall mean (a) the Canadian dollar-denominated Revolving Credit Loans (including the aggregate face amount of outstanding B/As) made by the Canadian Tranche B Lenders to the Parent Borrower hereunder and (b) the U.S. dollar-denominated Revolving Credit Loans made by the Canadian Tranche B Lenders to the Parent Borrower. Each Canadian Tranche B Revolving Credit Loan denominated in Canadian dollars shall be a Canadian Prime Rate Loan or a B/A Loan. Each Canadian Tranche B Revolving Credit Loan denominated in U.S. dollars and made to the Parent Borrower shall be a Eurocurrency Loan or a U.S. Base Rate Loan.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Tranche B Revolving Pro Rata Percentage</w:t>
      </w:r>
      <w:r>
        <w:rPr>
          <w:rFonts w:ascii="Arial" w:cs="Arial" w:eastAsia="Arial" w:hAnsi="Arial"/>
          <w:sz w:val="17"/>
          <w:szCs w:val="17"/>
          <w:b w:val="1"/>
          <w:bCs w:val="1"/>
          <w:u w:val="single" w:color="auto"/>
          <w:color w:val="auto"/>
        </w:rPr>
        <w:t xml:space="preserve">” of any Canadian Tranche B Lender, subject to any adjustment as provided in Section 2.24(c) or 2.25(a), shall mean the percentage of the aggregate Canadian Tranche B Revolving Commitments represented by such Canadian Lender’s Canadian Tranche B Revolving Commitment; </w:t>
      </w:r>
      <w:r>
        <w:rPr>
          <w:rFonts w:ascii="Arial" w:cs="Arial" w:eastAsia="Arial" w:hAnsi="Arial"/>
          <w:sz w:val="17"/>
          <w:szCs w:val="17"/>
          <w:b w:val="1"/>
          <w:bCs w:val="1"/>
          <w:i w:val="1"/>
          <w:iCs w:val="1"/>
          <w:u w:val="single" w:color="auto"/>
          <w:color w:val="auto"/>
        </w:rPr>
        <w:t>provided</w:t>
      </w:r>
      <w:r>
        <w:rPr>
          <w:rFonts w:ascii="Arial" w:cs="Arial" w:eastAsia="Arial" w:hAnsi="Arial"/>
          <w:sz w:val="17"/>
          <w:szCs w:val="17"/>
          <w:b w:val="1"/>
          <w:bCs w:val="1"/>
          <w:u w:val="single" w:color="auto"/>
          <w:color w:val="auto"/>
        </w:rPr>
        <w:t xml:space="preserve"> that if the Canadian Tranche B Revolving Commitments have terminated, the Canadian Tranche B Revolving Pro Rata Percentages of the Canadian Tranche B Lenders shall be determined based upon the Canadian Tranche B Revolving Commitments most recently in effect, giving effect to any assignments.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xml:space="preserve">”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lease that was treated as an operating lease under GAAP at the time it was entered into that later becomes a capital lease as a result of a change in GAAP during the life of such lease, including any renewals, shall be treated as an operating lease for all purposes under this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Collateralize</w:t>
      </w:r>
      <w:r>
        <w:rPr>
          <w:rFonts w:ascii="Arial" w:cs="Arial" w:eastAsia="Arial" w:hAnsi="Arial"/>
          <w:sz w:val="18"/>
          <w:szCs w:val="18"/>
          <w:color w:val="auto"/>
        </w:rPr>
        <w:t>” shall mean to pledge and deposit with or deliver to the Applicable Collateral Agent, for the benefit of the U.S. Secured Parties, the Canadian Secured Parties and/or the Australian Secured Parties, as applicable,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CDOR Rate</w:t>
      </w:r>
      <w:r>
        <w:rPr>
          <w:rFonts w:ascii="Arial" w:cs="Arial" w:eastAsia="Arial" w:hAnsi="Arial"/>
          <w:sz w:val="16"/>
          <w:szCs w:val="16"/>
          <w:color w:val="auto"/>
        </w:rPr>
        <w:t xml:space="preserv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does not appear on the Reuters Screen CDOR Page on such date as contemplated, then the CDOR Rate on such date shall be the Discount Rate quoted by the Canadian Administrative Agent (determined as of 10:00 a.m. (Standard Time) on such date) that would be applicable to Canadian dollar bankers’ acceptances in a comparable amount and with comparable maturity dates to the Bankers’ Acceptances requested by the applicable Canadian Borrower on such date or, if such date is not a Business Day,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CDS</w:t>
      </w:r>
      <w:r>
        <w:rPr>
          <w:rFonts w:ascii="Arial" w:cs="Arial" w:eastAsia="Arial" w:hAnsi="Arial"/>
          <w:sz w:val="18"/>
          <w:szCs w:val="18"/>
          <w:b w:val="1"/>
          <w:bCs w:val="1"/>
          <w:u w:val="single" w:color="auto"/>
          <w:color w:val="auto"/>
        </w:rPr>
        <w:t>” shall have the meaning assigned to such term in Section 2.22(c).</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w:t>
      </w:r>
      <w:r>
        <w:rPr>
          <w:rFonts w:ascii="Arial" w:cs="Arial" w:eastAsia="Arial" w:hAnsi="Arial"/>
          <w:sz w:val="16"/>
          <w:szCs w:val="16"/>
          <w:b w:val="1"/>
          <w:bCs w:val="1"/>
          <w:color w:val="auto"/>
          <w:strike w:val="1"/>
        </w:rPr>
        <w:t>, at any time after the Spin-Off:</w:t>
      </w:r>
      <w:r>
        <w:rPr>
          <w:rFonts w:ascii="Arial" w:cs="Arial" w:eastAsia="Arial" w:hAnsi="Arial"/>
          <w:sz w:val="16"/>
          <w:szCs w:val="16"/>
          <w:color w:val="auto"/>
        </w:rPr>
        <w:t xml:space="preserve">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w:t>
      </w:r>
      <w:r>
        <w:rPr>
          <w:rFonts w:ascii="Arial" w:cs="Arial" w:eastAsia="Arial" w:hAnsi="Arial"/>
          <w:sz w:val="16"/>
          <w:szCs w:val="16"/>
          <w:b w:val="1"/>
          <w:bCs w:val="1"/>
          <w:u w:val="single" w:color="auto"/>
          <w:color w:val="auto"/>
        </w:rPr>
        <w:t>Parent</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u w:val="single" w:color="auto"/>
          <w:color w:val="auto"/>
        </w:rPr>
        <w:t>Borrower; (b) the failure by the Parent Borrower to own, directly or indirectly, beneficially and of record, 100% of the issued and outstanding Equity Interests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U.S. Borrower; (</w:t>
      </w:r>
      <w:r>
        <w:rPr>
          <w:rFonts w:ascii="Arial" w:cs="Arial" w:eastAsia="Arial" w:hAnsi="Arial"/>
          <w:sz w:val="17"/>
          <w:szCs w:val="17"/>
          <w:b w:val="1"/>
          <w:bCs w:val="1"/>
          <w:color w:val="auto"/>
          <w:strike w:val="1"/>
        </w:rPr>
        <w:t>b) occupation of a majority of the seats (other than vacant seats) on the board of directors of the U.S.</w:t>
      </w:r>
    </w:p>
    <w:p>
      <w:pPr>
        <w:jc w:val="both"/>
        <w:spacing w:after="0" w:line="273" w:lineRule="auto"/>
        <w:rPr>
          <w:sz w:val="20"/>
          <w:szCs w:val="20"/>
          <w:color w:val="auto"/>
        </w:rPr>
      </w:pPr>
      <w:r>
        <w:rPr>
          <w:rFonts w:ascii="Arial" w:cs="Arial" w:eastAsia="Arial" w:hAnsi="Arial"/>
          <w:sz w:val="17"/>
          <w:szCs w:val="17"/>
          <w:b w:val="1"/>
          <w:bCs w:val="1"/>
          <w:color w:val="auto"/>
          <w:strike w:val="1"/>
        </w:rPr>
        <w:t>Borrower by persons who were neither (i) nominated by the board of directors of the U.S. Borrower nor (ii) appointed by the directors so nominated, (</w:t>
      </w:r>
      <w:r>
        <w:rPr>
          <w:rFonts w:ascii="Arial" w:cs="Arial" w:eastAsia="Arial" w:hAnsi="Arial"/>
          <w:sz w:val="17"/>
          <w:szCs w:val="17"/>
          <w:color w:val="auto"/>
          <w:strike w:val="1"/>
        </w:rPr>
        <w:t>c) the failure, without giving effect to the Exchangeable Shares, by the</w:t>
      </w:r>
      <w:r>
        <w:rPr>
          <w:rFonts w:ascii="Arial" w:cs="Arial" w:eastAsia="Arial" w:hAnsi="Arial"/>
          <w:sz w:val="17"/>
          <w:szCs w:val="17"/>
          <w:b w:val="1"/>
          <w:bCs w:val="1"/>
          <w:color w:val="auto"/>
          <w:strike w:val="1"/>
        </w:rPr>
        <w:t xml:space="preserve"> U.S.</w:t>
      </w:r>
      <w:r>
        <w:rPr>
          <w:rFonts w:ascii="Arial" w:cs="Arial" w:eastAsia="Arial" w:hAnsi="Arial"/>
          <w:sz w:val="17"/>
          <w:szCs w:val="17"/>
          <w:b w:val="1"/>
          <w:bCs w:val="1"/>
          <w:u w:val="single" w:color="auto"/>
          <w:color w:val="auto"/>
          <w:strike w:val="1"/>
        </w:rPr>
        <w:t>Parent</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Borrower to own, directly or indirectly, beneficially and of</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 xml:space="preserve">record, 100% of the issued and outstanding Equity Interests of the Canadian Parent or (d) the failure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strike w:val="1"/>
        </w:rPr>
        <w:t>Parent</w:t>
      </w:r>
      <w:r>
        <w:rPr>
          <w:rFonts w:ascii="Arial" w:cs="Arial" w:eastAsia="Arial" w:hAnsi="Arial"/>
          <w:sz w:val="17"/>
          <w:szCs w:val="17"/>
          <w:color w:val="auto"/>
          <w:strike w:val="1"/>
        </w:rPr>
        <w:t xml:space="preserve"> Borrower to own, directly or indirectly, beneficially and of record, 100% of the issued and outstanding Equity Interests of the Australian Borrower.</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shall mean (a) the adoption of any law, rule, regulation or treaty after the Closing Date, (b) any change in any law, rule or regulation or in the administration, interpretation, implementation or application thereof by any Governmental Authority after the Closing Date or</w:t>
      </w:r>
    </w:p>
    <w:p>
      <w:pPr>
        <w:jc w:val="both"/>
        <w:ind w:firstLine="8"/>
        <w:spacing w:after="0" w:line="269" w:lineRule="auto"/>
        <w:tabs>
          <w:tab w:leader="none" w:pos="2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w:t>
      </w:r>
      <w:r>
        <w:rPr>
          <w:rFonts w:ascii="Arial" w:cs="Arial" w:eastAsia="Arial" w:hAnsi="Arial"/>
          <w:sz w:val="18"/>
          <w:szCs w:val="18"/>
          <w:color w:val="auto"/>
        </w:rPr>
        <w:t>” shall mean 892489 Alberta Inc., a corporation organized and existing under the laws of the Province of Alberta.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 Sub</w:t>
      </w:r>
      <w:r>
        <w:rPr>
          <w:rFonts w:ascii="Arial" w:cs="Arial" w:eastAsia="Arial" w:hAnsi="Arial"/>
          <w:sz w:val="18"/>
          <w:szCs w:val="18"/>
          <w:color w:val="auto"/>
        </w:rPr>
        <w:t>” shall mean 892493 Alberta Inc., a corporation organized and existing under the laws of the Province of Alberta, and the direct owner of 100% of the Equity Interests of the Canadian Parent.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Civeo Premium</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xml:space="preserve">”, when used in reference to (a) any Loan or Borrowing, refers to whether such Loan, or the Loans comprising such Borrowing, are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Loans,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Canadian Tranche B Revolving Credit Loans, Canadian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Revolving Credit Loans, 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Credit Loans or U.S. Term Loans, and (b) any Commitment, refers to whether such Commitment is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w:t>
      </w:r>
      <w:r>
        <w:rPr>
          <w:rFonts w:ascii="Arial" w:cs="Arial" w:eastAsia="Arial" w:hAnsi="Arial"/>
          <w:sz w:val="18"/>
          <w:szCs w:val="18"/>
          <w:b w:val="1"/>
          <w:bCs w:val="1"/>
          <w:u w:val="single" w:color="auto"/>
          <w:color w:val="auto"/>
        </w:rPr>
        <w:t>Commitment, Canadian Tranche B Revolving Commitment, Canadian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Australian Revolving Commitment</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a U.S.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w:t>
      </w:r>
      <w:r>
        <w:rPr>
          <w:rFonts w:ascii="Arial" w:cs="Arial" w:eastAsia="Arial" w:hAnsi="Arial"/>
          <w:sz w:val="18"/>
          <w:szCs w:val="18"/>
          <w:b w:val="1"/>
          <w:bCs w:val="1"/>
          <w:color w:val="auto"/>
        </w:rPr>
        <w:t>or U.S. Term Commitment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-76835</wp:posOffset>
            </wp:positionV>
            <wp:extent cx="133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5405"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the date upon which all of the conditions set forth in Sections 4.01 and 4.02 are satisfied or waived in accordance with Section 9.08(b).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shall mean, collectively, all of the U.S. Collateral, the Canadian Collateral and the Australian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Agents</w:t>
      </w:r>
      <w:r>
        <w:rPr>
          <w:rFonts w:ascii="Arial" w:cs="Arial" w:eastAsia="Arial" w:hAnsi="Arial"/>
          <w:sz w:val="17"/>
          <w:szCs w:val="17"/>
          <w:color w:val="auto"/>
        </w:rPr>
        <w:t>” shall mean, collectively, the U.S. Collateral Agent, the Canadian Collateral Agent and the Australian Collateral Agent.</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shall mean, with respect to any Lender, such Lender’s U.S. Revolving Commitment, </w:t>
      </w:r>
      <w:r>
        <w:rPr>
          <w:rFonts w:ascii="Arial" w:cs="Arial" w:eastAsia="Arial" w:hAnsi="Arial"/>
          <w:sz w:val="18"/>
          <w:szCs w:val="18"/>
          <w:b w:val="1"/>
          <w:bCs w:val="1"/>
          <w:color w:val="auto"/>
          <w:strike w:val="1"/>
        </w:rPr>
        <w:t>U.S. Term Commitment,</w:t>
      </w:r>
      <w:r>
        <w:rPr>
          <w:rFonts w:ascii="Arial" w:cs="Arial" w:eastAsia="Arial" w:hAnsi="Arial"/>
          <w:sz w:val="18"/>
          <w:szCs w:val="18"/>
          <w:color w:val="auto"/>
        </w:rPr>
        <w:t xml:space="preserve"> Canadian Revolving Commitment, </w:t>
      </w:r>
      <w:r>
        <w:rPr>
          <w:rFonts w:ascii="Arial" w:cs="Arial" w:eastAsia="Arial" w:hAnsi="Arial"/>
          <w:sz w:val="18"/>
          <w:szCs w:val="18"/>
          <w:b w:val="1"/>
          <w:bCs w:val="1"/>
          <w:u w:val="single" w:color="auto"/>
          <w:color w:val="auto"/>
        </w:rPr>
        <w:t>Canadian Term Commitment,</w:t>
      </w:r>
      <w:r>
        <w:rPr>
          <w:rFonts w:ascii="Arial" w:cs="Arial" w:eastAsia="Arial" w:hAnsi="Arial"/>
          <w:sz w:val="18"/>
          <w:szCs w:val="18"/>
          <w:color w:val="auto"/>
        </w:rPr>
        <w:t xml:space="preserve"> Australian Revolving Commitment or any Incremental Revolving Commitment, and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shall mean the U.S.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Commitments, the Canadian Revolving Commitments, the </w:t>
      </w:r>
      <w:r>
        <w:rPr>
          <w:rFonts w:ascii="Arial" w:cs="Arial" w:eastAsia="Arial" w:hAnsi="Arial"/>
          <w:sz w:val="18"/>
          <w:szCs w:val="18"/>
          <w:b w:val="1"/>
          <w:bCs w:val="1"/>
          <w:u w:val="single" w:color="auto"/>
          <w:color w:val="auto"/>
        </w:rPr>
        <w:t>Canadian Term Commitments, the</w:t>
      </w:r>
      <w:r>
        <w:rPr>
          <w:rFonts w:ascii="Arial" w:cs="Arial" w:eastAsia="Arial" w:hAnsi="Arial"/>
          <w:sz w:val="18"/>
          <w:szCs w:val="18"/>
          <w:color w:val="auto"/>
        </w:rPr>
        <w:t xml:space="preserve"> Australian Revolving Commitments and any Incremental Revolving Commitments.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Fees</w:t>
      </w:r>
      <w:r>
        <w:rPr>
          <w:rFonts w:ascii="Arial" w:cs="Arial" w:eastAsia="Arial" w:hAnsi="Arial"/>
          <w:sz w:val="18"/>
          <w:szCs w:val="18"/>
          <w:color w:val="auto"/>
        </w:rPr>
        <w:t>” shall have the meaning assigned to such term in Section 2.05(a)</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shall mean the Commodity Exchange Act (7 U.S.C. Section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 Memorandum</w:t>
      </w:r>
      <w:r>
        <w:rPr>
          <w:rFonts w:ascii="Arial" w:cs="Arial" w:eastAsia="Arial" w:hAnsi="Arial"/>
          <w:sz w:val="18"/>
          <w:szCs w:val="18"/>
          <w:color w:val="auto"/>
        </w:rPr>
        <w:t>” shall mean the Confidential Information Memorandum of the U.S. Borrower dated April 2014.</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Connection Income Taxes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shall mean, for any period, EBITDA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w:t>
      </w:r>
      <w:r>
        <w:rPr>
          <w:rFonts w:ascii="Arial" w:cs="Arial" w:eastAsia="Arial" w:hAnsi="Arial"/>
          <w:sz w:val="18"/>
          <w:szCs w:val="18"/>
          <w:b w:val="1"/>
          <w:bCs w:val="1"/>
          <w:color w:val="auto"/>
          <w:strike w:val="1"/>
        </w:rPr>
        <w:t>subsidiaries</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for such period, all determined on a consolidated basis.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shall mean, for any person for any period, the net income or loss of such person for such period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w:t>
      </w:r>
    </w:p>
    <w:p>
      <w:pPr>
        <w:spacing w:after="0" w:line="16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xml:space="preserve">” shall mean, at any time, the net worth or total shareholders’ equity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on a consolidated basis determined in accordance with GAAP.</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 Period</w:t>
      </w:r>
      <w:r>
        <w:rPr>
          <w:rFonts w:ascii="Arial" w:cs="Arial" w:eastAsia="Arial" w:hAnsi="Arial"/>
          <w:sz w:val="16"/>
          <w:szCs w:val="16"/>
          <w:color w:val="auto"/>
        </w:rPr>
        <w:t xml:space="preserve">” shall mean the term of a B/A Loan selected by a Canadian Borrower in accordance with Section 2.22, commencing on the date of such B/A Loan and expiring on a Business Day which shall be either 30 days, 60 days, 90 days or 180 days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subject to clause (b) below, each such period shall be subject to such extensions or reductions as may be reasonably determined by the Canadian Administrative Agent to ensure that each Contract Period shall expire on a Business Day, and (b) no Contract Period shall extend beyond the Maturity Date.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shall have meanings correlative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shall have the meaning assigned to such term in Section 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Decision Period</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shall mean, subject to Section 2.24(d), any Lender that: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jc w:val="both"/>
        <w:ind w:firstLine="656"/>
        <w:spacing w:after="0" w:line="255"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has failed to (i) fund all or any portion of its Loans within two (2) Business Days of the date such Loans were required to be funded hereunder unless such Lender notifies an Administrative Agent and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93" w:lineRule="exact"/>
        <w:rPr>
          <w:rFonts w:ascii="Arial" w:cs="Arial" w:eastAsia="Arial" w:hAnsi="Arial"/>
          <w:sz w:val="18"/>
          <w:szCs w:val="18"/>
          <w:color w:val="auto"/>
        </w:rPr>
      </w:pPr>
    </w:p>
    <w:p>
      <w:pPr>
        <w:jc w:val="both"/>
        <w:ind w:firstLine="656"/>
        <w:spacing w:after="0" w:line="279" w:lineRule="auto"/>
        <w:tabs>
          <w:tab w:leader="none" w:pos="11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2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failed, within three (3) Business Days after request by an Administrative Agent or any Borrower, to confirm in writing to such Administrative Agent and such Borrower that it will comply with its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such Administrative Agent and such Borrower); or</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has, or has a direct or indirect parent company that has, (i) become the subject of a proceeding under any Insolvency Law, or (ii) had appointed for it a receiver, custodian, conservator, trustee, administrator, assignee for the benefit of creditors or similar </w:t>
      </w:r>
      <w:r>
        <w:rPr>
          <w:rFonts w:ascii="Arial" w:cs="Arial" w:eastAsia="Arial" w:hAnsi="Arial"/>
          <w:sz w:val="18"/>
          <w:szCs w:val="18"/>
          <w:b w:val="1"/>
          <w:bCs w:val="1"/>
          <w:color w:val="auto"/>
          <w:strike w:val="1"/>
        </w:rPr>
        <w:t>Person</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xml:space="preserve"> charged with reorganization or liquidation of its business or assets, including the Federal Deposit Insurance Corporation or any other state or federal regulatory authority acting in such a capacity;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Lender shall not be a Defaulting Lender solely by virtue of the ownership or acquisition of any equity interest in that Lender or any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Defined Benefit Plan</w:t>
      </w:r>
      <w:r>
        <w:rPr>
          <w:rFonts w:ascii="Arial" w:cs="Arial" w:eastAsia="Arial" w:hAnsi="Arial"/>
          <w:sz w:val="18"/>
          <w:szCs w:val="18"/>
          <w:color w:val="auto"/>
        </w:rPr>
        <w:t>” shall mean each of the pension plans identified as such in Schedule 3.16(b)</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Person</w:t>
      </w:r>
      <w:r>
        <w:rPr>
          <w:rFonts w:ascii="Arial" w:cs="Arial" w:eastAsia="Arial" w:hAnsi="Arial"/>
          <w:sz w:val="16"/>
          <w:szCs w:val="16"/>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Arial" w:cs="Arial" w:eastAsia="Arial" w:hAnsi="Arial"/>
          <w:sz w:val="16"/>
          <w:szCs w:val="16"/>
          <w:i w:val="1"/>
          <w:iCs w:val="1"/>
          <w:color w:val="auto"/>
        </w:rPr>
        <w:t>SDN</w:t>
      </w:r>
      <w:r>
        <w:rPr>
          <w:rFonts w:ascii="Arial" w:cs="Arial" w:eastAsia="Arial" w:hAnsi="Arial"/>
          <w:sz w:val="16"/>
          <w:szCs w:val="16"/>
          <w:color w:val="auto"/>
        </w:rPr>
        <w:t>”) on the most current list published by OFAC at its official website or any replacement website or other replacement official publication of such list (“</w:t>
      </w:r>
      <w:r>
        <w:rPr>
          <w:rFonts w:ascii="Arial" w:cs="Arial" w:eastAsia="Arial" w:hAnsi="Arial"/>
          <w:sz w:val="16"/>
          <w:szCs w:val="16"/>
          <w:i w:val="1"/>
          <w:iCs w:val="1"/>
          <w:color w:val="auto"/>
        </w:rPr>
        <w:t>SDN List</w:t>
      </w:r>
      <w:r>
        <w:rPr>
          <w:rFonts w:ascii="Arial" w:cs="Arial" w:eastAsia="Arial" w:hAnsi="Arial"/>
          <w:sz w:val="16"/>
          <w:szCs w:val="16"/>
          <w:color w:val="auto"/>
        </w:rPr>
        <w:t xml:space="preserve">”); (c) in which an entity on the SDN List has, to the knowledge of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Note</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Proceeds</w:t>
      </w:r>
      <w:r>
        <w:rPr>
          <w:rFonts w:ascii="Arial" w:cs="Arial" w:eastAsia="Arial" w:hAnsi="Arial"/>
          <w:sz w:val="18"/>
          <w:szCs w:val="18"/>
          <w:color w:val="auto"/>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Arial" w:cs="Arial" w:eastAsia="Arial" w:hAnsi="Arial"/>
          <w:sz w:val="18"/>
          <w:szCs w:val="18"/>
          <w:i w:val="1"/>
          <w:iCs w:val="1"/>
          <w:color w:val="auto"/>
        </w:rPr>
        <w:t>Face Amount</w:t>
      </w:r>
      <w:r>
        <w:rPr>
          <w:rFonts w:ascii="Arial" w:cs="Arial" w:eastAsia="Arial" w:hAnsi="Arial"/>
          <w:sz w:val="18"/>
          <w:szCs w:val="18"/>
          <w:color w:val="auto"/>
        </w:rPr>
        <w:t>” is the face amount of such Bankers’ Acceptance and “Price” is equal to:</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-10160</wp:posOffset>
            </wp:positionV>
            <wp:extent cx="628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 (Rate x Term)) x 365</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where the “</w:t>
      </w:r>
      <w:r>
        <w:rPr>
          <w:rFonts w:ascii="Arial" w:cs="Arial" w:eastAsia="Arial" w:hAnsi="Arial"/>
          <w:sz w:val="17"/>
          <w:szCs w:val="17"/>
          <w:i w:val="1"/>
          <w:iCs w:val="1"/>
          <w:color w:val="auto"/>
        </w:rPr>
        <w:t>Rate</w:t>
      </w:r>
      <w:r>
        <w:rPr>
          <w:rFonts w:ascii="Arial" w:cs="Arial" w:eastAsia="Arial" w:hAnsi="Arial"/>
          <w:sz w:val="17"/>
          <w:szCs w:val="17"/>
          <w:color w:val="auto"/>
        </w:rPr>
        <w:t>” is the applicable Discount Rate expressed as a decimal on the day of purchase; the “</w:t>
      </w:r>
      <w:r>
        <w:rPr>
          <w:rFonts w:ascii="Arial" w:cs="Arial" w:eastAsia="Arial" w:hAnsi="Arial"/>
          <w:sz w:val="17"/>
          <w:szCs w:val="17"/>
          <w:i w:val="1"/>
          <w:iCs w:val="1"/>
          <w:color w:val="auto"/>
        </w:rPr>
        <w:t>Term</w:t>
      </w:r>
      <w:r>
        <w:rPr>
          <w:rFonts w:ascii="Arial" w:cs="Arial" w:eastAsia="Arial" w:hAnsi="Arial"/>
          <w:sz w:val="17"/>
          <w:szCs w:val="17"/>
          <w:color w:val="auto"/>
        </w:rPr>
        <w:t>” is the term of such Bankers' Acceptance expressed as a number of days; and the Price as so determined is rounded up or down to the fifth decimal place with .000005 being rounded up.</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Subsidiaries</w:t>
      </w:r>
      <w:r>
        <w:rPr>
          <w:rFonts w:ascii="Arial" w:cs="Arial" w:eastAsia="Arial" w:hAnsi="Arial"/>
          <w:sz w:val="18"/>
          <w:szCs w:val="18"/>
          <w:color w:val="auto"/>
        </w:rPr>
        <w:t xml:space="preserve">” shall mean all Subsidiaries </w:t>
      </w:r>
      <w:r>
        <w:rPr>
          <w:rFonts w:ascii="Arial" w:cs="Arial" w:eastAsia="Arial" w:hAnsi="Arial"/>
          <w:sz w:val="18"/>
          <w:szCs w:val="18"/>
          <w:b w:val="1"/>
          <w:bCs w:val="1"/>
          <w:u w:val="single" w:color="auto"/>
          <w:color w:val="auto"/>
        </w:rPr>
        <w:t>(other than the U.S. Borrower)</w:t>
      </w:r>
      <w:r>
        <w:rPr>
          <w:rFonts w:ascii="Arial" w:cs="Arial" w:eastAsia="Arial" w:hAnsi="Arial"/>
          <w:sz w:val="18"/>
          <w:szCs w:val="18"/>
          <w:color w:val="auto"/>
        </w:rPr>
        <w:t xml:space="preserve"> incorporated or organized under the laws of the United States of America, any State thereof or the District of Columbia.</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and (v) transaction costs associated with the Transactions in an aggregate amount not to exceed $25,000,000 plus such additional amounts as a result of currency exchange fluctuations in an amount reasonably acceptable to the Administrative Agent,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shall mean (a) a Lender, (b) an Affiliate of a Lender, (c) an Approved Fund, and (d) any other person (other than a natural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Liability</w:t>
      </w:r>
      <w:r>
        <w:rPr>
          <w:rFonts w:ascii="Arial" w:cs="Arial" w:eastAsia="Arial" w:hAnsi="Arial"/>
          <w:sz w:val="17"/>
          <w:szCs w:val="17"/>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the same may be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w:t>
      </w:r>
    </w:p>
    <w:p>
      <w:pPr>
        <w:jc w:val="both"/>
        <w:ind w:firstLine="8"/>
        <w:spacing w:after="0" w:line="251"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or in reorganization, within the meaning of Title IV of ERISA; (g) the occurrence of a “prohibited transaction” with respect to which a Borrower or any of the Subsidiaries is a “disqualified person” (within the meaning of Section 4975 of the Code) or with respect to which a Borrower or any such Subsidiary could otherwise be liable; or (h) any other event or condition with respect to a Plan or Multiemployer Plan that could result in liability of a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have the meaning assigned to such term in Article VII.</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Rate</w:t>
      </w:r>
      <w:r>
        <w:rPr>
          <w:rFonts w:ascii="Arial" w:cs="Arial" w:eastAsia="Arial" w:hAnsi="Arial"/>
          <w:sz w:val="16"/>
          <w:szCs w:val="16"/>
          <w:color w:val="auto"/>
        </w:rPr>
        <w:t xml:space="preserve">” shall mean, on any day, (a) with respect to the Canadian Revolving Credit </w:t>
      </w:r>
      <w:r>
        <w:rPr>
          <w:rFonts w:ascii="Arial" w:cs="Arial" w:eastAsia="Arial" w:hAnsi="Arial"/>
          <w:sz w:val="16"/>
          <w:szCs w:val="16"/>
          <w:b w:val="1"/>
          <w:bCs w:val="1"/>
          <w:color w:val="auto"/>
          <w:strike w:val="1"/>
        </w:rPr>
        <w:t>Facility</w:t>
      </w:r>
      <w:r>
        <w:rPr>
          <w:rFonts w:ascii="Arial" w:cs="Arial" w:eastAsia="Arial" w:hAnsi="Arial"/>
          <w:sz w:val="16"/>
          <w:szCs w:val="16"/>
          <w:b w:val="1"/>
          <w:bCs w:val="1"/>
          <w:u w:val="single" w:color="auto"/>
          <w:color w:val="auto"/>
        </w:rPr>
        <w:t>Facilities</w:t>
      </w:r>
      <w:r>
        <w:rPr>
          <w:rFonts w:ascii="Arial" w:cs="Arial" w:eastAsia="Arial" w:hAnsi="Arial"/>
          <w:sz w:val="16"/>
          <w:szCs w:val="16"/>
          <w:color w:val="auto"/>
        </w:rPr>
        <w:t xml:space="preserve"> only, for purposes of determining the U.S. Dollar Equivalent of Canadian dollars and the Canadian Dollar Equivalent, the Bank of Canada spot rate of exchange at which Canadian dollars may be exchanged into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or at which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may be exchanged into Canadian dollars, respectively, at approximately 12:00 p.m. (Standard Time) on such day,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Exchangeable Shares</w:t>
      </w:r>
      <w:r>
        <w:rPr>
          <w:rFonts w:ascii="Arial" w:cs="Arial" w:eastAsia="Arial" w:hAnsi="Arial"/>
          <w:sz w:val="18"/>
          <w:szCs w:val="18"/>
          <w:color w:val="auto"/>
        </w:rPr>
        <w:t>” shall mean the non-voting Exchangeable Shares in the capital of Civeo Holdco, issued to certain current or former shareholders of the Canadian Parent outstanding as of the Closing Date.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Swap Obligation</w:t>
      </w:r>
      <w:r>
        <w:rPr>
          <w:rFonts w:ascii="Arial" w:cs="Arial" w:eastAsia="Arial" w:hAnsi="Arial"/>
          <w:sz w:val="16"/>
          <w:szCs w:val="16"/>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or Swing Line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w:t>
      </w:r>
    </w:p>
    <w:p>
      <w:pPr>
        <w:spacing w:after="0" w:line="1" w:lineRule="exact"/>
        <w:rPr>
          <w:sz w:val="20"/>
          <w:szCs w:val="20"/>
          <w:color w:val="auto"/>
        </w:rPr>
      </w:pPr>
    </w:p>
    <w:p>
      <w:pPr>
        <w:jc w:val="both"/>
        <w:ind w:firstLine="8"/>
        <w:spacing w:after="0" w:line="252"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Existing OSI Credit Agreement</w:t>
      </w:r>
      <w:r>
        <w:rPr>
          <w:rFonts w:ascii="Arial" w:cs="Arial" w:eastAsia="Arial" w:hAnsi="Arial"/>
          <w:sz w:val="18"/>
          <w:szCs w:val="18"/>
          <w:b w:val="1"/>
          <w:bCs w:val="1"/>
          <w:color w:val="auto"/>
          <w:strike w:val="1"/>
        </w:rPr>
        <w:t>” shall mean that certain Amended and Restated Credit Agreement, dated December 10, 2010, as amended from time to time, among Oil States, the other borrowers party thereto, the lenders party thereto from time to time, Wells Fargo Bank, N.A., as administrative agent and the other agents party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Existing MAC Group Credit Agreement</w:t>
      </w:r>
      <w:r>
        <w:rPr>
          <w:rFonts w:ascii="Arial" w:cs="Arial" w:eastAsia="Arial" w:hAnsi="Arial"/>
          <w:sz w:val="18"/>
          <w:szCs w:val="18"/>
          <w:b w:val="1"/>
          <w:bCs w:val="1"/>
          <w:color w:val="auto"/>
          <w:strike w:val="1"/>
        </w:rPr>
        <w:t>” shall mean that certain Syndicated Facility Agreement, dated as of September 18, 2012, among the Australian Borrower, J.P. Morgan Australia Limited, as Australian agent and security trustee, the other agents and issuing banks party thereto and the lenders from time to time party thereto.</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xml:space="preserve">” shall mean the U.S. Revolving Credit Facility, the U.S. Term Loan Facility, the Canadian </w:t>
      </w:r>
      <w:r>
        <w:rPr>
          <w:rFonts w:ascii="Arial" w:cs="Arial" w:eastAsia="Arial" w:hAnsi="Arial"/>
          <w:sz w:val="18"/>
          <w:szCs w:val="18"/>
          <w:b w:val="1"/>
          <w:bCs w:val="1"/>
          <w:u w:val="single" w:color="auto"/>
          <w:color w:val="auto"/>
        </w:rPr>
        <w:t>Term Loan Facility, the Canadian Tranche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Revolving Credit Facility, the 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or the Australian Revolving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each case as the context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FCPA</w:t>
      </w:r>
      <w:r>
        <w:rPr>
          <w:rFonts w:ascii="Arial" w:cs="Arial" w:eastAsia="Arial" w:hAnsi="Arial"/>
          <w:sz w:val="18"/>
          <w:szCs w:val="18"/>
          <w:color w:val="auto"/>
        </w:rPr>
        <w:t>” shall mean the United States Foreign Corrupt Practices Act of 1977.</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Federal Funds Effective Rate</w:t>
      </w:r>
      <w:r>
        <w:rPr>
          <w:rFonts w:ascii="Arial" w:cs="Arial" w:eastAsia="Arial" w:hAnsi="Arial"/>
          <w:sz w:val="17"/>
          <w:szCs w:val="17"/>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w:t>
      </w:r>
      <w:r>
        <w:rPr>
          <w:rFonts w:ascii="Arial" w:cs="Arial" w:eastAsia="Arial" w:hAnsi="Arial"/>
          <w:sz w:val="18"/>
          <w:szCs w:val="18"/>
          <w:color w:val="auto"/>
        </w:rPr>
        <w:t>” shall mean</w:t>
      </w:r>
      <w:r>
        <w:rPr>
          <w:rFonts w:ascii="Arial" w:cs="Arial" w:eastAsia="Arial" w:hAnsi="Arial"/>
          <w:sz w:val="18"/>
          <w:szCs w:val="18"/>
          <w:b w:val="1"/>
          <w:bCs w:val="1"/>
          <w:u w:val="single" w:color="auto"/>
          <w:color w:val="auto"/>
        </w:rPr>
        <w:t>, collectively, (a)</w:t>
      </w:r>
      <w:r>
        <w:rPr>
          <w:rFonts w:ascii="Arial" w:cs="Arial" w:eastAsia="Arial" w:hAnsi="Arial"/>
          <w:sz w:val="18"/>
          <w:szCs w:val="18"/>
          <w:color w:val="auto"/>
        </w:rPr>
        <w:t xml:space="preserve"> the letter agreement dated as of April 4, 2014 between the U.S. Borrower and RBC</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 (b) the letter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 dated as of the First Amendment Effective Date between the Parent Borrower and RBC and (c) the letter agreement dated as of the First Amendment Effective Date among the Parent Borrower and RBC on behalf of certain of the Lenders.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Fees</w:t>
      </w:r>
      <w:r>
        <w:rPr>
          <w:rFonts w:ascii="Arial" w:cs="Arial" w:eastAsia="Arial" w:hAnsi="Arial"/>
          <w:sz w:val="16"/>
          <w:szCs w:val="16"/>
          <w:color w:val="auto"/>
        </w:rPr>
        <w:t>” shall mean, collectively, the Commitment Fees, the L/C Participation Fees, the Issuing Bank Fees and all fees set forth in the Fee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Officer</w:t>
      </w:r>
      <w:r>
        <w:rPr>
          <w:rFonts w:ascii="Arial" w:cs="Arial" w:eastAsia="Arial" w:hAnsi="Arial"/>
          <w:sz w:val="17"/>
          <w:szCs w:val="17"/>
          <w:color w:val="auto"/>
        </w:rPr>
        <w:t>” of any person shall mean the chief financial officer, principal accounting officer, treasurer or controller of such person.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First Amendment</w:t>
      </w:r>
      <w:r>
        <w:rPr>
          <w:rFonts w:ascii="Arial" w:cs="Arial" w:eastAsia="Arial" w:hAnsi="Arial"/>
          <w:sz w:val="18"/>
          <w:szCs w:val="18"/>
          <w:b w:val="1"/>
          <w:bCs w:val="1"/>
          <w:u w:val="single" w:color="auto"/>
          <w:color w:val="auto"/>
        </w:rPr>
        <w:t>” shall mean that certain First Amendment to Syndicated Facility Agreement, dated as of May 13, 2015, among the Borrowers, the Administrative Agents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First Amendment Effective Date</w:t>
      </w:r>
      <w:r>
        <w:rPr>
          <w:rFonts w:ascii="Arial" w:cs="Arial" w:eastAsia="Arial" w:hAnsi="Arial"/>
          <w:sz w:val="18"/>
          <w:szCs w:val="18"/>
          <w:b w:val="1"/>
          <w:bCs w:val="1"/>
          <w:u w:val="single" w:color="auto"/>
          <w:color w:val="auto"/>
        </w:rPr>
        <w:t>” shall have the meaning set forth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Foreign Government Scheme or Arrangement</w:t>
      </w:r>
      <w:r>
        <w:rPr>
          <w:rFonts w:ascii="Arial" w:cs="Arial" w:eastAsia="Arial" w:hAnsi="Arial"/>
          <w:sz w:val="18"/>
          <w:szCs w:val="18"/>
          <w:b w:val="1"/>
          <w:bCs w:val="1"/>
          <w:u w:val="single" w:color="auto"/>
          <w:color w:val="auto"/>
        </w:rPr>
        <w:t>” shall have the meaning assigned to such term in Section 3.16(c).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Lender</w:t>
      </w:r>
      <w:r>
        <w:rPr>
          <w:rFonts w:ascii="Arial" w:cs="Arial" w:eastAsia="Arial" w:hAnsi="Arial"/>
          <w:sz w:val="18"/>
          <w:szCs w:val="18"/>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“Foreign Plan</w:t>
      </w:r>
      <w:r>
        <w:rPr>
          <w:rFonts w:ascii="Arial" w:cs="Arial" w:eastAsia="Arial" w:hAnsi="Arial"/>
          <w:sz w:val="18"/>
          <w:szCs w:val="18"/>
          <w:b w:val="1"/>
          <w:bCs w:val="1"/>
          <w:u w:val="single" w:color="auto"/>
          <w:color w:val="auto"/>
        </w:rPr>
        <w:t>” shall have the meaning assigned to such term in Section 3.16(c).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xml:space="preserve">” shall mean any Subsidiary that is not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a Domestic Subsidiary </w:t>
      </w:r>
      <w:r>
        <w:rPr>
          <w:rFonts w:ascii="Arial" w:cs="Arial" w:eastAsia="Arial" w:hAnsi="Arial"/>
          <w:sz w:val="18"/>
          <w:szCs w:val="18"/>
          <w:b w:val="1"/>
          <w:bCs w:val="1"/>
          <w:color w:val="auto"/>
        </w:rPr>
        <w:t>or (b) the U.S. Borrower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2179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-7620</wp:posOffset>
            </wp:positionV>
            <wp:extent cx="1219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strike w:val="1"/>
        </w:rPr>
        <w:t>10</w:t>
      </w:r>
      <w:r>
        <w:rPr>
          <w:rFonts w:ascii="Arial" w:cs="Arial" w:eastAsia="Arial" w:hAnsi="Arial"/>
          <w:sz w:val="16"/>
          <w:szCs w:val="16"/>
          <w:b w:val="1"/>
          <w:bCs w:val="1"/>
          <w:i w:val="1"/>
          <w:iCs w:val="1"/>
          <w:u w:val="single" w:color="auto"/>
          <w:color w:val="auto"/>
        </w:rPr>
        <w:t>S-4</w:t>
      </w:r>
      <w:r>
        <w:rPr>
          <w:rFonts w:ascii="Arial" w:cs="Arial" w:eastAsia="Arial" w:hAnsi="Arial"/>
          <w:sz w:val="16"/>
          <w:szCs w:val="16"/>
          <w:color w:val="auto"/>
        </w:rPr>
        <w:t xml:space="preserve">” shall mean the registration statement on Form </w:t>
      </w:r>
      <w:r>
        <w:rPr>
          <w:rFonts w:ascii="Arial" w:cs="Arial" w:eastAsia="Arial" w:hAnsi="Arial"/>
          <w:sz w:val="16"/>
          <w:szCs w:val="16"/>
          <w:b w:val="1"/>
          <w:bCs w:val="1"/>
          <w:color w:val="auto"/>
          <w:strike w:val="1"/>
        </w:rPr>
        <w:t>10</w:t>
      </w:r>
      <w:r>
        <w:rPr>
          <w:rFonts w:ascii="Arial" w:cs="Arial" w:eastAsia="Arial" w:hAnsi="Arial"/>
          <w:sz w:val="16"/>
          <w:szCs w:val="16"/>
          <w:b w:val="1"/>
          <w:bCs w:val="1"/>
          <w:u w:val="single" w:color="auto"/>
          <w:color w:val="auto"/>
        </w:rPr>
        <w:t>S-4</w:t>
      </w:r>
      <w:r>
        <w:rPr>
          <w:rFonts w:ascii="Arial" w:cs="Arial" w:eastAsia="Arial" w:hAnsi="Arial"/>
          <w:sz w:val="16"/>
          <w:szCs w:val="16"/>
          <w:color w:val="auto"/>
        </w:rPr>
        <w:t xml:space="preserve"> (No. </w:t>
      </w:r>
      <w:r>
        <w:rPr>
          <w:rFonts w:ascii="Arial" w:cs="Arial" w:eastAsia="Arial" w:hAnsi="Arial"/>
          <w:sz w:val="16"/>
          <w:szCs w:val="16"/>
          <w:b w:val="1"/>
          <w:bCs w:val="1"/>
          <w:color w:val="auto"/>
          <w:strike w:val="1"/>
        </w:rPr>
        <w:t>001</w:t>
      </w:r>
      <w:r>
        <w:rPr>
          <w:rFonts w:ascii="Arial" w:cs="Arial" w:eastAsia="Arial" w:hAnsi="Arial"/>
          <w:sz w:val="16"/>
          <w:szCs w:val="16"/>
          <w:b w:val="1"/>
          <w:bCs w:val="1"/>
          <w:u w:val="single" w:color="auto"/>
          <w:color w:val="auto"/>
        </w:rPr>
        <w:t>333</w:t>
      </w:r>
      <w:r>
        <w:rPr>
          <w:rFonts w:ascii="Arial" w:cs="Arial" w:eastAsia="Arial" w:hAnsi="Arial"/>
          <w:sz w:val="16"/>
          <w:szCs w:val="16"/>
          <w:color w:val="auto"/>
        </w:rPr>
        <w:t>-</w:t>
      </w:r>
      <w:r>
        <w:rPr>
          <w:rFonts w:ascii="Arial" w:cs="Arial" w:eastAsia="Arial" w:hAnsi="Arial"/>
          <w:sz w:val="16"/>
          <w:szCs w:val="16"/>
          <w:b w:val="1"/>
          <w:bCs w:val="1"/>
          <w:color w:val="auto"/>
          <w:strike w:val="1"/>
        </w:rPr>
        <w:t>36246</w:t>
      </w:r>
      <w:r>
        <w:rPr>
          <w:rFonts w:ascii="Arial" w:cs="Arial" w:eastAsia="Arial" w:hAnsi="Arial"/>
          <w:sz w:val="16"/>
          <w:szCs w:val="16"/>
          <w:b w:val="1"/>
          <w:bCs w:val="1"/>
          <w:u w:val="single" w:color="auto"/>
          <w:color w:val="auto"/>
        </w:rPr>
        <w:t>201335</w:t>
      </w:r>
      <w:r>
        <w:rPr>
          <w:rFonts w:ascii="Arial" w:cs="Arial" w:eastAsia="Arial" w:hAnsi="Arial"/>
          <w:sz w:val="16"/>
          <w:szCs w:val="16"/>
          <w:color w:val="auto"/>
        </w:rPr>
        <w:t xml:space="preserve">), including all exhibits and schedules thereto, filed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with the SEC on December </w:t>
      </w:r>
      <w:r>
        <w:rPr>
          <w:rFonts w:ascii="Arial" w:cs="Arial" w:eastAsia="Arial" w:hAnsi="Arial"/>
          <w:sz w:val="16"/>
          <w:szCs w:val="16"/>
          <w:b w:val="1"/>
          <w:bCs w:val="1"/>
          <w:color w:val="auto"/>
          <w:strike w:val="1"/>
        </w:rPr>
        <w:t>12</w:t>
      </w:r>
      <w:r>
        <w:rPr>
          <w:rFonts w:ascii="Arial" w:cs="Arial" w:eastAsia="Arial" w:hAnsi="Arial"/>
          <w:sz w:val="16"/>
          <w:szCs w:val="16"/>
          <w:b w:val="1"/>
          <w:bCs w:val="1"/>
          <w:u w:val="single" w:color="auto"/>
          <w:color w:val="auto"/>
        </w:rPr>
        <w:t>31</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2013</w:t>
      </w:r>
      <w:r>
        <w:rPr>
          <w:rFonts w:ascii="Arial" w:cs="Arial" w:eastAsia="Arial" w:hAnsi="Arial"/>
          <w:sz w:val="16"/>
          <w:szCs w:val="16"/>
          <w:b w:val="1"/>
          <w:bCs w:val="1"/>
          <w:u w:val="single" w:color="auto"/>
          <w:color w:val="auto"/>
        </w:rPr>
        <w:t>2014</w:t>
      </w:r>
      <w:r>
        <w:rPr>
          <w:rFonts w:ascii="Arial" w:cs="Arial" w:eastAsia="Arial" w:hAnsi="Arial"/>
          <w:sz w:val="16"/>
          <w:szCs w:val="16"/>
          <w:color w:val="auto"/>
        </w:rPr>
        <w:t xml:space="preserve">, as amended or supplemented to (but not including) the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or by any amendment or supplement thereto filed on or after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so long as such amendment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supplement is not adverse in any material respect to the interests of the Lenders or as otherwise approved by the </w:t>
      </w:r>
      <w:r>
        <w:rPr>
          <w:rFonts w:ascii="Arial" w:cs="Arial" w:eastAsia="Arial" w:hAnsi="Arial"/>
          <w:sz w:val="16"/>
          <w:szCs w:val="16"/>
          <w:b w:val="1"/>
          <w:bCs w:val="1"/>
          <w:color w:val="auto"/>
          <w:strike w:val="1"/>
        </w:rPr>
        <w:t>Lead Arranger</w:t>
      </w:r>
      <w:r>
        <w:rPr>
          <w:rFonts w:ascii="Arial" w:cs="Arial" w:eastAsia="Arial" w:hAnsi="Arial"/>
          <w:sz w:val="16"/>
          <w:szCs w:val="16"/>
          <w:b w:val="1"/>
          <w:bCs w:val="1"/>
          <w:u w:val="single" w:color="auto"/>
          <w:color w:val="auto"/>
        </w:rPr>
        <w:t>Administrative Agent</w:t>
      </w:r>
      <w:r>
        <w:rPr>
          <w:rFonts w:ascii="Arial" w:cs="Arial" w:eastAsia="Arial" w:hAnsi="Arial"/>
          <w:sz w:val="16"/>
          <w:szCs w:val="16"/>
          <w:color w:val="auto"/>
        </w:rPr>
        <w:t>.</w:t>
      </w:r>
    </w:p>
    <w:p>
      <w:pPr>
        <w:spacing w:after="0" w:line="15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Fronting Exposure</w:t>
      </w:r>
      <w:r>
        <w:rPr>
          <w:rFonts w:ascii="Arial" w:cs="Arial" w:eastAsia="Arial" w:hAnsi="Arial"/>
          <w:sz w:val="17"/>
          <w:szCs w:val="17"/>
          <w:color w:val="auto"/>
        </w:rPr>
        <w:t xml:space="preserve">” shall mean, at any time there is a Defaulting Lender, with respect to an Issuing Bank, (a) such Defaulting Lender’s U.S. Revolving Pro Rata Percentage,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xml:space="preserve">” shall mean any Domestic Subsidiary that is a disregarded entity for U.S. federal income tax purposes substantially all of the assets of which consist of, directly or indirectly, Equity Interests in or Indebtedness of Foreign Subsidiaries </w:t>
      </w:r>
      <w:r>
        <w:rPr>
          <w:rFonts w:ascii="Arial" w:cs="Arial" w:eastAsia="Arial" w:hAnsi="Arial"/>
          <w:sz w:val="18"/>
          <w:szCs w:val="18"/>
          <w:b w:val="1"/>
          <w:bCs w:val="1"/>
          <w:u w:val="single" w:color="auto"/>
          <w:color w:val="auto"/>
        </w:rPr>
        <w:t>that are U.S. Owned Subsidiaries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-27940</wp:posOffset>
            </wp:positionV>
            <wp:extent cx="16465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Date</w:t>
      </w:r>
      <w:r>
        <w:rPr>
          <w:rFonts w:ascii="Arial" w:cs="Arial" w:eastAsia="Arial" w:hAnsi="Arial"/>
          <w:sz w:val="18"/>
          <w:szCs w:val="18"/>
          <w:color w:val="auto"/>
        </w:rPr>
        <w:t>” shall mean the date upon which all of the conditions set forth in Section 4.03 are satisfied or waived in accordance with Section 9.08(b) and the funding of the U.S. Term Loans is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United States generally accepted accounting principles applied on a consistent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Lender</w:t>
      </w:r>
      <w:r>
        <w:rPr>
          <w:rFonts w:ascii="Arial" w:cs="Arial" w:eastAsia="Arial" w:hAnsi="Arial"/>
          <w:sz w:val="18"/>
          <w:szCs w:val="18"/>
          <w:color w:val="auto"/>
        </w:rPr>
        <w:t>” shall have the meaning assigned to such term in Section 9.04(g).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GST Act</w:t>
      </w:r>
      <w:r>
        <w:rPr>
          <w:rFonts w:ascii="Arial" w:cs="Arial" w:eastAsia="Arial" w:hAnsi="Arial"/>
          <w:sz w:val="18"/>
          <w:szCs w:val="18"/>
          <w:b w:val="1"/>
          <w:bCs w:val="1"/>
          <w:u w:val="single" w:color="auto"/>
          <w:color w:val="auto"/>
        </w:rPr>
        <w:t xml:space="preserve">” shall mean </w:t>
      </w:r>
      <w:r>
        <w:rPr>
          <w:rFonts w:ascii="Arial" w:cs="Arial" w:eastAsia="Arial" w:hAnsi="Arial"/>
          <w:sz w:val="18"/>
          <w:szCs w:val="18"/>
          <w:i w:val="1"/>
          <w:iCs w:val="1"/>
          <w:u w:val="single" w:color="auto"/>
          <w:color w:val="auto"/>
        </w:rPr>
        <w:t>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GST Law</w:t>
      </w:r>
      <w:r>
        <w:rPr>
          <w:rFonts w:ascii="Arial" w:cs="Arial" w:eastAsia="Arial" w:hAnsi="Arial"/>
          <w:sz w:val="18"/>
          <w:szCs w:val="18"/>
          <w:b w:val="1"/>
          <w:bCs w:val="1"/>
          <w:u w:val="single" w:color="auto"/>
          <w:color w:val="auto"/>
        </w:rPr>
        <w:t>” shall have the meaning it has in the GST Act.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 any obligation, contingent or otherwise, of such person guaranteeing or having the economic effect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for collection or deposit in the ordinary course of business.</w:t>
      </w:r>
    </w:p>
    <w:p>
      <w:pPr>
        <w:spacing w:after="0" w:line="16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 Agreements</w:t>
      </w:r>
      <w:r>
        <w:rPr>
          <w:rFonts w:ascii="Arial" w:cs="Arial" w:eastAsia="Arial" w:hAnsi="Arial"/>
          <w:sz w:val="16"/>
          <w:szCs w:val="16"/>
          <w:color w:val="auto"/>
        </w:rPr>
        <w:t xml:space="preserve">” shall mean, collectively, the U.S. Guarantee Agreement, </w:t>
      </w:r>
      <w:r>
        <w:rPr>
          <w:rFonts w:ascii="Arial" w:cs="Arial" w:eastAsia="Arial" w:hAnsi="Arial"/>
          <w:sz w:val="16"/>
          <w:szCs w:val="16"/>
          <w:b w:val="1"/>
          <w:bCs w:val="1"/>
          <w:color w:val="auto"/>
          <w:strike w:val="1"/>
        </w:rPr>
        <w:t>and, following the execution and delivery thereof by the</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parties thereto, the</w:t>
      </w:r>
      <w:r>
        <w:rPr>
          <w:rFonts w:ascii="Arial" w:cs="Arial" w:eastAsia="Arial" w:hAnsi="Arial"/>
          <w:sz w:val="16"/>
          <w:szCs w:val="16"/>
          <w:b w:val="1"/>
          <w:bCs w:val="1"/>
          <w:u w:val="single" w:color="auto"/>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 Guarantee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and</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Canadian Guarantee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and the Parent Borrower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-59690</wp:posOffset>
            </wp:positionV>
            <wp:extent cx="26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-76835</wp:posOffset>
            </wp:positionV>
            <wp:extent cx="23964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9649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collectively, the Borrowers and the Subsidiary Guarantors.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GST Act</w:t>
      </w:r>
      <w:r>
        <w:rPr>
          <w:rFonts w:ascii="Arial" w:cs="Arial" w:eastAsia="Arial" w:hAnsi="Arial"/>
          <w:sz w:val="18"/>
          <w:szCs w:val="18"/>
          <w:b w:val="1"/>
          <w:bCs w:val="1"/>
          <w:color w:val="auto"/>
          <w:strike w:val="1"/>
        </w:rPr>
        <w:t xml:space="preserve">” means </w:t>
      </w:r>
      <w:r>
        <w:rPr>
          <w:rFonts w:ascii="Arial" w:cs="Arial" w:eastAsia="Arial" w:hAnsi="Arial"/>
          <w:sz w:val="18"/>
          <w:szCs w:val="18"/>
          <w:i w:val="1"/>
          <w:iCs w:val="1"/>
          <w:color w:val="auto"/>
          <w:strike w:val="1"/>
        </w:rPr>
        <w:t>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GST Law</w:t>
      </w:r>
      <w:r>
        <w:rPr>
          <w:rFonts w:ascii="Arial" w:cs="Arial" w:eastAsia="Arial" w:hAnsi="Arial"/>
          <w:sz w:val="18"/>
          <w:szCs w:val="18"/>
          <w:b w:val="1"/>
          <w:bCs w:val="1"/>
          <w:color w:val="auto"/>
          <w:strike w:val="1"/>
        </w:rPr>
        <w:t>” has the meaning it has in the GST Act.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Agreement</w:t>
      </w:r>
      <w:r>
        <w:rPr>
          <w:rFonts w:ascii="Arial" w:cs="Arial" w:eastAsia="Arial" w:hAnsi="Arial"/>
          <w:sz w:val="18"/>
          <w:szCs w:val="18"/>
          <w:color w:val="auto"/>
        </w:rPr>
        <w:t>” shall mean any interest rate protection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Amount Date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Lender</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Credit Increase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Indemnitee</w:t>
      </w:r>
      <w:r>
        <w:rPr>
          <w:rFonts w:ascii="Arial" w:cs="Arial" w:eastAsia="Arial" w:hAnsi="Arial"/>
          <w:sz w:val="18"/>
          <w:szCs w:val="18"/>
          <w:b w:val="1"/>
          <w:bCs w:val="1"/>
          <w:u w:val="single" w:color="auto"/>
          <w:color w:val="auto"/>
        </w:rPr>
        <w:t>” shall have the meaning assigned to such term in Section 9.05(b).</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Law</w:t>
      </w:r>
      <w:r>
        <w:rPr>
          <w:rFonts w:ascii="Arial" w:cs="Arial" w:eastAsia="Arial" w:hAnsi="Arial"/>
          <w:sz w:val="16"/>
          <w:szCs w:val="16"/>
          <w:color w:val="auto"/>
        </w:rPr>
        <w:t xml:space="preserve">” shall mean, to the extent applicable, (a) Title 11 of the United States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 xml:space="preserve">Companies’ Creditors Arrangement Act </w:t>
      </w:r>
      <w:r>
        <w:rPr>
          <w:rFonts w:ascii="Arial" w:cs="Arial" w:eastAsia="Arial" w:hAnsi="Arial"/>
          <w:sz w:val="16"/>
          <w:szCs w:val="16"/>
          <w:color w:val="auto"/>
        </w:rPr>
        <w:t>(Canada), (d) Chapter 5 of the Australian Corporations Act; (e) any similar federal, provincial, state, local or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bankruptcy or insolvency law applicable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w:t>
      </w:r>
      <w:r>
        <w:rPr>
          <w:rFonts w:ascii="Arial" w:cs="Arial" w:eastAsia="Arial" w:hAnsi="Arial"/>
          <w:sz w:val="18"/>
          <w:szCs w:val="18"/>
          <w:color w:val="auto"/>
        </w:rPr>
        <w:t xml:space="preserve">” for any period shall mean the ratio of (a) Consolidated EBITDA for such period to (b) Consolidated Interest Expense for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w:t>
      </w:r>
      <w:r>
        <w:rPr>
          <w:rFonts w:ascii="Arial" w:cs="Arial" w:eastAsia="Arial" w:hAnsi="Arial"/>
          <w:sz w:val="18"/>
          <w:szCs w:val="18"/>
          <w:b w:val="1"/>
          <w:bCs w:val="1"/>
          <w:color w:val="auto"/>
          <w:strike w:val="1"/>
        </w:rPr>
        <w:t>subsidiaries</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for such period. Solely for purposes of this definition, if, at any time the Interest Coverage Ratio is being determined,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xml:space="preserve"> shall have completed a Permitted Acquisition or Asset Sale the consideration of which is greater than $25,000,000 since the beginning of the relevant four fiscal quarter period, the Interest Coverage Ratio shall be determined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basis (using the criteria therefor described in Section 6.04(i)) as if such Permitted Acquisition or Asset Sale and any related incurrence or repayment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had occurred at the beginning of such period.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 Borrowing or BBSY Rate Borrowing with an Interest Period of more than three months’ duration, each day that would have been an Interest Payment Date had successive Interest Periods of three months’ duration been applicable to such Borrowing.</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shall mean, with respect to any Eurocurrency Borrowing or BBSY Rate Borrowing, the period commencing on the date of such Borrowing and ending on the numerically corresponding day (or, if there is no numerically corresponding day, on the last day) in the calendar month that is 1, 3 or 6 months thereafter (or 12 months or a shorter period, in each case if requested by the Applicable Borrower and consented to by all Applicable Lenders (including consent by verbal or electronic communication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that has not responded to such request within three Business Days shall be deemed to have consented), as a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Inversion Documents</w:t>
      </w:r>
      <w:r>
        <w:rPr>
          <w:rFonts w:ascii="Arial" w:cs="Arial" w:eastAsia="Arial" w:hAnsi="Arial"/>
          <w:sz w:val="18"/>
          <w:szCs w:val="18"/>
          <w:b w:val="1"/>
          <w:bCs w:val="1"/>
          <w:u w:val="single" w:color="auto"/>
          <w:color w:val="auto"/>
        </w:rPr>
        <w:t>” shall mean, the Form S-4, and all exhibits, schedules and amendments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Inversion Transaction</w:t>
      </w:r>
      <w:r>
        <w:rPr>
          <w:rFonts w:ascii="Arial" w:cs="Arial" w:eastAsia="Arial" w:hAnsi="Arial"/>
          <w:sz w:val="18"/>
          <w:szCs w:val="18"/>
          <w:b w:val="1"/>
          <w:bCs w:val="1"/>
          <w:u w:val="single" w:color="auto"/>
          <w:color w:val="auto"/>
        </w:rPr>
        <w:t>” shall mean the transactions among the Parent Borrower and its subsidiaries (including the U.S. Borrower and its subsidiaries prior to such transactions) as described in the Inversion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Investment</w:t>
      </w:r>
      <w:r>
        <w:rPr>
          <w:rFonts w:ascii="Arial" w:cs="Arial" w:eastAsia="Arial" w:hAnsi="Arial"/>
          <w:sz w:val="18"/>
          <w:szCs w:val="18"/>
          <w:b w:val="1"/>
          <w:bCs w:val="1"/>
          <w:u w:val="single" w:color="auto"/>
          <w:color w:val="auto"/>
        </w:rPr>
        <w:t>” shall have the meaning assigned to such term in Section 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the United States Internal Revenue Service.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xml:space="preserve">” shall mean, as the context may require, (a) RBC, with respect to Letters of Credit issued by it, (b) RBC Europe, with respect to Letters of Credit issued by it, (c) </w:t>
      </w:r>
      <w:r>
        <w:rPr>
          <w:rFonts w:ascii="Arial" w:cs="Arial" w:eastAsia="Arial" w:hAnsi="Arial"/>
          <w:sz w:val="17"/>
          <w:szCs w:val="17"/>
          <w:b w:val="1"/>
          <w:bCs w:val="1"/>
          <w:color w:val="auto"/>
          <w:strike w:val="1"/>
        </w:rPr>
        <w:t>Wells Fargo Bank, N.A., with respect to Letters of Credit issued by it, (d)</w:t>
      </w:r>
      <w:r>
        <w:rPr>
          <w:rFonts w:ascii="Arial" w:cs="Arial" w:eastAsia="Arial" w:hAnsi="Arial"/>
          <w:sz w:val="17"/>
          <w:szCs w:val="17"/>
          <w:color w:val="auto"/>
        </w:rPr>
        <w:t xml:space="preserve"> The Toronto Dominion Bank, with respect to Letters of Credit issued by it, (</w:t>
      </w:r>
      <w:r>
        <w:rPr>
          <w:rFonts w:ascii="Arial" w:cs="Arial" w:eastAsia="Arial" w:hAnsi="Arial"/>
          <w:sz w:val="17"/>
          <w:szCs w:val="17"/>
          <w:b w:val="1"/>
          <w:bCs w:val="1"/>
          <w:color w:val="auto"/>
          <w:strike w:val="1"/>
        </w:rPr>
        <w:t>e</w:t>
      </w:r>
      <w:r>
        <w:rPr>
          <w:rFonts w:ascii="Arial" w:cs="Arial" w:eastAsia="Arial" w:hAnsi="Arial"/>
          <w:sz w:val="17"/>
          <w:szCs w:val="17"/>
          <w:b w:val="1"/>
          <w:bCs w:val="1"/>
          <w:u w:val="single" w:color="auto"/>
          <w:color w:val="auto"/>
        </w:rPr>
        <w:t>d</w:t>
      </w:r>
      <w:r>
        <w:rPr>
          <w:rFonts w:ascii="Arial" w:cs="Arial" w:eastAsia="Arial" w:hAnsi="Arial"/>
          <w:sz w:val="17"/>
          <w:szCs w:val="17"/>
          <w:color w:val="auto"/>
        </w:rPr>
        <w:t>) The Bank of Nova Scotia, with respect to Letters of Credit issued by it, (</w:t>
      </w:r>
      <w:r>
        <w:rPr>
          <w:rFonts w:ascii="Arial" w:cs="Arial" w:eastAsia="Arial" w:hAnsi="Arial"/>
          <w:sz w:val="17"/>
          <w:szCs w:val="17"/>
          <w:b w:val="1"/>
          <w:bCs w:val="1"/>
          <w:color w:val="auto"/>
          <w:strike w:val="1"/>
        </w:rPr>
        <w:t>f</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Capital One, N.A., with respect to Letters of Credit issued by it, (</w:t>
      </w:r>
      <w:r>
        <w:rPr>
          <w:rFonts w:ascii="Arial" w:cs="Arial" w:eastAsia="Arial" w:hAnsi="Arial"/>
          <w:sz w:val="17"/>
          <w:szCs w:val="17"/>
          <w:b w:val="1"/>
          <w:bCs w:val="1"/>
          <w:color w:val="auto"/>
          <w:strike w:val="1"/>
        </w:rPr>
        <w:t>g</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 with respect to each Rolled Letter of Credit, the Lender that issued such Rolled Letter of Credit and (</w:t>
      </w:r>
      <w:r>
        <w:rPr>
          <w:rFonts w:ascii="Arial" w:cs="Arial" w:eastAsia="Arial" w:hAnsi="Arial"/>
          <w:sz w:val="17"/>
          <w:szCs w:val="17"/>
          <w:b w:val="1"/>
          <w:bCs w:val="1"/>
          <w:color w:val="auto"/>
          <w:strike w:val="1"/>
        </w:rPr>
        <w:t>h</w:t>
      </w:r>
      <w:r>
        <w:rPr>
          <w:rFonts w:ascii="Arial" w:cs="Arial" w:eastAsia="Arial" w:hAnsi="Arial"/>
          <w:sz w:val="17"/>
          <w:szCs w:val="17"/>
          <w:b w:val="1"/>
          <w:bCs w:val="1"/>
          <w:u w:val="single" w:color="auto"/>
          <w:color w:val="auto"/>
        </w:rPr>
        <w:t>g</w:t>
      </w:r>
      <w:r>
        <w:rPr>
          <w:rFonts w:ascii="Arial" w:cs="Arial" w:eastAsia="Arial" w:hAnsi="Arial"/>
          <w:sz w:val="17"/>
          <w:szCs w:val="17"/>
          <w:color w:val="auto"/>
        </w:rPr>
        <w:t>) any other Lender that may become an Issuing Bank pursuant to Section 2.21(j) or (l) with respect to Letters of Credit issued by such Lender, or (</w:t>
      </w:r>
      <w:r>
        <w:rPr>
          <w:rFonts w:ascii="Arial" w:cs="Arial" w:eastAsia="Arial" w:hAnsi="Arial"/>
          <w:sz w:val="17"/>
          <w:szCs w:val="17"/>
          <w:b w:val="1"/>
          <w:bCs w:val="1"/>
          <w:color w:val="auto"/>
          <w:strike w:val="1"/>
        </w:rPr>
        <w:t>i</w:t>
      </w:r>
      <w:r>
        <w:rPr>
          <w:rFonts w:ascii="Arial" w:cs="Arial" w:eastAsia="Arial" w:hAnsi="Arial"/>
          <w:sz w:val="17"/>
          <w:szCs w:val="17"/>
          <w:b w:val="1"/>
          <w:bCs w:val="1"/>
          <w:u w:val="single" w:color="auto"/>
          <w:color w:val="auto"/>
        </w:rPr>
        <w:t>h</w:t>
      </w:r>
      <w:r>
        <w:rPr>
          <w:rFonts w:ascii="Arial" w:cs="Arial" w:eastAsia="Arial" w:hAnsi="Arial"/>
          <w:sz w:val="17"/>
          <w:szCs w:val="17"/>
          <w:color w:val="auto"/>
        </w:rPr>
        <w:t>)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Fees</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any successor thereto, and any regulations promulgated thereunder.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Judgment Currency</w:t>
      </w:r>
      <w:r>
        <w:rPr>
          <w:rFonts w:ascii="Arial" w:cs="Arial" w:eastAsia="Arial" w:hAnsi="Arial"/>
          <w:sz w:val="18"/>
          <w:szCs w:val="18"/>
          <w:b w:val="1"/>
          <w:bCs w:val="1"/>
          <w:u w:val="single" w:color="auto"/>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Judgment Currency Conversion Date</w:t>
      </w:r>
      <w:r>
        <w:rPr>
          <w:rFonts w:ascii="Arial" w:cs="Arial" w:eastAsia="Arial" w:hAnsi="Arial"/>
          <w:sz w:val="18"/>
          <w:szCs w:val="18"/>
          <w:b w:val="1"/>
          <w:bCs w:val="1"/>
          <w:u w:val="single" w:color="auto"/>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Cash Collateral Account</w:t>
      </w:r>
      <w:r>
        <w:rPr>
          <w:rFonts w:ascii="Arial" w:cs="Arial" w:eastAsia="Arial" w:hAnsi="Arial"/>
          <w:sz w:val="18"/>
          <w:szCs w:val="18"/>
          <w:b w:val="1"/>
          <w:bCs w:val="1"/>
          <w:u w:val="single" w:color="auto"/>
          <w:color w:val="auto"/>
        </w:rPr>
        <w:t>” shall have the meaning assigned to such term in Section 2.21(k).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shall mean the commitment of each Issuing Bank to issue Letters of Credit pursuant to Section 2.21.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Exposure</w:t>
      </w:r>
      <w:r>
        <w:rPr>
          <w:rFonts w:ascii="Arial" w:cs="Arial" w:eastAsia="Arial" w:hAnsi="Arial"/>
          <w:sz w:val="18"/>
          <w:szCs w:val="18"/>
          <w:b w:val="1"/>
          <w:bCs w:val="1"/>
          <w:u w:val="single" w:color="auto"/>
          <w:color w:val="auto"/>
        </w:rPr>
        <w:t>” shall mean Australian L/C Exposure, Canadian L/C Exposure or U.S. L/C Exposure,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Issuance Limit</w:t>
      </w:r>
      <w:r>
        <w:rPr>
          <w:rFonts w:ascii="Arial" w:cs="Arial" w:eastAsia="Arial" w:hAnsi="Arial"/>
          <w:sz w:val="18"/>
          <w:szCs w:val="18"/>
          <w:b w:val="1"/>
          <w:bCs w:val="1"/>
          <w:u w:val="single" w:color="auto"/>
          <w:color w:val="auto"/>
        </w:rPr>
        <w:t>” shall mean, with respect to each Applicable Issuing Bank, the amount set forth on Schedule 2.21 opposite such Applicable Issuing Bank’s name, or in the case of any Lender that becomes an Applicable Issuing Bank after the First Amendment Effective Date the amount set forth in the agreement executed by such Lender as contemplated by Section 2.21(l).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Arranger</w:t>
      </w:r>
      <w:r>
        <w:rPr>
          <w:rFonts w:ascii="Arial" w:cs="Arial" w:eastAsia="Arial" w:hAnsi="Arial"/>
          <w:sz w:val="18"/>
          <w:szCs w:val="18"/>
          <w:color w:val="auto"/>
        </w:rPr>
        <w:t>” shall mean RBC Capital Markets.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Joinder Agreement</w:t>
      </w:r>
      <w:r>
        <w:rPr>
          <w:rFonts w:ascii="Arial" w:cs="Arial" w:eastAsia="Arial" w:hAnsi="Arial"/>
          <w:sz w:val="18"/>
          <w:szCs w:val="18"/>
          <w:color w:val="auto"/>
        </w:rPr>
        <w:t>” shall mean a joinder agreement in form and substance reasonably satisfactory to the Applicable Administrative Agent delivered in connection with Section 2.25.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Letter of Credit</w:t>
      </w:r>
      <w:r>
        <w:rPr>
          <w:rFonts w:ascii="Arial" w:cs="Arial" w:eastAsia="Arial" w:hAnsi="Arial"/>
          <w:sz w:val="17"/>
          <w:szCs w:val="17"/>
          <w:color w:val="auto"/>
        </w:rPr>
        <w:t xml:space="preserve">” shall mean any standby or commercial letter of credit issued (or, in the case of a Rolled Letter of Credit, deemed issued) pursuant to Section 2.21. A Letter of Credit shall be a “U.S. Letter of Credit” if issued </w:t>
      </w:r>
      <w:r>
        <w:rPr>
          <w:rFonts w:ascii="Arial" w:cs="Arial" w:eastAsia="Arial" w:hAnsi="Arial"/>
          <w:sz w:val="17"/>
          <w:szCs w:val="17"/>
          <w:b w:val="1"/>
          <w:bCs w:val="1"/>
          <w:color w:val="auto"/>
          <w:strike w:val="1"/>
        </w:rPr>
        <w:t>for the account of</w:t>
      </w:r>
      <w:r>
        <w:rPr>
          <w:rFonts w:ascii="Arial" w:cs="Arial" w:eastAsia="Arial" w:hAnsi="Arial"/>
          <w:sz w:val="17"/>
          <w:szCs w:val="17"/>
          <w:b w:val="1"/>
          <w:bCs w:val="1"/>
          <w:u w:val="single" w:color="auto"/>
          <w:color w:val="auto"/>
        </w:rPr>
        <w:t>under</w:t>
      </w:r>
      <w:r>
        <w:rPr>
          <w:rFonts w:ascii="Arial" w:cs="Arial" w:eastAsia="Arial" w:hAnsi="Arial"/>
          <w:sz w:val="17"/>
          <w:szCs w:val="17"/>
          <w:color w:val="auto"/>
        </w:rPr>
        <w:t xml:space="preserve"> the U.S. </w:t>
      </w:r>
      <w:r>
        <w:rPr>
          <w:rFonts w:ascii="Arial" w:cs="Arial" w:eastAsia="Arial" w:hAnsi="Arial"/>
          <w:sz w:val="17"/>
          <w:szCs w:val="17"/>
          <w:b w:val="1"/>
          <w:bCs w:val="1"/>
          <w:color w:val="auto"/>
          <w:strike w:val="1"/>
        </w:rPr>
        <w:t>Borrower in U.S. dollars or an Alternative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Currency</w:t>
      </w:r>
      <w:r>
        <w:rPr>
          <w:rFonts w:ascii="Arial" w:cs="Arial" w:eastAsia="Arial" w:hAnsi="Arial"/>
          <w:sz w:val="17"/>
          <w:szCs w:val="17"/>
          <w:b w:val="1"/>
          <w:bCs w:val="1"/>
          <w:u w:val="single" w:color="auto"/>
          <w:color w:val="auto"/>
        </w:rPr>
        <w:t>Revolving Credit Facility</w:t>
      </w:r>
      <w:r>
        <w:rPr>
          <w:rFonts w:ascii="Arial" w:cs="Arial" w:eastAsia="Arial" w:hAnsi="Arial"/>
          <w:sz w:val="17"/>
          <w:szCs w:val="17"/>
          <w:color w:val="auto"/>
        </w:rPr>
        <w:t>, a “Canadian Letter of Credit” if issued</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w:t>
      </w:r>
      <w:r>
        <w:rPr>
          <w:rFonts w:ascii="Arial" w:cs="Arial" w:eastAsia="Arial" w:hAnsi="Arial"/>
          <w:sz w:val="17"/>
          <w:szCs w:val="17"/>
          <w:b w:val="1"/>
          <w:bCs w:val="1"/>
          <w:u w:val="single" w:color="auto"/>
          <w:color w:val="auto"/>
        </w:rPr>
        <w:t>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account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Borrower in Canadian dollars</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Revolving Credit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and an “Australian Letter of Credit” issued</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w:t>
      </w:r>
      <w:r>
        <w:rPr>
          <w:rFonts w:ascii="Arial" w:cs="Arial" w:eastAsia="Arial" w:hAnsi="Arial"/>
          <w:sz w:val="17"/>
          <w:szCs w:val="17"/>
          <w:b w:val="1"/>
          <w:bCs w:val="1"/>
          <w:u w:val="single" w:color="auto"/>
          <w:color w:val="auto"/>
        </w:rPr>
        <w:t>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account of an</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Borrower in Australian dollars</w:t>
      </w:r>
      <w:r>
        <w:rPr>
          <w:rFonts w:ascii="Arial" w:cs="Arial" w:eastAsia="Arial" w:hAnsi="Arial"/>
          <w:sz w:val="17"/>
          <w:szCs w:val="17"/>
          <w:b w:val="1"/>
          <w:bCs w:val="1"/>
          <w:u w:val="single" w:color="auto"/>
          <w:color w:val="auto"/>
        </w:rPr>
        <w:t>Revolving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Credit Facility</w:t>
      </w:r>
      <w:r>
        <w:rPr>
          <w:rFonts w:ascii="Arial" w:cs="Arial" w:eastAsia="Arial" w:hAnsi="Arial"/>
          <w:sz w:val="17"/>
          <w:szCs w:val="17"/>
          <w:color w:val="auto"/>
        </w:rPr>
        <w:t>; provided that no commercial letter of credit shall be issued under the Australian Revolving Credit Facility.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Application</w:t>
      </w:r>
      <w:r>
        <w:rPr>
          <w:rFonts w:ascii="Arial" w:cs="Arial" w:eastAsia="Arial" w:hAnsi="Arial"/>
          <w:sz w:val="18"/>
          <w:szCs w:val="18"/>
          <w:color w:val="auto"/>
        </w:rPr>
        <w:t>” shall mean an application and agreement for the issuance, amendment or extension of a Letter of Credit in the form from time to time in use by an Issuing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Documents</w:t>
      </w:r>
      <w:r>
        <w:rPr>
          <w:rFonts w:ascii="Arial" w:cs="Arial" w:eastAsia="Arial" w:hAnsi="Arial"/>
          <w:sz w:val="18"/>
          <w:szCs w:val="18"/>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Leverage Ratio</w:t>
      </w:r>
      <w:r>
        <w:rPr>
          <w:rFonts w:ascii="Arial" w:cs="Arial" w:eastAsia="Arial" w:hAnsi="Arial"/>
          <w:sz w:val="17"/>
          <w:szCs w:val="17"/>
          <w:color w:val="auto"/>
        </w:rPr>
        <w:t xml:space="preserve">” shall mean, on any date, the ratio of Total Debt on such date to Consolidated EBITDA for the period of four consecutive fiscal quarters most recently ended on or prior to such date for which financial statements have been delivered pursuant to Section 5.04(a) or (b). Solely for purposes of this definition, if, at any time the Leverage Ratio is being determined,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xml:space="preserve"> shall have completed a Permitted Acquisition or Asset Sale the consideration of which is greater than $25,000,000 since the beginning of the relevant four fiscal quarter period, the Leverage Ratio shall be determined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LIBO Rate</w:t>
      </w:r>
      <w:r>
        <w:rPr>
          <w:rFonts w:ascii="Arial" w:cs="Arial" w:eastAsia="Arial" w:hAnsi="Arial"/>
          <w:sz w:val="16"/>
          <w:szCs w:val="16"/>
          <w:color w:val="auto"/>
        </w:rPr>
        <w:t xml:space="preserve">” shall mean,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 </w:t>
      </w:r>
      <w:r>
        <w:rPr>
          <w:rFonts w:ascii="Arial" w:cs="Arial" w:eastAsia="Arial" w:hAnsi="Arial"/>
          <w:sz w:val="16"/>
          <w:szCs w:val="16"/>
          <w:b w:val="1"/>
          <w:bCs w:val="1"/>
          <w:color w:val="auto"/>
        </w:rPr>
        <w:t>and (b)</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if the LIBO Rate is less than zero at any time, such rate shall be deemed to be zero at such time for purposes of this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6857365</wp:posOffset>
            </wp:positionH>
            <wp:positionV relativeFrom="paragraph">
              <wp:posOffset>-165735</wp:posOffset>
            </wp:positionV>
            <wp:extent cx="394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-182880</wp:posOffset>
            </wp:positionV>
            <wp:extent cx="389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Loan Documents</w:t>
      </w:r>
      <w:r>
        <w:rPr>
          <w:rFonts w:ascii="Arial" w:cs="Arial" w:eastAsia="Arial" w:hAnsi="Arial"/>
          <w:sz w:val="17"/>
          <w:szCs w:val="17"/>
          <w:color w:val="auto"/>
        </w:rPr>
        <w:t xml:space="preserve">” shall mean, collectively, this Agreement, </w:t>
      </w:r>
      <w:r>
        <w:rPr>
          <w:rFonts w:ascii="Arial" w:cs="Arial" w:eastAsia="Arial" w:hAnsi="Arial"/>
          <w:sz w:val="17"/>
          <w:szCs w:val="17"/>
          <w:b w:val="1"/>
          <w:bCs w:val="1"/>
          <w:u w:val="single" w:color="auto"/>
          <w:color w:val="auto"/>
        </w:rPr>
        <w:t>the First Amendment,</w:t>
      </w:r>
      <w:r>
        <w:rPr>
          <w:rFonts w:ascii="Arial" w:cs="Arial" w:eastAsia="Arial" w:hAnsi="Arial"/>
          <w:sz w:val="17"/>
          <w:szCs w:val="17"/>
          <w:color w:val="auto"/>
        </w:rPr>
        <w:t xml:space="preserve"> any Notes, if any, issued pursuant to Section 2.04(h), any Discount Notes, if any, issued pursuant to Section 2.22(h), the Guarantee Agreements, the Security Documents, the Australian Land Access Agreements, the Letter of Credit Documents, the Fee Letter, the CAM Exchange Agreement and each other certificate, agreement, instrument or other document executed and delivered, in each case, by or on behalf of any Loan Party pursuant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Section 9.08, “Loan Documents” shall mean this Agreement, the Guarantee Agreements and the Security Documents.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shall mean the Borrowers and the Guarantors.</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xml:space="preserve">” shall mean, collectively, the U.S. Loans, the Canadian Revolving Credit Loans, the </w:t>
      </w:r>
      <w:r>
        <w:rPr>
          <w:rFonts w:ascii="Arial" w:cs="Arial" w:eastAsia="Arial" w:hAnsi="Arial"/>
          <w:sz w:val="18"/>
          <w:szCs w:val="18"/>
          <w:b w:val="1"/>
          <w:bCs w:val="1"/>
          <w:u w:val="single" w:color="auto"/>
          <w:color w:val="auto"/>
        </w:rPr>
        <w:t>Canadian Term Loans, the</w:t>
      </w:r>
      <w:r>
        <w:rPr>
          <w:rFonts w:ascii="Arial" w:cs="Arial" w:eastAsia="Arial" w:hAnsi="Arial"/>
          <w:sz w:val="18"/>
          <w:szCs w:val="18"/>
          <w:color w:val="auto"/>
        </w:rPr>
        <w:t xml:space="preserve"> Australian Revolving Credit Loans and the Swing Line Loans.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xml:space="preserve">” shall mean (a) a materially adverse effect on the business, assets, operations or condition (financial or otherwise)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taken as a whole, (b) material impairment of the ability of any Borrower or any other Loan Party to perform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obligations under any Loan Document to which it is or will be a party or (c) material impairment of the rights of or benefits available to the Lenders and the Agents under any Loan Document.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shall mean any Subsidiary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that, as of the most recent date for which financial statements required to be delivered pursuant to Sections 5.04(a) or (b) are available, has either (a) net tangible assets (excluding assets that are eliminated in the calculation of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that constitute more than 5% of the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subsidiaries or (b) EBITDA greater than 5% of the total EBITDA of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subsidiaries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 the combined net tangible assets of the Subsidiaries that are not considered to be Material Subsidiaries (referred to herein as the “</w:t>
      </w:r>
      <w:r>
        <w:rPr>
          <w:rFonts w:ascii="Arial" w:cs="Arial" w:eastAsia="Arial" w:hAnsi="Arial"/>
          <w:sz w:val="16"/>
          <w:szCs w:val="16"/>
          <w:i w:val="1"/>
          <w:iCs w:val="1"/>
          <w:color w:val="auto"/>
        </w:rPr>
        <w:t>Immaterial Subsidiaries</w:t>
      </w:r>
      <w:r>
        <w:rPr>
          <w:rFonts w:ascii="Arial" w:cs="Arial" w:eastAsia="Arial" w:hAnsi="Arial"/>
          <w:sz w:val="16"/>
          <w:szCs w:val="16"/>
          <w:color w:val="auto"/>
        </w:rPr>
        <w:t xml:space="preserve">”) exceeds 15% of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or (ii) the combined EBITDA of the Immaterial Subsidiaries exceeds 15% of the total EBITDA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on consolidated basis, then one or more of such Immaterial Subsidiaries shall be deemed to be Material Subsidiaries in descending order based on the respective percentage of consolidated net tangible assets or percentage of the total EBITDA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on consolidated basis until such excess shall have been eliminated. Each Material Subsidiary listed on Schedules 1.01(a), 1.01(b) and 1.01(c) is a Guarantor as of the Closing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mean May 28, 2019.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Maximum Rate</w:t>
      </w:r>
      <w:r>
        <w:rPr>
          <w:rFonts w:ascii="Arial" w:cs="Arial" w:eastAsia="Arial" w:hAnsi="Arial"/>
          <w:sz w:val="18"/>
          <w:szCs w:val="18"/>
          <w:b w:val="1"/>
          <w:bCs w:val="1"/>
          <w:u w:val="single" w:color="auto"/>
          <w:color w:val="auto"/>
        </w:rPr>
        <w:t>” shall have the meaning assigned to such term in Section 9.09.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w:t>
      </w:r>
      <w:r>
        <w:rPr>
          <w:rFonts w:ascii="Arial" w:cs="Arial" w:eastAsia="Arial" w:hAnsi="Arial"/>
          <w:sz w:val="17"/>
          <w:szCs w:val="17"/>
          <w:color w:val="auto"/>
        </w:rPr>
        <w:t>” shall mean Moody’s Investors Service, Inc. and any successor thereto which is a nationally recognized statistical rating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4001(a)(3) of ERISA.</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Bilateral Agreement” shall mean that certain AUD$30,000,000 Facility Agreement dated September 14, 2012 between the Australian</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 xml:space="preserve">Borrower and </w:t>
      </w:r>
      <w:r>
        <w:rPr>
          <w:rFonts w:ascii="Arial" w:cs="Arial" w:eastAsia="Arial" w:hAnsi="Arial"/>
          <w:sz w:val="18"/>
          <w:szCs w:val="18"/>
          <w:b w:val="1"/>
          <w:bCs w:val="1"/>
          <w:color w:val="auto"/>
          <w:strike w:val="1"/>
        </w:rPr>
        <w:t>NAB Lender, as amended or supplemented from time to time or any agreement between the Australian Borrower and NAB Lender</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color w:val="auto"/>
          <w:strike w:val="1"/>
        </w:rPr>
        <w:t>that replaces that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ind w:firstLine="648"/>
        <w:spacing w:after="0" w:line="258"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 Bilateral Obligations</w:t>
      </w:r>
      <w:r>
        <w:rPr>
          <w:rFonts w:ascii="Arial" w:cs="Arial" w:eastAsia="Arial" w:hAnsi="Arial"/>
          <w:sz w:val="18"/>
          <w:szCs w:val="18"/>
          <w:b w:val="1"/>
          <w:bCs w:val="1"/>
          <w:color w:val="auto"/>
          <w:strike w:val="1"/>
        </w:rPr>
        <w:t xml:space="preserve">” means all the liabilities of the Australian Borrower to NAB Lender under or by reason of the NAB </w:t>
      </w:r>
      <w:r>
        <w:rPr>
          <w:rFonts w:ascii="Arial" w:cs="Arial" w:eastAsia="Arial" w:hAnsi="Arial"/>
          <w:sz w:val="18"/>
          <w:szCs w:val="18"/>
          <w:i w:val="1"/>
          <w:iCs w:val="1"/>
          <w:color w:val="auto"/>
          <w:strike w:val="1"/>
        </w:rPr>
        <w:t>Bilateral</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 xml:space="preserve">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w:t>
      </w:r>
      <w:r>
        <w:rPr>
          <w:rFonts w:ascii="Arial" w:cs="Arial" w:eastAsia="Arial" w:hAnsi="Arial"/>
          <w:sz w:val="18"/>
          <w:szCs w:val="18"/>
          <w:b w:val="1"/>
          <w:bCs w:val="1"/>
          <w:color w:val="auto"/>
          <w:strike w:val="1"/>
        </w:rPr>
        <w:t>NAB Bilateral Obligations under this Agreement or any other Loan</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color w:val="auto"/>
          <w:strike w:val="1"/>
        </w:rPr>
        <w:t>Document shall not exceed AUD$30,000,000.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 Lender</w:t>
      </w:r>
      <w:r>
        <w:rPr>
          <w:rFonts w:ascii="Arial" w:cs="Arial" w:eastAsia="Arial" w:hAnsi="Arial"/>
          <w:sz w:val="18"/>
          <w:szCs w:val="18"/>
          <w:b w:val="1"/>
          <w:bCs w:val="1"/>
          <w:color w:val="auto"/>
          <w:strike w:val="1"/>
        </w:rPr>
        <w:t>” means National Australia Bank Limited in its capacity as lender under the NAB Bilateral Agreement.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Cash Proceeds</w:t>
      </w:r>
      <w:r>
        <w:rPr>
          <w:rFonts w:ascii="Arial" w:cs="Arial" w:eastAsia="Arial" w:hAnsi="Arial"/>
          <w:sz w:val="17"/>
          <w:szCs w:val="17"/>
          <w:color w:val="auto"/>
        </w:rPr>
        <w:t xml:space="preserve">” shall mean, as applicable,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with respect to any Asset Sale, the cash (which term, for purposes of this definition, shall include any Permitted Investments, deferred payment pursuant to, or by monetization of, a note receivable or otherwise, but only as and when received) proceeds received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Subsidiaries therefrom, less the sum of (</w:t>
      </w:r>
      <w:r>
        <w:rPr>
          <w:rFonts w:ascii="Arial" w:cs="Arial" w:eastAsia="Arial" w:hAnsi="Arial"/>
          <w:sz w:val="17"/>
          <w:szCs w:val="17"/>
          <w:b w:val="1"/>
          <w:bCs w:val="1"/>
          <w:color w:val="auto"/>
          <w:strike w:val="1"/>
        </w:rPr>
        <w:t>a</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all income taxes and other taxes payable (or reasonably estimated to be payable) to a Governmental Authority as a result of such transaction, (</w:t>
      </w:r>
      <w:r>
        <w:rPr>
          <w:rFonts w:ascii="Arial" w:cs="Arial" w:eastAsia="Arial" w:hAnsi="Arial"/>
          <w:sz w:val="17"/>
          <w:szCs w:val="17"/>
          <w:b w:val="1"/>
          <w:bCs w:val="1"/>
          <w:color w:val="auto"/>
          <w:strike w:val="1"/>
        </w:rPr>
        <w:t>b</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all reasonable and customary out-of-pocket fees (including, without limitation, legal, accounting and advisory fees, and sales commissions) and expenses incurred in connection with such transaction or event, (</w:t>
      </w:r>
      <w:r>
        <w:rPr>
          <w:rFonts w:ascii="Arial" w:cs="Arial" w:eastAsia="Arial" w:hAnsi="Arial"/>
          <w:sz w:val="17"/>
          <w:szCs w:val="17"/>
          <w:b w:val="1"/>
          <w:bCs w:val="1"/>
          <w:color w:val="auto"/>
          <w:strike w:val="1"/>
        </w:rPr>
        <w:t>c</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the principal amount of, premium or penalty, if any, and interest on any Indebtedness secured by a Lien on the asset (or a portion thereof) disposed of, which Indebtedness is required to be repaid in connection with such transaction or event (other than pursuant to Section 2.12), (</w:t>
      </w:r>
      <w:r>
        <w:rPr>
          <w:rFonts w:ascii="Arial" w:cs="Arial" w:eastAsia="Arial" w:hAnsi="Arial"/>
          <w:sz w:val="17"/>
          <w:szCs w:val="17"/>
          <w:b w:val="1"/>
          <w:bCs w:val="1"/>
          <w:color w:val="auto"/>
          <w:strike w:val="1"/>
        </w:rPr>
        <w:t>d</w:t>
      </w:r>
      <w:r>
        <w:rPr>
          <w:rFonts w:ascii="Arial" w:cs="Arial" w:eastAsia="Arial" w:hAnsi="Arial"/>
          <w:sz w:val="17"/>
          <w:szCs w:val="17"/>
          <w:b w:val="1"/>
          <w:bCs w:val="1"/>
          <w:u w:val="single" w:color="auto"/>
          <w:color w:val="auto"/>
        </w:rPr>
        <w:t>iv</w:t>
      </w:r>
      <w:r>
        <w:rPr>
          <w:rFonts w:ascii="Arial" w:cs="Arial" w:eastAsia="Arial" w:hAnsi="Arial"/>
          <w:sz w:val="17"/>
          <w:szCs w:val="17"/>
          <w:color w:val="auto"/>
        </w:rPr>
        <w:t>) any amounts paid in respect of Hedging Agreement terminated as a result of the payment of Indebtedness under clause (</w:t>
      </w:r>
      <w:r>
        <w:rPr>
          <w:rFonts w:ascii="Arial" w:cs="Arial" w:eastAsia="Arial" w:hAnsi="Arial"/>
          <w:sz w:val="17"/>
          <w:szCs w:val="17"/>
          <w:b w:val="1"/>
          <w:bCs w:val="1"/>
          <w:color w:val="auto"/>
          <w:strike w:val="1"/>
        </w:rPr>
        <w:t>c</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w:t>
      </w:r>
      <w:r>
        <w:rPr>
          <w:rFonts w:ascii="Arial" w:cs="Arial" w:eastAsia="Arial" w:hAnsi="Arial"/>
          <w:sz w:val="17"/>
          <w:szCs w:val="17"/>
          <w:b w:val="1"/>
          <w:bCs w:val="1"/>
          <w:color w:val="auto"/>
          <w:strike w:val="1"/>
        </w:rPr>
        <w:t>e</w:t>
      </w:r>
      <w:r>
        <w:rPr>
          <w:rFonts w:ascii="Arial" w:cs="Arial" w:eastAsia="Arial" w:hAnsi="Arial"/>
          <w:sz w:val="17"/>
          <w:szCs w:val="17"/>
          <w:b w:val="1"/>
          <w:bCs w:val="1"/>
          <w:u w:val="single" w:color="auto"/>
          <w:color w:val="auto"/>
        </w:rPr>
        <w:t>v</w:t>
      </w:r>
      <w:r>
        <w:rPr>
          <w:rFonts w:ascii="Arial" w:cs="Arial" w:eastAsia="Arial" w:hAnsi="Arial"/>
          <w:sz w:val="17"/>
          <w:szCs w:val="17"/>
          <w:color w:val="auto"/>
        </w:rPr>
        <w:t>) all distributions and other payments required to be made to minority interest holders in Subsidiaries or joint ventures or to holders of royalty or similar interests as a result of such Asset Sale and (</w:t>
      </w:r>
      <w:r>
        <w:rPr>
          <w:rFonts w:ascii="Arial" w:cs="Arial" w:eastAsia="Arial" w:hAnsi="Arial"/>
          <w:sz w:val="17"/>
          <w:szCs w:val="17"/>
          <w:b w:val="1"/>
          <w:bCs w:val="1"/>
          <w:color w:val="auto"/>
          <w:strike w:val="1"/>
        </w:rPr>
        <w:t>f</w:t>
      </w:r>
      <w:r>
        <w:rPr>
          <w:rFonts w:ascii="Arial" w:cs="Arial" w:eastAsia="Arial" w:hAnsi="Arial"/>
          <w:sz w:val="17"/>
          <w:szCs w:val="17"/>
          <w:b w:val="1"/>
          <w:bCs w:val="1"/>
          <w:u w:val="single" w:color="auto"/>
          <w:color w:val="auto"/>
        </w:rPr>
        <w:t>vi</w:t>
      </w:r>
      <w:r>
        <w:rPr>
          <w:rFonts w:ascii="Arial" w:cs="Arial" w:eastAsia="Arial" w:hAnsi="Arial"/>
          <w:sz w:val="17"/>
          <w:szCs w:val="17"/>
          <w:color w:val="auto"/>
        </w:rPr>
        <w:t xml:space="preserve">) the amount of any reserves established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in accordance with GAAP, Canadian GAAP or Australian GAAP, as applicable,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Net Cash Proceeds received by any Foreign Subsidiary may not be distributed as a cash dividend or a similar cash distribution to a Loan Party without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incurring adverse tax consequences, as reasonably determined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such proceeds shall, so long as no Event of Default shall have occurred and be continuing at the time of the receipt thereof, not constitute “Net Cash Proceeds”</w:t>
      </w:r>
      <w:r>
        <w:rPr>
          <w:rFonts w:ascii="Arial" w:cs="Arial" w:eastAsia="Arial" w:hAnsi="Arial"/>
          <w:sz w:val="17"/>
          <w:szCs w:val="17"/>
          <w:b w:val="1"/>
          <w:bCs w:val="1"/>
          <w:color w:val="auto"/>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and (b) with respect to any issuance or incurrence of Indebtedness,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cash proceeds thereof, net of all customary fees, commissions, costs and other expenses incurred in connection therewith and, in respect of any Indebtedness that is incurred to refinance or replace any existing Indebtedness, the amount thereof that is used to effect such refinancing or replacement.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shall have the meaning assigned to such term in Section 2.04(h).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shall mean all obligations defined as “Obligations” in the Guarantee Agreements. Notwithstanding anything to the contrary contained herein, “Obligations” shall not include the Excluded Swap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shall mean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Offshore Associate</w:t>
      </w:r>
      <w:r>
        <w:rPr>
          <w:rFonts w:ascii="Arial" w:cs="Arial" w:eastAsia="Arial" w:hAnsi="Arial"/>
          <w:sz w:val="18"/>
          <w:szCs w:val="18"/>
          <w:color w:val="auto"/>
        </w:rPr>
        <w:t>” shall mean an Associate:</w:t>
      </w:r>
    </w:p>
    <w:p>
      <w:pPr>
        <w:spacing w:after="0" w:line="225" w:lineRule="exact"/>
        <w:rPr>
          <w:sz w:val="20"/>
          <w:szCs w:val="20"/>
          <w:color w:val="auto"/>
        </w:rPr>
      </w:pPr>
    </w:p>
    <w:p>
      <w:pPr>
        <w:ind w:firstLine="656"/>
        <w:spacing w:after="0" w:line="277" w:lineRule="auto"/>
        <w:tabs>
          <w:tab w:leader="none" w:pos="10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is a non-resident of Australia and does not become a Lender or receive a payment in carrying on a business in Australia at or through a permanent establishment of the Associate in Australia; or</w:t>
      </w:r>
    </w:p>
    <w:p>
      <w:pPr>
        <w:spacing w:after="0" w:line="170" w:lineRule="exact"/>
        <w:rPr>
          <w:rFonts w:ascii="Arial" w:cs="Arial" w:eastAsia="Arial" w:hAnsi="Arial"/>
          <w:sz w:val="18"/>
          <w:szCs w:val="18"/>
          <w:color w:val="auto"/>
        </w:rPr>
      </w:pPr>
    </w:p>
    <w:p>
      <w:pPr>
        <w:ind w:firstLine="656"/>
        <w:spacing w:after="0" w:line="277" w:lineRule="auto"/>
        <w:tabs>
          <w:tab w:leader="none" w:pos="11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is a resident of Australia and which becomes a Lender or receives a payment in carrying on a business in a country outside Australia at or through a permanent establishment of the Associate in that country,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Oil States</w:t>
      </w:r>
      <w:r>
        <w:rPr>
          <w:rFonts w:ascii="Arial" w:cs="Arial" w:eastAsia="Arial" w:hAnsi="Arial"/>
          <w:sz w:val="18"/>
          <w:szCs w:val="18"/>
          <w:b w:val="1"/>
          <w:bCs w:val="1"/>
          <w:color w:val="auto"/>
          <w:strike w:val="1"/>
        </w:rPr>
        <w:t>” shall mean Oil States International, Inc., a Delaware corporation.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BAs Collateral</w:t>
      </w:r>
      <w:r>
        <w:rPr>
          <w:rFonts w:ascii="Arial" w:cs="Arial" w:eastAsia="Arial" w:hAnsi="Arial"/>
          <w:sz w:val="18"/>
          <w:szCs w:val="18"/>
          <w:color w:val="auto"/>
        </w:rPr>
        <w:t>” shall have the meaning assigned to such term in Section 2.22(k).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Guarantee Agreement</w:t>
      </w:r>
      <w:r>
        <w:rPr>
          <w:rFonts w:ascii="Arial" w:cs="Arial" w:eastAsia="Arial" w:hAnsi="Arial"/>
          <w:sz w:val="18"/>
          <w:szCs w:val="18"/>
          <w:b w:val="1"/>
          <w:bCs w:val="1"/>
          <w:u w:val="single" w:color="auto"/>
          <w:color w:val="auto"/>
        </w:rPr>
        <w:t>” shall mean the Guarantee Agreement, substantially in the form of Exhibit C-4, in favor of the Canadian Collateral Agent,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Pledge Agreement</w:t>
      </w:r>
      <w:r>
        <w:rPr>
          <w:rFonts w:ascii="Arial" w:cs="Arial" w:eastAsia="Arial" w:hAnsi="Arial"/>
          <w:sz w:val="18"/>
          <w:szCs w:val="18"/>
          <w:b w:val="1"/>
          <w:bCs w:val="1"/>
          <w:u w:val="single" w:color="auto"/>
          <w:color w:val="auto"/>
        </w:rPr>
        <w:t>” shall mean the Pledge Agreement, substantially in the form of Exhibit D-4, among the Parent Borrower, as pledgor, and the Canadian Collateral Agent,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Security Agreement</w:t>
      </w:r>
      <w:r>
        <w:rPr>
          <w:rFonts w:ascii="Arial" w:cs="Arial" w:eastAsia="Arial" w:hAnsi="Arial"/>
          <w:sz w:val="18"/>
          <w:szCs w:val="18"/>
          <w:b w:val="1"/>
          <w:bCs w:val="1"/>
          <w:u w:val="single" w:color="auto"/>
          <w:color w:val="auto"/>
        </w:rPr>
        <w:t>” shall mean the Security Agreement, substantially in the form of Exhibit E-4, among the Parent Borrowers, as grantor, and the Canadian Collateral Agent, for the benefit of the Secured Parties.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9.04(d).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shall have the meaning assigned to such term in Section 9.04(d).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Patriot Act</w:t>
      </w:r>
      <w:r>
        <w:rPr>
          <w:rFonts w:ascii="Arial" w:cs="Arial" w:eastAsia="Arial" w:hAnsi="Arial"/>
          <w:sz w:val="18"/>
          <w:szCs w:val="18"/>
          <w:b w:val="1"/>
          <w:bCs w:val="1"/>
          <w:u w:val="single" w:color="auto"/>
          <w:color w:val="auto"/>
        </w:rPr>
        <w:t>” shall have the meaning assigned to such term in Section 9.21.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Act</w:t>
      </w:r>
      <w:r>
        <w:rPr>
          <w:rFonts w:ascii="Arial" w:cs="Arial" w:eastAsia="Arial" w:hAnsi="Arial"/>
          <w:sz w:val="18"/>
          <w:szCs w:val="18"/>
          <w:color w:val="auto"/>
        </w:rPr>
        <w:t>” shall mean the Pension Protection Act of 2006.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Funding Rules</w:t>
      </w:r>
      <w:r>
        <w:rPr>
          <w:rFonts w:ascii="Arial" w:cs="Arial" w:eastAsia="Arial" w:hAnsi="Arial"/>
          <w:sz w:val="18"/>
          <w:szCs w:val="18"/>
          <w:color w:val="auto"/>
        </w:rPr>
        <w:t>” shall mean the rules of the Code and ERISA regarding minimum required contributions (including any installment payment thereof) to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shall have the meaning assigned to such term in Section 6.04(i).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shall mean:</w:t>
      </w:r>
    </w:p>
    <w:p>
      <w:pPr>
        <w:spacing w:after="0" w:line="225" w:lineRule="exact"/>
        <w:rPr>
          <w:sz w:val="20"/>
          <w:szCs w:val="20"/>
          <w:color w:val="auto"/>
        </w:rPr>
      </w:pPr>
    </w:p>
    <w:p>
      <w:pPr>
        <w:jc w:val="both"/>
        <w:ind w:firstLine="656"/>
        <w:spacing w:after="0" w:line="259" w:lineRule="auto"/>
        <w:tabs>
          <w:tab w:leader="none" w:pos="12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firstLine="656"/>
        <w:spacing w:after="0" w:line="277" w:lineRule="auto"/>
        <w:tabs>
          <w:tab w:leader="none" w:pos="11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88" w:lineRule="exact"/>
        <w:rPr>
          <w:rFonts w:ascii="Arial" w:cs="Arial" w:eastAsia="Arial" w:hAnsi="Arial"/>
          <w:sz w:val="18"/>
          <w:szCs w:val="18"/>
          <w:color w:val="auto"/>
        </w:rPr>
      </w:pPr>
    </w:p>
    <w:p>
      <w:pPr>
        <w:ind w:firstLine="656"/>
        <w:spacing w:after="0" w:line="277" w:lineRule="auto"/>
        <w:tabs>
          <w:tab w:leader="none" w:pos="11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of clause (c) above; and</w:t>
      </w:r>
    </w:p>
    <w:p>
      <w:pPr>
        <w:spacing w:after="0" w:line="170" w:lineRule="exact"/>
        <w:rPr>
          <w:rFonts w:ascii="Arial" w:cs="Arial" w:eastAsia="Arial" w:hAnsi="Arial"/>
          <w:sz w:val="18"/>
          <w:szCs w:val="18"/>
          <w:color w:val="auto"/>
        </w:rPr>
      </w:pPr>
    </w:p>
    <w:p>
      <w:pPr>
        <w:ind w:firstLine="656"/>
        <w:spacing w:after="0" w:line="277" w:lineRule="auto"/>
        <w:tabs>
          <w:tab w:leader="none" w:pos="12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of a type analogous to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limited liability company, partnership, Governmental Authority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(other than a Multiemployer Plan) subject to the provisions of Title IV of ERISA or Section 412 of the Code, and in respect of which the U.S.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shall have the meaning assigned to such term in Section 5.04.</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Agreements</w:t>
      </w:r>
      <w:r>
        <w:rPr>
          <w:rFonts w:ascii="Arial" w:cs="Arial" w:eastAsia="Arial" w:hAnsi="Arial"/>
          <w:sz w:val="18"/>
          <w:szCs w:val="18"/>
          <w:color w:val="auto"/>
        </w:rPr>
        <w:t xml:space="preserve">” shall mean, collectively, the U.S. Pledge Agreement, the Canadian Pledge Agreement </w:t>
      </w:r>
      <w:r>
        <w:rPr>
          <w:rFonts w:ascii="Arial" w:cs="Arial" w:eastAsia="Arial" w:hAnsi="Arial"/>
          <w:sz w:val="18"/>
          <w:szCs w:val="18"/>
          <w:b w:val="1"/>
          <w:bCs w:val="1"/>
          <w:color w:val="auto"/>
        </w:rPr>
        <w:t>and, following the execution and</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delivery thereof by the parties thereto</w:t>
      </w:r>
      <w:r>
        <w:rPr>
          <w:rFonts w:ascii="Arial" w:cs="Arial" w:eastAsia="Arial" w:hAnsi="Arial"/>
          <w:sz w:val="18"/>
          <w:szCs w:val="18"/>
          <w:b w:val="1"/>
          <w:bCs w:val="1"/>
          <w:u w:val="single" w:color="auto"/>
          <w:color w:val="auto"/>
        </w:rPr>
        <w:t>, the Parent Borrower Pledge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Australian Share Security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-227965</wp:posOffset>
            </wp:positionV>
            <wp:extent cx="16922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spacing w:after="0" w:line="14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Defaulting Lender</w:t>
      </w:r>
      <w:r>
        <w:rPr>
          <w:rFonts w:ascii="Arial" w:cs="Arial" w:eastAsia="Arial" w:hAnsi="Arial"/>
          <w:sz w:val="18"/>
          <w:szCs w:val="18"/>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“PPSA (Alberta)” shall mean the Personal Property Security Act, RSA 2000, c. P-7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“PPSA (Australia)” shall mean the Australian Personal Property Securities Act 2009 (Cth).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Law</w:t>
      </w:r>
      <w:r>
        <w:rPr>
          <w:rFonts w:ascii="Arial" w:cs="Arial" w:eastAsia="Arial" w:hAnsi="Arial"/>
          <w:sz w:val="18"/>
          <w:szCs w:val="18"/>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Register</w:t>
      </w:r>
      <w:r>
        <w:rPr>
          <w:rFonts w:ascii="Arial" w:cs="Arial" w:eastAsia="Arial" w:hAnsi="Arial"/>
          <w:sz w:val="18"/>
          <w:szCs w:val="18"/>
          <w:color w:val="auto"/>
        </w:rPr>
        <w:t>” shall mean the Personal Property Securities Register established pursuant to the PPSA (Australia).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Regulations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the </w:t>
      </w:r>
      <w:r>
        <w:rPr>
          <w:rFonts w:ascii="Arial" w:cs="Arial" w:eastAsia="Arial" w:hAnsi="Arial"/>
          <w:sz w:val="18"/>
          <w:szCs w:val="18"/>
          <w:i w:val="1"/>
          <w:iCs w:val="1"/>
          <w:color w:val="auto"/>
        </w:rPr>
        <w:t>Personal Property Securities Regulations 2010</w:t>
      </w:r>
      <w:r>
        <w:rPr>
          <w:rFonts w:ascii="Arial" w:cs="Arial" w:eastAsia="Arial" w:hAnsi="Arial"/>
          <w:sz w:val="18"/>
          <w:szCs w:val="18"/>
          <w:color w:val="auto"/>
        </w:rPr>
        <w:t xml:space="preserve"> (Cth).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“PPSA (Alberta)” shall mean the Personal Property Security Act, RSA 2000, c. P-7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“PPSA (Australia)” shall mean the Australian Personal Property Securities Act 2009 (Cth).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change in the Prime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ECP Guarantor</w:t>
      </w:r>
      <w:r>
        <w:rPr>
          <w:rFonts w:ascii="Arial" w:cs="Arial" w:eastAsia="Arial" w:hAnsi="Arial"/>
          <w:sz w:val="16"/>
          <w:szCs w:val="16"/>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RBC</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RBC Europe</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Recipient</w:t>
      </w:r>
      <w:r>
        <w:rPr>
          <w:rFonts w:ascii="Arial" w:cs="Arial" w:eastAsia="Arial" w:hAnsi="Arial"/>
          <w:sz w:val="16"/>
          <w:szCs w:val="16"/>
          <w:color w:val="auto"/>
        </w:rPr>
        <w:t xml:space="preserve">” shall mean (a) </w:t>
      </w:r>
      <w:r>
        <w:rPr>
          <w:rFonts w:ascii="Arial" w:cs="Arial" w:eastAsia="Arial" w:hAnsi="Arial"/>
          <w:sz w:val="16"/>
          <w:szCs w:val="16"/>
          <w:b w:val="1"/>
          <w:bCs w:val="1"/>
          <w:color w:val="auto"/>
          <w:strike w:val="1"/>
        </w:rPr>
        <w:t>the Administrative</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Agent, (b) any Lender (c) any Issuing Bank, and (d)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Swing Line Lender, as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Refinancing Transactions</w:t>
      </w:r>
      <w:r>
        <w:rPr>
          <w:rFonts w:ascii="Arial" w:cs="Arial" w:eastAsia="Arial" w:hAnsi="Arial"/>
          <w:sz w:val="18"/>
          <w:szCs w:val="18"/>
          <w:b w:val="1"/>
          <w:bCs w:val="1"/>
          <w:color w:val="auto"/>
          <w:strike w:val="1"/>
        </w:rPr>
        <w:t>” shall mean (i) the termination of the commitments to extend credit and the payment in full all obligations under the Existing MAC Group Credit Agreement and the release of all guarantees and Liens thereunder and (ii) the release of all obligations, guarantees and Liens under the Existing OSI Credit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T</w:t>
      </w:r>
      <w:r>
        <w:rPr>
          <w:rFonts w:ascii="Arial" w:cs="Arial" w:eastAsia="Arial" w:hAnsi="Arial"/>
          <w:sz w:val="16"/>
          <w:szCs w:val="16"/>
          <w:color w:val="auto"/>
        </w:rPr>
        <w:t>” shall mean Regulation T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X</w:t>
      </w:r>
      <w:r>
        <w:rPr>
          <w:rFonts w:ascii="Arial" w:cs="Arial" w:eastAsia="Arial" w:hAnsi="Arial"/>
          <w:sz w:val="16"/>
          <w:szCs w:val="16"/>
          <w:color w:val="auto"/>
        </w:rPr>
        <w:t>” shall mean Regulation X of the Board as from time to time in effect and all official rulings and interpretations thereunder or thereof.</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shall mean,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Australian Lenders</w:t>
      </w:r>
      <w:r>
        <w:rPr>
          <w:rFonts w:ascii="Arial" w:cs="Arial" w:eastAsia="Arial" w:hAnsi="Arial"/>
          <w:sz w:val="17"/>
          <w:szCs w:val="17"/>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Required Canadian Lenders</w:t>
      </w:r>
      <w:r>
        <w:rPr>
          <w:rFonts w:ascii="Arial" w:cs="Arial" w:eastAsia="Arial" w:hAnsi="Arial"/>
          <w:sz w:val="16"/>
          <w:szCs w:val="16"/>
          <w:b w:val="1"/>
          <w:bCs w:val="1"/>
          <w:u w:val="single" w:color="auto"/>
          <w:color w:val="auto"/>
        </w:rPr>
        <w:t>” shall mean, at any time, Canadian Lenders having Canadian Loans, a share of the Canadian L/C Exposure and unused Canadian Commitments representing at least a majority of the sum of all Canadian Loans outstanding, the Canadian L/C Exposure and unused Canadian Commitments at such time; provided that the Canadian Loans outstanding, share of Canadian L/C Exposure and unused Canadian Commitments of any Defaulting Lender shall be disregarded in determining Required Canadian Lenders at any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Required Canadian Term Lenders</w:t>
      </w:r>
      <w:r>
        <w:rPr>
          <w:rFonts w:ascii="Arial" w:cs="Arial" w:eastAsia="Arial" w:hAnsi="Arial"/>
          <w:sz w:val="18"/>
          <w:szCs w:val="18"/>
          <w:b w:val="1"/>
          <w:bCs w:val="1"/>
          <w:u w:val="single" w:color="auto"/>
          <w:color w:val="auto"/>
        </w:rPr>
        <w:t xml:space="preserve">” shall mean, at any time, Canadian Term Lenders having Canadian Term Loans representing at least a majority of the sum of all Canadian Term Loans outstanding at such time;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xml:space="preserve"> that the Canadian Term Loans outstanding of any Defaulting Lender shall be disregarded in determining Required Canadian Term Lenders at any time.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shall mean, at any time,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having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a share of the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representing at least a majority of the sum of all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outstanding, the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at such time; provided that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outstanding, share of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of any Defaulting Lender shall be disregarded in determining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any time. For purposes of determining the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any time, the amount of any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denominated in Canadian dollars and the Canadian L/C Exposure shall be the U.S. Dollar Equivalent thereof at such time, as determined by the Administrative Agent using the then-applicable Exchange Rate.</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Required Canadian Tranche B Lenders</w:t>
      </w:r>
      <w:r>
        <w:rPr>
          <w:rFonts w:ascii="Arial" w:cs="Arial" w:eastAsia="Arial" w:hAnsi="Arial"/>
          <w:sz w:val="17"/>
          <w:szCs w:val="17"/>
          <w:b w:val="1"/>
          <w:bCs w:val="1"/>
          <w:u w:val="single" w:color="auto"/>
          <w:color w:val="auto"/>
        </w:rPr>
        <w:t>” shall mean, at any time, Canadian Tranche B Lenders having Canadian Tranche B Revolving Credit Loans and unused Canadian Tranche B Revolving Commitments representing at least a majority of the sum of all Canadian Tranche B Revolving Credit Loans outstanding and unused Canadian Tranche B Revolving Commitments at such time; provided that the Canadian Tranche B Revolving Credit Loans outstanding and unused Canadian Tranche B Revolving Commitments of any Defaulting Lender shall be disregarded in determining Required Canadian Tranche B Lenders at any time. For purposes of determining the Required Canadian Tranche B Lenders at any time, the amount of any Canadian Tranche B Revolving Credit Loans denominated in Canadian dollars shall be the U.S. Dollar Equivalent thereof at such time, as determined by the Administrative Agent using the then-applicable Exchange Rate.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Loans outstanding, share of </w:t>
      </w:r>
      <w:r>
        <w:rPr>
          <w:rFonts w:ascii="Arial" w:cs="Arial" w:eastAsia="Arial" w:hAnsi="Arial"/>
          <w:sz w:val="18"/>
          <w:szCs w:val="18"/>
          <w:b w:val="1"/>
          <w:bCs w:val="1"/>
          <w:u w:val="single" w:color="auto"/>
          <w:color w:val="auto"/>
        </w:rPr>
        <w:t>Aggregate</w:t>
      </w:r>
      <w:r>
        <w:rPr>
          <w:rFonts w:ascii="Arial" w:cs="Arial" w:eastAsia="Arial" w:hAnsi="Arial"/>
          <w:sz w:val="18"/>
          <w:szCs w:val="18"/>
          <w:color w:val="auto"/>
        </w:rPr>
        <w:t xml:space="preserv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u w:val="single" w:color="auto"/>
          <w:color w:val="auto"/>
        </w:rPr>
        <w:t>“Required Revolving Lenders</w:t>
      </w:r>
      <w:r>
        <w:rPr>
          <w:rFonts w:ascii="Arial" w:cs="Arial" w:eastAsia="Arial" w:hAnsi="Arial"/>
          <w:sz w:val="18"/>
          <w:szCs w:val="18"/>
          <w:b w:val="1"/>
          <w:bCs w:val="1"/>
          <w:u w:val="single" w:color="auto"/>
          <w:color w:val="auto"/>
        </w:rPr>
        <w:t>” shall mean the Required Australian Lenders, the Required Canadian Tranche A Lenders, the Required</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b w:val="1"/>
          <w:bCs w:val="1"/>
          <w:u w:val="single" w:color="auto"/>
          <w:color w:val="auto"/>
        </w:rPr>
        <w:t>Canadian Tranche B Lenders or the Required U.S. Revolving Lenders, as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Lenders</w:t>
      </w:r>
      <w:r>
        <w:rPr>
          <w:rFonts w:ascii="Arial" w:cs="Arial" w:eastAsia="Arial" w:hAnsi="Arial"/>
          <w:sz w:val="18"/>
          <w:szCs w:val="18"/>
          <w:color w:val="auto"/>
        </w:rPr>
        <w:t xml:space="preserve">” shall mean, at any time, U.S. Lenders having U.S. Loans, a share of the U.S. L/C Exposure and unused U.S. Revolving Commitments representing at least a majority of the sum of all U.S. Loans outstanding, the U.S. L/C Exposure and unused U.S.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Loans outstanding, share of U.S. L/C Exposure and unused U.S. Revolving Commitments of any Defaulting Lender shall be disregarded in determining Required U.S. Lenders at any time.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U.S. Revolving Lenders</w:t>
      </w:r>
      <w:r>
        <w:rPr>
          <w:rFonts w:ascii="Arial" w:cs="Arial" w:eastAsia="Arial" w:hAnsi="Arial"/>
          <w:sz w:val="16"/>
          <w:szCs w:val="16"/>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 Revolving Credit Loans outstanding, share of U.S. L/C Exposure and unused U.S. Revolving Commitments of any Defaulting Lender shall be disregarded in determining Required U.S. Revolving Lenders at any time.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Term Lenders</w:t>
      </w:r>
      <w:r>
        <w:rPr>
          <w:rFonts w:ascii="Arial" w:cs="Arial" w:eastAsia="Arial" w:hAnsi="Arial"/>
          <w:sz w:val="18"/>
          <w:szCs w:val="18"/>
          <w:color w:val="auto"/>
        </w:rPr>
        <w:t xml:space="preserve">” shall mean, at any time, U.S. Term Lenders having U.S. Term Loans representing at least a majority of the sum of all U.S. Term Loans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Term Loans outstanding of any Defaulting Lender shall be disregarded in determining Required U.S. Term Lenders at any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Indebtedness</w:t>
      </w:r>
      <w:r>
        <w:rPr>
          <w:rFonts w:ascii="Arial" w:cs="Arial" w:eastAsia="Arial" w:hAnsi="Arial"/>
          <w:sz w:val="18"/>
          <w:szCs w:val="18"/>
          <w:color w:val="auto"/>
        </w:rPr>
        <w:t xml:space="preserve">” shall mean Subordinated Indebtedness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the payment, prepayment, repurchase or defeasance of which is restricted under Section 6.09(b).</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xml:space="preserve">” shall mean any dividend or other distribution (whether in cash, securities or other property) with respect to any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or any payment (whether in cash, securities or other property), including any sinking fund or similar deposit, on account of the purchase, redemption, retirement, acquisition, cancellation or termination of any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or any option, warrant or other right to acquire any such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Commitments</w:t>
      </w:r>
      <w:r>
        <w:rPr>
          <w:rFonts w:ascii="Arial" w:cs="Arial" w:eastAsia="Arial" w:hAnsi="Arial"/>
          <w:sz w:val="18"/>
          <w:szCs w:val="18"/>
          <w:color w:val="auto"/>
        </w:rPr>
        <w:t>” shall mean the Canadian Revolving Commitments, the U.S. Revolving Commitments and the Australian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shall mean U.S. Revolving Credit Loans, Canadian Revolving Credit Loans or Australian Revolving Credit Loans, as the context may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Lenders</w:t>
      </w:r>
      <w:r>
        <w:rPr>
          <w:rFonts w:ascii="Arial" w:cs="Arial" w:eastAsia="Arial" w:hAnsi="Arial"/>
          <w:sz w:val="17"/>
          <w:szCs w:val="17"/>
          <w:color w:val="auto"/>
        </w:rPr>
        <w:t xml:space="preserve">” shall mean U.S. Revolving Lenders, Canadian </w:t>
      </w:r>
      <w:r>
        <w:rPr>
          <w:rFonts w:ascii="Arial" w:cs="Arial" w:eastAsia="Arial" w:hAnsi="Arial"/>
          <w:sz w:val="17"/>
          <w:szCs w:val="17"/>
          <w:b w:val="1"/>
          <w:bCs w:val="1"/>
          <w:u w:val="single" w:color="auto"/>
          <w:color w:val="auto"/>
        </w:rPr>
        <w:t>Revolving</w:t>
      </w:r>
      <w:r>
        <w:rPr>
          <w:rFonts w:ascii="Arial" w:cs="Arial" w:eastAsia="Arial" w:hAnsi="Arial"/>
          <w:sz w:val="17"/>
          <w:szCs w:val="17"/>
          <w:color w:val="auto"/>
        </w:rPr>
        <w:t xml:space="preserve"> Lenders or Australian Lenders, as the context may require.</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Rolled Letter of Credit</w:t>
      </w:r>
      <w:r>
        <w:rPr>
          <w:rFonts w:ascii="Arial" w:cs="Arial" w:eastAsia="Arial" w:hAnsi="Arial"/>
          <w:sz w:val="18"/>
          <w:szCs w:val="18"/>
          <w:color w:val="auto"/>
        </w:rPr>
        <w:t>” shall mean each Letter of Credit previously issued for the account of a Borrower that (a) is outstanding on the Closing Date and (b) is listed on Schedule 1.01(a).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 Laws and Regulations</w:t>
      </w:r>
      <w:r>
        <w:rPr>
          <w:rFonts w:ascii="Arial" w:cs="Arial" w:eastAsia="Arial" w:hAnsi="Arial"/>
          <w:sz w:val="18"/>
          <w:szCs w:val="18"/>
          <w:color w:val="auto"/>
        </w:rPr>
        <w:t>” shall mean (a) any economic, trade or financial sanctions, prohibitions or requirements imposed, administered or enforced by any executive order of the President of the United States (an “</w:t>
      </w:r>
      <w:r>
        <w:rPr>
          <w:rFonts w:ascii="Arial" w:cs="Arial" w:eastAsia="Arial" w:hAnsi="Arial"/>
          <w:sz w:val="18"/>
          <w:szCs w:val="18"/>
          <w:i w:val="1"/>
          <w:iCs w:val="1"/>
          <w:color w:val="auto"/>
        </w:rPr>
        <w:t>Executive Order</w:t>
      </w:r>
      <w:r>
        <w:rPr>
          <w:rFonts w:ascii="Arial" w:cs="Arial" w:eastAsia="Arial" w:hAnsi="Arial"/>
          <w:sz w:val="18"/>
          <w:szCs w:val="18"/>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 and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shall mean, collectively, the U.S. Secured Parties, the Canadian Secured Parties and the Australian Secured Parties.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xml:space="preserve">” shall mean, collectively, the U.S. Security Agreement, the Canadian Security Agreement </w:t>
      </w:r>
      <w:r>
        <w:rPr>
          <w:rFonts w:ascii="Arial" w:cs="Arial" w:eastAsia="Arial" w:hAnsi="Arial"/>
          <w:sz w:val="18"/>
          <w:szCs w:val="18"/>
          <w:b w:val="1"/>
          <w:bCs w:val="1"/>
          <w:color w:val="auto"/>
        </w:rPr>
        <w:t>and, following the execution and</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delivery thereof by the parties thereto, the</w:t>
      </w:r>
      <w:r>
        <w:rPr>
          <w:rFonts w:ascii="Arial" w:cs="Arial" w:eastAsia="Arial" w:hAnsi="Arial"/>
          <w:sz w:val="18"/>
          <w:szCs w:val="18"/>
          <w:b w:val="1"/>
          <w:bCs w:val="1"/>
          <w:u w:val="single" w:color="auto"/>
          <w:color w:val="auto"/>
        </w:rPr>
        <w:t>, the Parent Borrower Security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Security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5605780</wp:posOffset>
            </wp:positionH>
            <wp:positionV relativeFrom="paragraph">
              <wp:posOffset>-227965</wp:posOffset>
            </wp:positionV>
            <wp:extent cx="16408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Documents</w:t>
      </w:r>
      <w:r>
        <w:rPr>
          <w:rFonts w:ascii="Arial" w:cs="Arial" w:eastAsia="Arial" w:hAnsi="Arial"/>
          <w:sz w:val="18"/>
          <w:szCs w:val="18"/>
          <w:color w:val="auto"/>
        </w:rPr>
        <w:t>” shall mean the Security Agreements, the Pledge Agreements, and each of the security agreements, and other instruments and documents executed and delivered pursuant to any of the foregoing or pursuant to Section 5.09.</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Separation Agreement</w:t>
      </w:r>
      <w:r>
        <w:rPr>
          <w:rFonts w:ascii="Arial" w:cs="Arial" w:eastAsia="Arial" w:hAnsi="Arial"/>
          <w:sz w:val="18"/>
          <w:szCs w:val="18"/>
          <w:b w:val="1"/>
          <w:bCs w:val="1"/>
          <w:color w:val="auto"/>
          <w:strike w:val="1"/>
        </w:rPr>
        <w:t>” shall mean the separation and distribution agreement between the U.S. Borrower and Oil States dated as of May 27, 2014.</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Funding Date.</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Ratings Service, a division of The McGraw-Hill Companies, Inc., or any successor thereof which is a nationally recognized statistical rating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Purpose Business Entity</w:t>
      </w:r>
      <w:r>
        <w:rPr>
          <w:rFonts w:ascii="Arial" w:cs="Arial" w:eastAsia="Arial" w:hAnsi="Arial"/>
          <w:sz w:val="18"/>
          <w:szCs w:val="18"/>
          <w:color w:val="auto"/>
        </w:rPr>
        <w:t xml:space="preserve">” shall mean each entity listed on Schedule 3.08 as being a Special Purpose Business Entity and any other entity formed by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its Subsidiaries, or in which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its Subsidiaries acquires an Equity Interest, in each case so long as (i) such entity is formed, or such Equity Interest is acquired, after October 30, 2003, (ii) such entity is, or proposes to engage in, a joint venture with persons that are, or are owned or controlled by, aboriginal peoples in Alaska or Canada, (iii) any loans or advances to, or investments in such Special Purpose Business Entity is permitted by Section 6.04, and (iv)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delivers a certificate of a Responsible Officer to the Administrative Agents designating such Special Purpose Business Entity as such and certifying compliance with the foregoing requirements of this definition.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Spin Documents</w:t>
      </w:r>
      <w:r>
        <w:rPr>
          <w:rFonts w:ascii="Arial" w:cs="Arial" w:eastAsia="Arial" w:hAnsi="Arial"/>
          <w:sz w:val="16"/>
          <w:szCs w:val="16"/>
          <w:b w:val="1"/>
          <w:bCs w:val="1"/>
          <w:color w:val="auto"/>
          <w:strike w:val="1"/>
        </w:rPr>
        <w:t>” shall mean, the Form 10, the Separation Agreement and, in each case, all exhibits, schedules and amendments thereto.</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Spin-Off</w:t>
      </w:r>
      <w:r>
        <w:rPr>
          <w:rFonts w:ascii="Arial" w:cs="Arial" w:eastAsia="Arial" w:hAnsi="Arial"/>
          <w:sz w:val="18"/>
          <w:szCs w:val="18"/>
          <w:b w:val="1"/>
          <w:bCs w:val="1"/>
          <w:color w:val="auto"/>
          <w:strike w:val="1"/>
        </w:rPr>
        <w:t>” shall mean (a) the separation of certain assets (including the Equity Interests of certain subsidiaries of Oil States) and certain liabilities related to Oil States’ remote site accommodations business from Oil States and the transfer of those assets (including the Equity Interests of certain Subsidiaries of Oil States) and liabilities to the U.S. Borrower pursuant to the Separation Agreement and (b) the distribution by Oil States of all of the issued and outstanding shares of common stock of the U.S.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Time</w:t>
      </w:r>
      <w:r>
        <w:rPr>
          <w:rFonts w:ascii="Arial" w:cs="Arial" w:eastAsia="Arial" w:hAnsi="Arial"/>
          <w:sz w:val="18"/>
          <w:szCs w:val="18"/>
          <w:color w:val="auto"/>
        </w:rPr>
        <w:t>” shall mean eastern standard time or eastern daylight savings time, as applicable on the relevant 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Reserves</w:t>
      </w:r>
      <w:r>
        <w:rPr>
          <w:rFonts w:ascii="Arial" w:cs="Arial" w:eastAsia="Arial" w:hAnsi="Arial"/>
          <w:sz w:val="18"/>
          <w:szCs w:val="18"/>
          <w:color w:val="auto"/>
        </w:rPr>
        <w:t>”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shall mean Indebtedness of a Loan Party that is subordinated to the prior payment in full of the Obligations on terms reasonably satisfactory to the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with respect to any person (herein referred to as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any subsidiary of a Borrower, other than a Special Purpose Business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shall mean, collectively, the U.S. Subsidiary Guarantors, the Canadian Subsidiary Guarantors, and the Australian Subsidiary Guarantors.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Supplier</w:t>
      </w:r>
      <w:r>
        <w:rPr>
          <w:rFonts w:ascii="Arial" w:cs="Arial" w:eastAsia="Arial" w:hAnsi="Arial"/>
          <w:sz w:val="18"/>
          <w:szCs w:val="18"/>
          <w:color w:val="auto"/>
        </w:rPr>
        <w:t>” shall have the meaning assigned to such term in Section 2.19(j).</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shall mean,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Borrowing</w:t>
      </w:r>
      <w:r>
        <w:rPr>
          <w:rFonts w:ascii="Arial" w:cs="Arial" w:eastAsia="Arial" w:hAnsi="Arial"/>
          <w:sz w:val="18"/>
          <w:szCs w:val="18"/>
          <w:color w:val="auto"/>
        </w:rPr>
        <w:t>” shall mean a U.S. Swing Line Borrowing or a Canadian Swing Line Borrowing,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Lender</w:t>
      </w:r>
      <w:r>
        <w:rPr>
          <w:rFonts w:ascii="Arial" w:cs="Arial" w:eastAsia="Arial" w:hAnsi="Arial"/>
          <w:sz w:val="18"/>
          <w:szCs w:val="18"/>
          <w:color w:val="auto"/>
        </w:rPr>
        <w:t>” shall mean the U.S. Swing Line Lender or the Canadian Swing Line Lender,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w:t>
      </w:r>
      <w:r>
        <w:rPr>
          <w:rFonts w:ascii="Arial" w:cs="Arial" w:eastAsia="Arial" w:hAnsi="Arial"/>
          <w:sz w:val="18"/>
          <w:szCs w:val="18"/>
          <w:color w:val="auto"/>
        </w:rPr>
        <w:t>” shall mean a U.S. Swing Line Loan or a Canadian Swing Line Loan, as the context may require.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Payment Date</w:t>
      </w:r>
      <w:r>
        <w:rPr>
          <w:rFonts w:ascii="Arial" w:cs="Arial" w:eastAsia="Arial" w:hAnsi="Arial"/>
          <w:sz w:val="18"/>
          <w:szCs w:val="18"/>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three (3) Business Days after demand is made by the Applicable Swing Line Lender if no Default or Event of Default exists, and otherwise upon demand by the Applicable Swing Line Lender and (ii) the Maturity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Sublimit</w:t>
      </w:r>
      <w:r>
        <w:rPr>
          <w:rFonts w:ascii="Arial" w:cs="Arial" w:eastAsia="Arial" w:hAnsi="Arial"/>
          <w:sz w:val="18"/>
          <w:szCs w:val="18"/>
          <w:color w:val="auto"/>
        </w:rPr>
        <w:t>” shall mean the U.S. Swing Line Sublimit or the Canadian Swing Line Sublimit, as the context may require.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Purchase Agreement</w:t>
      </w:r>
      <w:r>
        <w:rPr>
          <w:rFonts w:ascii="Arial" w:cs="Arial" w:eastAsia="Arial" w:hAnsi="Arial"/>
          <w:sz w:val="16"/>
          <w:szCs w:val="16"/>
          <w:color w:val="auto"/>
        </w:rPr>
        <w:t xml:space="preserve">” shall mean any swap, derivative or other agreement or combination of agreements pursuant to which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Subsidiary is or may become obligated to make (a) any payment in connection with a purchase by any third party from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phantom stock or similar plan providing for payments only to current or former directors, officers or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(or to their heirs or estates) shall be deemed to be a Synthetic Purchase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Term Loans</w:t>
      </w:r>
      <w:r>
        <w:rPr>
          <w:rFonts w:ascii="Arial" w:cs="Arial" w:eastAsia="Arial" w:hAnsi="Arial"/>
          <w:sz w:val="18"/>
          <w:szCs w:val="18"/>
          <w:b w:val="1"/>
          <w:bCs w:val="1"/>
          <w:u w:val="single" w:color="auto"/>
          <w:color w:val="auto"/>
        </w:rPr>
        <w:t>” shall mean the U.S. Term Loans and the Canadian Term Loans.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Australian Revolving Commitment</w:t>
      </w:r>
      <w:r>
        <w:rPr>
          <w:rFonts w:ascii="Arial" w:cs="Arial" w:eastAsia="Arial" w:hAnsi="Arial"/>
          <w:sz w:val="18"/>
          <w:szCs w:val="18"/>
          <w:color w:val="auto"/>
        </w:rPr>
        <w:t>” shall mean, at any time, the aggregate amount of the Australian Revolving Commitments, as in effect at such time.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w:t>
      </w:r>
      <w:r>
        <w:rPr>
          <w:rFonts w:ascii="Arial" w:cs="Arial" w:eastAsia="Arial" w:hAnsi="Arial"/>
          <w:sz w:val="18"/>
          <w:szCs w:val="18"/>
          <w:color w:val="auto"/>
        </w:rPr>
        <w:t xml:space="preserve">” shall mean, at any time,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as in effect at such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Total Canadian Tranche B Revolving Commitment</w:t>
      </w:r>
      <w:r>
        <w:rPr>
          <w:rFonts w:ascii="Arial" w:cs="Arial" w:eastAsia="Arial" w:hAnsi="Arial"/>
          <w:sz w:val="18"/>
          <w:szCs w:val="18"/>
          <w:b w:val="1"/>
          <w:bCs w:val="1"/>
          <w:u w:val="single" w:color="auto"/>
          <w:color w:val="auto"/>
        </w:rPr>
        <w:t>” shall mean, at any time, the aggregate amount of the Canadian Tranche B Revolving Commitments, as in effect at such time.</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Debt</w:t>
      </w:r>
      <w:r>
        <w:rPr>
          <w:rFonts w:ascii="Arial" w:cs="Arial" w:eastAsia="Arial" w:hAnsi="Arial"/>
          <w:sz w:val="17"/>
          <w:szCs w:val="17"/>
          <w:color w:val="auto"/>
        </w:rPr>
        <w:t xml:space="preserve">” at any time shall mean the Indebtedness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at such time (excluding Indebtedness of the type described in clause (i) of the definition of such term, except to the extent of any unreimbursed drawings thereunder).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U.S. Revolving Commitment</w:t>
      </w:r>
      <w:r>
        <w:rPr>
          <w:rFonts w:ascii="Arial" w:cs="Arial" w:eastAsia="Arial" w:hAnsi="Arial"/>
          <w:sz w:val="16"/>
          <w:szCs w:val="16"/>
          <w:color w:val="auto"/>
        </w:rPr>
        <w:t>” shall mean, at any time, the aggregate amount of the U.S. Revolving Commitments, as in effect at such time.</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shall mean, collectively, (a) the consummation of the </w:t>
      </w:r>
      <w:r>
        <w:rPr>
          <w:rFonts w:ascii="Arial" w:cs="Arial" w:eastAsia="Arial" w:hAnsi="Arial"/>
          <w:sz w:val="18"/>
          <w:szCs w:val="18"/>
          <w:b w:val="1"/>
          <w:bCs w:val="1"/>
          <w:color w:val="auto"/>
          <w:strike w:val="1"/>
        </w:rPr>
        <w:t>Spin-Off</w:t>
      </w:r>
      <w:r>
        <w:rPr>
          <w:rFonts w:ascii="Arial" w:cs="Arial" w:eastAsia="Arial" w:hAnsi="Arial"/>
          <w:sz w:val="18"/>
          <w:szCs w:val="18"/>
          <w:b w:val="1"/>
          <w:bCs w:val="1"/>
          <w:u w:val="single" w:color="auto"/>
          <w:color w:val="auto"/>
        </w:rPr>
        <w:t>Inversion Transaction</w:t>
      </w:r>
      <w:r>
        <w:rPr>
          <w:rFonts w:ascii="Arial" w:cs="Arial" w:eastAsia="Arial" w:hAnsi="Arial"/>
          <w:sz w:val="18"/>
          <w:szCs w:val="18"/>
          <w:color w:val="auto"/>
        </w:rPr>
        <w:t>, (b) the entering by the Loan Parties into Loan Documents to which they are to be a party</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(c</w:t>
      </w:r>
      <w:r>
        <w:rPr>
          <w:rFonts w:ascii="Arial" w:cs="Arial" w:eastAsia="Arial" w:hAnsi="Arial"/>
          <w:sz w:val="18"/>
          <w:szCs w:val="18"/>
          <w:b w:val="1"/>
          <w:bCs w:val="1"/>
          <w:color w:val="auto"/>
          <w:strike w:val="1"/>
        </w:rPr>
        <w:t>) the Refinancing Transactions, and (d</w:t>
      </w:r>
      <w:r>
        <w:rPr>
          <w:rFonts w:ascii="Arial" w:cs="Arial" w:eastAsia="Arial" w:hAnsi="Arial"/>
          <w:sz w:val="18"/>
          <w:szCs w:val="18"/>
          <w:color w:val="auto"/>
        </w:rPr>
        <w:t>) the payment of the fees and expenses incurred in connection with the consummation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Turnover Money</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Type</w:t>
      </w:r>
      <w:r>
        <w:rPr>
          <w:rFonts w:ascii="Arial" w:cs="Arial" w:eastAsia="Arial" w:hAnsi="Arial"/>
          <w:sz w:val="17"/>
          <w:szCs w:val="17"/>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7"/>
          <w:szCs w:val="17"/>
          <w:i w:val="1"/>
          <w:iCs w:val="1"/>
          <w:color w:val="auto"/>
        </w:rPr>
        <w:t>Rate</w:t>
      </w:r>
      <w:r>
        <w:rPr>
          <w:rFonts w:ascii="Arial" w:cs="Arial" w:eastAsia="Arial" w:hAnsi="Arial"/>
          <w:sz w:val="17"/>
          <w:szCs w:val="17"/>
          <w:color w:val="auto"/>
        </w:rPr>
        <w:t>” shall include the Adjusted LIBO Rate, the Alternate Base Rate, the Canadian Prime Rate, the U.S. Base Rate, the BBSY Rate and the B/A Discount Rate applicable to Bankers’ Acceptances and B/A Equivalent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UKBA</w:t>
      </w:r>
      <w:r>
        <w:rPr>
          <w:rFonts w:ascii="Arial" w:cs="Arial" w:eastAsia="Arial" w:hAnsi="Arial"/>
          <w:sz w:val="18"/>
          <w:szCs w:val="18"/>
          <w:color w:val="auto"/>
        </w:rPr>
        <w:t>” shall mean the U.K. Bribery Act 2010.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Applicable Pro Rata Percentage</w:t>
      </w:r>
      <w:r>
        <w:rPr>
          <w:rFonts w:ascii="Arial" w:cs="Arial" w:eastAsia="Arial" w:hAnsi="Arial"/>
          <w:sz w:val="18"/>
          <w:szCs w:val="18"/>
          <w:color w:val="auto"/>
        </w:rPr>
        <w:t>” shall mean with respect to any U.S. Revolving Lender or U.S. Term Lender, the U.S. Revolving Pro Rata Percentage or the U.S. Term Loan Pro Rata Percentage, respectively.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Base Rate</w:t>
      </w:r>
      <w:r>
        <w:rPr>
          <w:rFonts w:ascii="Arial" w:cs="Arial" w:eastAsia="Arial" w:hAnsi="Arial"/>
          <w:sz w:val="16"/>
          <w:szCs w:val="16"/>
          <w:color w:val="auto"/>
        </w:rPr>
        <w:t>” shall mean, for any day, a rate per annum equal to the greatest of (a) the rate of interest per annum publicly announced from time to time by the Canadian Administrative Agent as its base rate in effect at its principal office in Toronto, Ontario for determining interest rates on U.S. dollar-denominated commercial loans made in Canada, (b) the Federal Funds Effective Rate in effect on such day plus ½ of 1.0% and (c) the sum of the Adjusted LIBO Rate in effect for such day (or if such day is not a Business Day, the immediately preceding Business Day) for a deposit in U.S. dollars with a maturity of one month plus 1.0%. Each change in the U.S. Base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U.S.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Collateral</w:t>
      </w:r>
      <w:r>
        <w:rPr>
          <w:rFonts w:ascii="Arial" w:cs="Arial" w:eastAsia="Arial" w:hAnsi="Arial"/>
          <w:sz w:val="17"/>
          <w:szCs w:val="17"/>
          <w:color w:val="auto"/>
        </w:rPr>
        <w:t>” shall mean all “Collateral” as defined in any Security Document, other than Canadian Collateral and the Australian Collateral.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Commitment</w:t>
      </w:r>
      <w:r>
        <w:rPr>
          <w:rFonts w:ascii="Arial" w:cs="Arial" w:eastAsia="Arial" w:hAnsi="Arial"/>
          <w:sz w:val="18"/>
          <w:szCs w:val="18"/>
          <w:b w:val="1"/>
          <w:bCs w:val="1"/>
          <w:color w:val="auto"/>
          <w:strike w:val="1"/>
        </w:rPr>
        <w:t>” shall mean a U.S. Revolving Commitment or a U.S. Term Commitment, as the context requires</w:t>
      </w:r>
      <w:r>
        <w:rPr>
          <w:rFonts w:ascii="Arial" w:cs="Arial" w:eastAsia="Arial" w:hAnsi="Arial"/>
          <w:sz w:val="18"/>
          <w:szCs w:val="18"/>
          <w:b w:val="1"/>
          <w:bCs w:val="1"/>
          <w:i w:val="1"/>
          <w:iCs w:val="1"/>
          <w:u w:val="single" w:color="auto"/>
          <w:color w:val="auto"/>
        </w:rPr>
        <w:t>Collateral Agent</w:t>
      </w:r>
      <w:r>
        <w:rPr>
          <w:rFonts w:ascii="Arial" w:cs="Arial" w:eastAsia="Arial" w:hAnsi="Arial"/>
          <w:sz w:val="18"/>
          <w:szCs w:val="18"/>
          <w:b w:val="1"/>
          <w:bCs w:val="1"/>
          <w:u w:val="single" w:color="auto"/>
          <w:color w:val="auto"/>
        </w:rPr>
        <w:t>” shall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have the meaning assigned to such term in the preamble hereto</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Commitment Fee</w:t>
      </w:r>
      <w:r>
        <w:rPr>
          <w:rFonts w:ascii="Arial" w:cs="Arial" w:eastAsia="Arial" w:hAnsi="Arial"/>
          <w:sz w:val="18"/>
          <w:szCs w:val="18"/>
          <w:color w:val="auto"/>
        </w:rPr>
        <w:t>” shall have the meaning assigned to such term in Section 2.05(a)</w:t>
      </w:r>
      <w:r>
        <w:rPr>
          <w:rFonts w:ascii="Arial" w:cs="Arial" w:eastAsia="Arial" w:hAnsi="Arial"/>
          <w:sz w:val="18"/>
          <w:szCs w:val="18"/>
          <w:b w:val="1"/>
          <w:bCs w:val="1"/>
          <w:u w:val="single" w:color="auto"/>
          <w:color w:val="auto"/>
        </w:rPr>
        <w:t>(i)</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Guarantee Agreement</w:t>
      </w:r>
      <w:r>
        <w:rPr>
          <w:rFonts w:ascii="Arial" w:cs="Arial" w:eastAsia="Arial" w:hAnsi="Arial"/>
          <w:sz w:val="16"/>
          <w:szCs w:val="16"/>
          <w:color w:val="auto"/>
        </w:rPr>
        <w:t>” shall mean the U.S. Guarantee Agreement, substantially in the form of Exhibit C-3, among the U.S. Borrower,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and the U.S. Collateral Agent for the benefit of the Secured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Exposure</w:t>
      </w:r>
      <w:r>
        <w:rPr>
          <w:rFonts w:ascii="Arial" w:cs="Arial" w:eastAsia="Arial" w:hAnsi="Arial"/>
          <w:sz w:val="18"/>
          <w:szCs w:val="18"/>
          <w:color w:val="auto"/>
        </w:rPr>
        <w:t xml:space="preserve">” shall mean at any time the sum of (a) the U.S. Dollar Equivalent of the aggregate undrawn amount of all outstanding U.S.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Participation Fee</w:t>
      </w:r>
      <w:r>
        <w:rPr>
          <w:rFonts w:ascii="Arial" w:cs="Arial" w:eastAsia="Arial" w:hAnsi="Arial"/>
          <w:sz w:val="18"/>
          <w:szCs w:val="18"/>
          <w:color w:val="auto"/>
        </w:rPr>
        <w:t>” shall have the meaning assigned to such term in Section 2.05(c).</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Lenders</w:t>
      </w:r>
      <w:r>
        <w:rPr>
          <w:rFonts w:ascii="Arial" w:cs="Arial" w:eastAsia="Arial" w:hAnsi="Arial"/>
          <w:sz w:val="18"/>
          <w:szCs w:val="18"/>
          <w:color w:val="auto"/>
        </w:rPr>
        <w:t xml:space="preserve">” shall mean the Lenders having U.S.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Commitments or outstanding U.S.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Loan</w:t>
      </w:r>
      <w:r>
        <w:rPr>
          <w:rFonts w:ascii="Arial" w:cs="Arial" w:eastAsia="Arial" w:hAnsi="Arial"/>
          <w:sz w:val="17"/>
          <w:szCs w:val="17"/>
          <w:color w:val="auto"/>
        </w:rPr>
        <w:t>” shall mean a U.S. Revolving Credit Loan or a U.S. Term Loan. Each U.S. Loan shall be an ABR Loan or a Eurocurrency Loan.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U.S. Owned Subsidiary</w:t>
      </w:r>
      <w:r>
        <w:rPr>
          <w:rFonts w:ascii="Arial" w:cs="Arial" w:eastAsia="Arial" w:hAnsi="Arial"/>
          <w:sz w:val="16"/>
          <w:szCs w:val="16"/>
          <w:b w:val="1"/>
          <w:bCs w:val="1"/>
          <w:u w:val="single" w:color="auto"/>
          <w:color w:val="auto"/>
        </w:rPr>
        <w:t>” shall mean a Foreign Subsidiary of (i) the U.S. Borrower or (ii) a Subsidiary of the Parent Borrower that is a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Pledge Agreement</w:t>
      </w:r>
      <w:r>
        <w:rPr>
          <w:rFonts w:ascii="Arial" w:cs="Arial" w:eastAsia="Arial" w:hAnsi="Arial"/>
          <w:sz w:val="18"/>
          <w:szCs w:val="18"/>
          <w:color w:val="auto"/>
        </w:rPr>
        <w:t>” shall mean the U.S. Pledge Agreement, substantially in the form of Exhibit D-3,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Borrowing</w:t>
      </w:r>
      <w:r>
        <w:rPr>
          <w:rFonts w:ascii="Arial" w:cs="Arial" w:eastAsia="Arial" w:hAnsi="Arial"/>
          <w:sz w:val="18"/>
          <w:szCs w:val="18"/>
          <w:color w:val="auto"/>
        </w:rPr>
        <w:t>” shall mean group of U.S. Revolving Credit Loans of a single Type made, converted or continued by the U.S. Revolving Lenders on a single date and, in the case of a Eurocurrency Borrowing, as to which a single Interest Period is in effect.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Commitment</w:t>
      </w:r>
      <w:r>
        <w:rPr>
          <w:rFonts w:ascii="Arial" w:cs="Arial" w:eastAsia="Arial" w:hAnsi="Arial"/>
          <w:sz w:val="17"/>
          <w:szCs w:val="17"/>
          <w:color w:val="auto"/>
        </w:rPr>
        <w:t xml:space="preserve">”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reduced from time to time pursuant to Section 2.09 and (ii) reduced or increased from time to time pursuant to assignments by or to such U.S. Revolving Lender pursuant to Section 9.04. The aggregate amount of the U.S. Revolving Commitments </w:t>
      </w:r>
      <w:r>
        <w:rPr>
          <w:rFonts w:ascii="Arial" w:cs="Arial" w:eastAsia="Arial" w:hAnsi="Arial"/>
          <w:sz w:val="17"/>
          <w:szCs w:val="17"/>
          <w:b w:val="1"/>
          <w:bCs w:val="1"/>
          <w:color w:val="auto"/>
          <w:strike w:val="1"/>
        </w:rPr>
        <w:t>as of the Closing Date is $450,000,000</w:t>
      </w:r>
      <w:r>
        <w:rPr>
          <w:rFonts w:ascii="Arial" w:cs="Arial" w:eastAsia="Arial" w:hAnsi="Arial"/>
          <w:sz w:val="17"/>
          <w:szCs w:val="17"/>
          <w:b w:val="1"/>
          <w:bCs w:val="1"/>
          <w:u w:val="single" w:color="auto"/>
          <w:color w:val="auto"/>
        </w:rPr>
        <w:t>subsequent to the reduction of the U.S. Revolving Commitments pursuant to Section 4 of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First Amendment will be $50,000,000</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Exposure</w:t>
      </w:r>
      <w:r>
        <w:rPr>
          <w:rFonts w:ascii="Arial" w:cs="Arial" w:eastAsia="Arial" w:hAnsi="Arial"/>
          <w:sz w:val="18"/>
          <w:szCs w:val="18"/>
          <w:color w:val="auto"/>
        </w:rPr>
        <w:t xml:space="preserve">” shall mean, with respect to any U.S. Revolving Lender at any time, the aggregate principal amount at such time of all outstanding U.S. Revolving Credit Loans of such U.S.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Facility</w:t>
      </w:r>
      <w:r>
        <w:rPr>
          <w:rFonts w:ascii="Arial" w:cs="Arial" w:eastAsia="Arial" w:hAnsi="Arial"/>
          <w:sz w:val="18"/>
          <w:szCs w:val="18"/>
          <w:color w:val="auto"/>
        </w:rPr>
        <w:t>” shall mean at any time the aggregate amount of the U.S. Revolving Commitments of the U.S. Revolving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Credit Loan</w:t>
      </w:r>
      <w:r>
        <w:rPr>
          <w:rFonts w:ascii="Arial" w:cs="Arial" w:eastAsia="Arial" w:hAnsi="Arial"/>
          <w:sz w:val="17"/>
          <w:szCs w:val="17"/>
          <w:color w:val="auto"/>
        </w:rPr>
        <w:t>” shall mean the U.S. dollar-denominated Revolving Credit Loans made by the U.S. Revolving Lenders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Revolving Lenders</w:t>
      </w:r>
      <w:r>
        <w:rPr>
          <w:rFonts w:ascii="Arial" w:cs="Arial" w:eastAsia="Arial" w:hAnsi="Arial"/>
          <w:sz w:val="16"/>
          <w:szCs w:val="16"/>
          <w:color w:val="auto"/>
        </w:rPr>
        <w:t>” shall mean Lenders having U.S. Revolving Commitments, outstanding U.S. Revolving Credit Loans, participations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8"/>
          <w:szCs w:val="18"/>
          <w:b w:val="1"/>
          <w:bCs w:val="1"/>
          <w:color w:val="auto"/>
          <w:strike w:val="1"/>
        </w:rPr>
        <w:t>or</w:t>
      </w:r>
      <w:r>
        <w:rPr>
          <w:rFonts w:ascii="Arial" w:cs="Arial" w:eastAsia="Arial" w:hAnsi="Arial"/>
          <w:sz w:val="18"/>
          <w:szCs w:val="18"/>
          <w:b w:val="1"/>
          <w:bCs w:val="1"/>
          <w:u w:val="single" w:color="auto"/>
          <w:color w:val="auto"/>
        </w:rPr>
        <w:t>pursuant to Section 2.21(d) or in</w:t>
      </w:r>
      <w:r>
        <w:rPr>
          <w:rFonts w:ascii="Arial" w:cs="Arial" w:eastAsia="Arial" w:hAnsi="Arial"/>
          <w:sz w:val="18"/>
          <w:szCs w:val="18"/>
          <w:color w:val="auto"/>
        </w:rPr>
        <w:t xml:space="preserve"> outstanding U.S. Swing Line Loans </w:t>
      </w:r>
      <w:r>
        <w:rPr>
          <w:rFonts w:ascii="Arial" w:cs="Arial" w:eastAsia="Arial" w:hAnsi="Arial"/>
          <w:sz w:val="18"/>
          <w:szCs w:val="18"/>
          <w:b w:val="1"/>
          <w:bCs w:val="1"/>
          <w:u w:val="single" w:color="auto"/>
          <w:color w:val="auto"/>
        </w:rPr>
        <w:t>pursuant to Section 2.23</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Pro Rata Percentage</w:t>
      </w:r>
      <w:r>
        <w:rPr>
          <w:rFonts w:ascii="Arial" w:cs="Arial" w:eastAsia="Arial" w:hAnsi="Arial"/>
          <w:sz w:val="18"/>
          <w:szCs w:val="18"/>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Secured Parties</w:t>
      </w:r>
      <w:r>
        <w:rPr>
          <w:rFonts w:ascii="Arial" w:cs="Arial" w:eastAsia="Arial" w:hAnsi="Arial"/>
          <w:sz w:val="18"/>
          <w:szCs w:val="18"/>
          <w:color w:val="auto"/>
        </w:rPr>
        <w:t>” shall have the meaning assigned to the term “Secured Parties” in the U.S.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Agreement</w:t>
      </w:r>
      <w:r>
        <w:rPr>
          <w:rFonts w:ascii="Arial" w:cs="Arial" w:eastAsia="Arial" w:hAnsi="Arial"/>
          <w:sz w:val="18"/>
          <w:szCs w:val="18"/>
          <w:color w:val="auto"/>
        </w:rPr>
        <w:t>” shall mean the U.S. Security Agreement, substantially in the form of Exhibit E-3,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Documents</w:t>
      </w:r>
      <w:r>
        <w:rPr>
          <w:rFonts w:ascii="Arial" w:cs="Arial" w:eastAsia="Arial" w:hAnsi="Arial"/>
          <w:sz w:val="18"/>
          <w:szCs w:val="18"/>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Subsidiary Guarantor</w:t>
      </w:r>
      <w:r>
        <w:rPr>
          <w:rFonts w:ascii="Arial" w:cs="Arial" w:eastAsia="Arial" w:hAnsi="Arial"/>
          <w:sz w:val="18"/>
          <w:szCs w:val="18"/>
          <w:color w:val="auto"/>
        </w:rPr>
        <w:t>” shall mean each Domestic Subsidiary of the U.S. Borrower listed on Schedule 1.01(a), and each other Material Subsidiary that is or becomes a party to the U.S.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Borrowing</w:t>
      </w:r>
      <w:r>
        <w:rPr>
          <w:rFonts w:ascii="Arial" w:cs="Arial" w:eastAsia="Arial" w:hAnsi="Arial"/>
          <w:sz w:val="18"/>
          <w:szCs w:val="18"/>
          <w:color w:val="auto"/>
        </w:rPr>
        <w:t>” shall mean a borrowing of a U.S. Swing Line Loan pursuant to Section 2.23(a)(i) or, if an AutoBorrow Agreement is in effect, any transfer of funds pursuant to such AutoBorrow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Lender</w:t>
      </w:r>
      <w:r>
        <w:rPr>
          <w:rFonts w:ascii="Arial" w:cs="Arial" w:eastAsia="Arial" w:hAnsi="Arial"/>
          <w:sz w:val="17"/>
          <w:szCs w:val="17"/>
          <w:color w:val="auto"/>
        </w:rPr>
        <w:t>” shall mean RBC in its capacity as provider of U.S. Swing Line Loans, or any successor swing line lender hereunder.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Loan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2.23(a)(i).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Sublimit</w:t>
      </w:r>
      <w:r>
        <w:rPr>
          <w:rFonts w:ascii="Arial" w:cs="Arial" w:eastAsia="Arial" w:hAnsi="Arial"/>
          <w:sz w:val="17"/>
          <w:szCs w:val="17"/>
          <w:color w:val="auto"/>
        </w:rPr>
        <w:t>” shall mean U.S.$</w:t>
      </w:r>
      <w:r>
        <w:rPr>
          <w:rFonts w:ascii="Arial" w:cs="Arial" w:eastAsia="Arial" w:hAnsi="Arial"/>
          <w:sz w:val="17"/>
          <w:szCs w:val="17"/>
          <w:b w:val="1"/>
          <w:bCs w:val="1"/>
          <w:color w:val="auto"/>
          <w:strike w:val="1"/>
        </w:rPr>
        <w:t>40,000,000</w:t>
      </w:r>
      <w:r>
        <w:rPr>
          <w:rFonts w:ascii="Arial" w:cs="Arial" w:eastAsia="Arial" w:hAnsi="Arial"/>
          <w:sz w:val="17"/>
          <w:szCs w:val="17"/>
          <w:b w:val="1"/>
          <w:bCs w:val="1"/>
          <w:u w:val="single" w:color="auto"/>
          <w:color w:val="auto"/>
        </w:rPr>
        <w:t>10,000,000</w:t>
      </w:r>
      <w:r>
        <w:rPr>
          <w:rFonts w:ascii="Arial" w:cs="Arial" w:eastAsia="Arial" w:hAnsi="Arial"/>
          <w:sz w:val="17"/>
          <w:szCs w:val="17"/>
          <w:color w:val="auto"/>
        </w:rPr>
        <w:t>. The U.S. Swing Line Sublimit is part of, and not in addition to, the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Revolving Commitments.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2.19(g)(ii)(B)(3).</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Borrowing</w:t>
      </w:r>
      <w:r>
        <w:rPr>
          <w:rFonts w:ascii="Arial" w:cs="Arial" w:eastAsia="Arial" w:hAnsi="Arial"/>
          <w:sz w:val="18"/>
          <w:szCs w:val="18"/>
          <w:color w:val="auto"/>
        </w:rPr>
        <w:t>” shall mean a group of U.S. Term Loans of a single Type made, converted or continued by the U.S. Term Lenders on a single date and, in the case of a Eurocurrency Borrowing, as to which a single Interest Period is in effect.</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U.S. Term Commitment</w:t>
      </w:r>
      <w:r>
        <w:rPr>
          <w:rFonts w:ascii="Arial" w:cs="Arial" w:eastAsia="Arial" w:hAnsi="Arial"/>
          <w:sz w:val="16"/>
          <w:szCs w:val="16"/>
          <w:b w:val="1"/>
          <w:bCs w:val="1"/>
          <w:color w:val="auto"/>
          <w:strike w:val="1"/>
        </w:rPr>
        <w:t xml:space="preserve">” shall mean, with respect to each U.S. Term Lender, the commitment of such U.S. Term Lender to make a single U.S. Term Loan to the U.S. Borrower on the Funding Date in an aggregate principal amount not to exceed </w:t>
      </w:r>
      <w:r>
        <w:rPr>
          <w:rFonts w:ascii="Arial" w:cs="Arial" w:eastAsia="Arial" w:hAnsi="Arial"/>
          <w:sz w:val="16"/>
          <w:szCs w:val="16"/>
          <w:i w:val="1"/>
          <w:iCs w:val="1"/>
          <w:color w:val="auto"/>
          <w:strike w:val="1"/>
        </w:rPr>
        <w:t>the U.S. dollar amount set forth opposite</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 xml:space="preserve">such Lender’s name on Schedule 2.01. The aggregate amount of the </w:t>
      </w:r>
      <w:r>
        <w:rPr>
          <w:rFonts w:ascii="Arial" w:cs="Arial" w:eastAsia="Arial" w:hAnsi="Arial"/>
          <w:sz w:val="16"/>
          <w:szCs w:val="16"/>
          <w:b w:val="1"/>
          <w:bCs w:val="1"/>
          <w:color w:val="auto"/>
          <w:strike w:val="1"/>
        </w:rPr>
        <w:t>U.S. Term Commitments as of the Closing Date is $775,000,000.</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Lender</w:t>
      </w:r>
      <w:r>
        <w:rPr>
          <w:rFonts w:ascii="Arial" w:cs="Arial" w:eastAsia="Arial" w:hAnsi="Arial"/>
          <w:sz w:val="18"/>
          <w:szCs w:val="18"/>
          <w:color w:val="auto"/>
        </w:rPr>
        <w:t xml:space="preserve">” shall mean any U.S. Lender that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holds</w:t>
      </w:r>
      <w:r>
        <w:rPr>
          <w:rFonts w:ascii="Arial" w:cs="Arial" w:eastAsia="Arial" w:hAnsi="Arial"/>
          <w:sz w:val="18"/>
          <w:szCs w:val="18"/>
          <w:color w:val="auto"/>
        </w:rPr>
        <w:t xml:space="preserve"> a U.S. Term </w:t>
      </w:r>
      <w:r>
        <w:rPr>
          <w:rFonts w:ascii="Arial" w:cs="Arial" w:eastAsia="Arial" w:hAnsi="Arial"/>
          <w:sz w:val="18"/>
          <w:szCs w:val="18"/>
          <w:b w:val="1"/>
          <w:bCs w:val="1"/>
          <w:color w:val="auto"/>
          <w:strike w:val="1"/>
        </w:rPr>
        <w:t>Commitment or holds a Term Credit</w:t>
      </w:r>
      <w:r>
        <w:rPr>
          <w:rFonts w:ascii="Arial" w:cs="Arial" w:eastAsia="Arial" w:hAnsi="Arial"/>
          <w:sz w:val="18"/>
          <w:szCs w:val="18"/>
          <w:color w:val="auto"/>
        </w:rPr>
        <w:t xml:space="preserve"> Loan.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w:t>
      </w:r>
      <w:r>
        <w:rPr>
          <w:rFonts w:ascii="Arial" w:cs="Arial" w:eastAsia="Arial" w:hAnsi="Arial"/>
          <w:sz w:val="18"/>
          <w:szCs w:val="18"/>
          <w:color w:val="auto"/>
        </w:rPr>
        <w:t xml:space="preserve">” shall mean the U.S. dollar-denominated term loans made by the U.S. Term Lenders to the U.S. Borrower. </w:t>
      </w:r>
      <w:r>
        <w:rPr>
          <w:rFonts w:ascii="Arial" w:cs="Arial" w:eastAsia="Arial" w:hAnsi="Arial"/>
          <w:sz w:val="18"/>
          <w:szCs w:val="18"/>
          <w:b w:val="1"/>
          <w:bCs w:val="1"/>
          <w:u w:val="single" w:color="auto"/>
          <w:color w:val="auto"/>
        </w:rPr>
        <w:t>Subsequent to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prepayment of the U.S. Term Loans pursuant to Section 4 of the First Amendment, the U.S. Term Lenders will hold U.S. Term Loans in the amount set forth opposite such Lender’s name on Schedule 2.01 under the caption “U.S.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 Facility</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(a) at any time on or prior to the Funding Date, the aggregate amount of the U.S. Term Commitments at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such time and (b) at any time after the Funding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principal amount of the U.S. Term Loans of all U.S. Term Lenders outstanding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 Pro Rata Percentage</w:t>
      </w:r>
      <w:r>
        <w:rPr>
          <w:rFonts w:ascii="Arial" w:cs="Arial" w:eastAsia="Arial" w:hAnsi="Arial"/>
          <w:sz w:val="18"/>
          <w:szCs w:val="18"/>
          <w:color w:val="auto"/>
        </w:rPr>
        <w:t xml:space="preserve">” with respect to any U.S. Term Lender, </w:t>
      </w:r>
      <w:r>
        <w:rPr>
          <w:rFonts w:ascii="Arial" w:cs="Arial" w:eastAsia="Arial" w:hAnsi="Arial"/>
          <w:sz w:val="18"/>
          <w:szCs w:val="18"/>
          <w:b w:val="1"/>
          <w:bCs w:val="1"/>
          <w:color w:val="auto"/>
          <w:strike w:val="1"/>
        </w:rPr>
        <w:t>(a) prior to the termination of the U.S. Term Commitments,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 xml:space="preserve">percentage of the aggregate U.S. Term Commitments represented by such U.S. Lender’s U.S. Term Commitment at such time and (b) following the termination of the U.S. Term Commitments, </w:t>
      </w:r>
      <w:r>
        <w:rPr>
          <w:rFonts w:ascii="Arial" w:cs="Arial" w:eastAsia="Arial" w:hAnsi="Arial"/>
          <w:sz w:val="18"/>
          <w:szCs w:val="18"/>
          <w:color w:val="auto"/>
          <w:strike w:val="1"/>
        </w:rPr>
        <w:t>the percentage of the aggregate principal amount of the U.S. Term Loans represented by such U.S. Lender’s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U.S. Term Loans at such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Whitewash</w:t>
      </w:r>
      <w:r>
        <w:rPr>
          <w:rFonts w:ascii="Arial" w:cs="Arial" w:eastAsia="Arial" w:hAnsi="Arial"/>
          <w:sz w:val="18"/>
          <w:szCs w:val="18"/>
          <w:b w:val="1"/>
          <w:bCs w:val="1"/>
          <w:color w:val="auto"/>
          <w:strike w:val="1"/>
        </w:rPr>
        <w:t>” shall have the meaning assigned to such term in Section 4.01(d).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 owned Subsidiary</w:t>
      </w:r>
      <w:r>
        <w:rPr>
          <w:rFonts w:ascii="Arial" w:cs="Arial" w:eastAsia="Arial" w:hAnsi="Arial"/>
          <w:sz w:val="17"/>
          <w:szCs w:val="17"/>
          <w:color w:val="auto"/>
        </w:rPr>
        <w:t xml:space="preserve">” of any person shall mean (a) any subsidiary of such person of which securities (except for directors’ qualifying shares and, in the case of Civeo Holdco, the Exchangeable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Agent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any Loan Party and the Administrative Agent.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Section 1.02 Terms Generally</w:t>
      </w:r>
      <w:r>
        <w:rPr>
          <w:rFonts w:ascii="Arial" w:cs="Arial" w:eastAsia="Arial" w:hAnsi="Arial"/>
          <w:sz w:val="16"/>
          <w:szCs w:val="16"/>
          <w:color w:val="auto"/>
        </w:rPr>
        <w:t>. The definitions in Section 1.01 shall apply equally to both the singular and plural forms of the terms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3" w:lineRule="exact"/>
        <w:rPr>
          <w:sz w:val="20"/>
          <w:szCs w:val="20"/>
          <w:color w:val="auto"/>
        </w:rPr>
      </w:pPr>
    </w:p>
    <w:p>
      <w:pPr>
        <w:jc w:val="both"/>
        <w:ind w:firstLine="8"/>
        <w:spacing w:after="0" w:line="284" w:lineRule="auto"/>
        <w:tabs>
          <w:tab w:leader="none" w:pos="2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notifies the Administrative Agent that the Borrowers wish to amend any covenant in Article VI or any related definition to eliminate the effect of any change in GAAP occurring after the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color w:val="auto"/>
        </w:rPr>
        <w:t xml:space="preserve"> Date on the operation of such covenant (or if the Administrative Agent notifies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ind w:firstLine="648"/>
        <w:spacing w:after="0" w:line="313" w:lineRule="auto"/>
        <w:rPr>
          <w:sz w:val="20"/>
          <w:szCs w:val="20"/>
          <w:color w:val="auto"/>
        </w:rPr>
      </w:pPr>
      <w:r>
        <w:rPr>
          <w:rFonts w:ascii="Arial" w:cs="Arial" w:eastAsia="Arial" w:hAnsi="Arial"/>
          <w:sz w:val="17"/>
          <w:szCs w:val="17"/>
          <w:b w:val="1"/>
          <w:bCs w:val="1"/>
          <w:i w:val="1"/>
          <w:iCs w:val="1"/>
          <w:color w:val="auto"/>
        </w:rPr>
        <w:t>Section 1.03 Several Obligations; Power of Attorney</w:t>
      </w:r>
      <w:r>
        <w:rPr>
          <w:rFonts w:ascii="Arial" w:cs="Arial" w:eastAsia="Arial" w:hAnsi="Arial"/>
          <w:sz w:val="17"/>
          <w:szCs w:val="17"/>
          <w:color w:val="auto"/>
        </w:rPr>
        <w:t>. (a)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Parent Borrower, the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Canadian Borrowers, any Canadian Subsidiaries,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Australian Borrower and any Australian Subsidiaries shall not be liable for the payment obligations of the U.S. Borrower hereunder.</w:t>
      </w:r>
    </w:p>
    <w:p>
      <w:pPr>
        <w:spacing w:after="0" w:line="138" w:lineRule="exact"/>
        <w:rPr>
          <w:sz w:val="20"/>
          <w:szCs w:val="20"/>
          <w:color w:val="auto"/>
        </w:rPr>
      </w:pPr>
    </w:p>
    <w:p>
      <w:pPr>
        <w:jc w:val="both"/>
        <w:ind w:firstLine="656"/>
        <w:spacing w:after="0" w:line="255" w:lineRule="auto"/>
        <w:tabs>
          <w:tab w:leader="none" w:pos="11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b w:val="1"/>
          <w:bCs w:val="1"/>
          <w:u w:val="single" w:color="auto"/>
          <w:color w:val="auto"/>
        </w:rPr>
        <w:t>U.S. Borrower, the</w:t>
      </w:r>
      <w:r>
        <w:rPr>
          <w:rFonts w:ascii="Arial" w:cs="Arial" w:eastAsia="Arial" w:hAnsi="Arial"/>
          <w:sz w:val="18"/>
          <w:szCs w:val="18"/>
          <w:color w:val="auto"/>
        </w:rPr>
        <w:t xml:space="preserve"> Canadian Borrowers </w:t>
      </w:r>
      <w:r>
        <w:rPr>
          <w:rFonts w:ascii="Arial" w:cs="Arial" w:eastAsia="Arial" w:hAnsi="Arial"/>
          <w:sz w:val="18"/>
          <w:szCs w:val="18"/>
          <w:b w:val="1"/>
          <w:bCs w:val="1"/>
          <w:u w:val="single" w:color="auto"/>
          <w:color w:val="auto"/>
        </w:rPr>
        <w:t>(other than the Parent Borrower)</w:t>
      </w:r>
      <w:r>
        <w:rPr>
          <w:rFonts w:ascii="Arial" w:cs="Arial" w:eastAsia="Arial" w:hAnsi="Arial"/>
          <w:sz w:val="18"/>
          <w:szCs w:val="18"/>
          <w:color w:val="auto"/>
        </w:rPr>
        <w:t xml:space="preserve"> and the Australian Borrower hereby appoints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each of its officers to be its attorneys in fact (its “</w:t>
      </w:r>
      <w:r>
        <w:rPr>
          <w:rFonts w:ascii="Arial" w:cs="Arial" w:eastAsia="Arial" w:hAnsi="Arial"/>
          <w:sz w:val="18"/>
          <w:szCs w:val="18"/>
          <w:i w:val="1"/>
          <w:iCs w:val="1"/>
          <w:color w:val="auto"/>
        </w:rPr>
        <w:t>Attorneys</w:t>
      </w:r>
      <w:r>
        <w:rPr>
          <w:rFonts w:ascii="Arial" w:cs="Arial" w:eastAsia="Arial" w:hAnsi="Arial"/>
          <w:sz w:val="18"/>
          <w:szCs w:val="18"/>
          <w:color w:val="auto"/>
        </w:rPr>
        <w:t>”) and in its name and on its behalf and as its act and deed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Arial" w:cs="Arial" w:eastAsia="Arial" w:hAnsi="Arial"/>
          <w:sz w:val="18"/>
          <w:szCs w:val="18"/>
          <w:i w:val="1"/>
          <w:iCs w:val="1"/>
          <w:color w:val="auto"/>
        </w:rPr>
        <w:t>Documents</w:t>
      </w:r>
      <w:r>
        <w:rPr>
          <w:rFonts w:ascii="Arial" w:cs="Arial" w:eastAsia="Arial" w:hAnsi="Arial"/>
          <w:sz w:val="18"/>
          <w:szCs w:val="18"/>
          <w:color w:val="auto"/>
        </w:rPr>
        <w:t xml:space="preserve">”). This Power of Attorney shall be valid for the duration of the term of this Agreement. Each Canadian Borrower </w:t>
      </w:r>
      <w:r>
        <w:rPr>
          <w:rFonts w:ascii="Arial" w:cs="Arial" w:eastAsia="Arial" w:hAnsi="Arial"/>
          <w:sz w:val="18"/>
          <w:szCs w:val="18"/>
          <w:b w:val="1"/>
          <w:bCs w:val="1"/>
          <w:u w:val="single" w:color="auto"/>
          <w:color w:val="auto"/>
        </w:rPr>
        <w:t>(other than the Parent Borrower), the U.S. Borrower</w:t>
      </w:r>
      <w:r>
        <w:rPr>
          <w:rFonts w:ascii="Arial" w:cs="Arial" w:eastAsia="Arial" w:hAnsi="Arial"/>
          <w:sz w:val="18"/>
          <w:szCs w:val="18"/>
          <w:color w:val="auto"/>
        </w:rPr>
        <w:t xml:space="preserve"> and the Australian Borrower hereby ratifies any and all acts which any of its Attorneys shall do in order to execute on its behalf, or in connection with, the Documents mentioned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1.04 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“U.S. Revolving Credit Loan”)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Credit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“U.S. Revolving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Borrowing”).</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1.05 Additional Alternative Currencies</w:t>
      </w:r>
      <w:r>
        <w:rPr>
          <w:rFonts w:ascii="Arial" w:cs="Arial" w:eastAsia="Arial" w:hAnsi="Arial"/>
          <w:sz w:val="17"/>
          <w:szCs w:val="17"/>
          <w:color w:val="auto"/>
        </w:rPr>
        <w:t>. The Borrowers may from time to time request that Letters of Credit be issued in a currency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than those specifically listed in the definition of “Alternative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9" w:name="page100"/>
    <w:bookmarkEnd w:id="99"/>
    <w:p>
      <w:pPr>
        <w:ind w:left="5260"/>
        <w:spacing w:after="0"/>
        <w:rPr>
          <w:sz w:val="20"/>
          <w:szCs w:val="20"/>
          <w:color w:val="auto"/>
        </w:rPr>
      </w:pPr>
      <w:r>
        <w:rPr>
          <w:rFonts w:ascii="Arial" w:cs="Arial" w:eastAsia="Arial" w:hAnsi="Arial"/>
          <w:sz w:val="18"/>
          <w:szCs w:val="18"/>
          <w:b w:val="1"/>
          <w:bCs w:val="1"/>
          <w:i w:val="1"/>
          <w:i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Credits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2.01</w:t>
      </w:r>
      <w:r>
        <w:rPr>
          <w:sz w:val="20"/>
          <w:szCs w:val="20"/>
          <w:color w:val="auto"/>
        </w:rPr>
        <w:tab/>
      </w: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Subject to the terms and conditions and relying upon the representations and warranties herein set forth:</w:t>
      </w:r>
    </w:p>
    <w:p>
      <w:pPr>
        <w:spacing w:after="0" w:line="225" w:lineRule="exact"/>
        <w:rPr>
          <w:sz w:val="20"/>
          <w:szCs w:val="20"/>
          <w:color w:val="auto"/>
        </w:rPr>
      </w:pPr>
    </w:p>
    <w:p>
      <w:pPr>
        <w:jc w:val="both"/>
        <w:ind w:firstLine="656"/>
        <w:spacing w:after="0" w:line="259" w:lineRule="auto"/>
        <w:tabs>
          <w:tab w:leader="none" w:pos="10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U.S. Revolving Lender agrees, severally and not jointly, to make U.S. Revolving Credit Loans in U.S. dollars to the U.S. Borrower, at any time and from time to time on or after the Funding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82" w:lineRule="exact"/>
        <w:rPr>
          <w:rFonts w:ascii="Arial" w:cs="Arial" w:eastAsia="Arial" w:hAnsi="Arial"/>
          <w:sz w:val="18"/>
          <w:szCs w:val="18"/>
          <w:color w:val="auto"/>
        </w:rPr>
      </w:pPr>
    </w:p>
    <w:p>
      <w:pPr>
        <w:jc w:val="both"/>
        <w:ind w:firstLine="656"/>
        <w:spacing w:after="0" w:line="258" w:lineRule="auto"/>
        <w:tabs>
          <w:tab w:leader="none" w:pos="10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agrees, severally and not jointly, to make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in Canadian dollars and/or U.S. dollars to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Canadian Borrower at any time and from time to time on or after the Funding Date, and until the earlier of the Maturity Date and the termination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of such Lender in accordance with the terms hereof, in an aggregate principal amount at any time outstanding that will not result in such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Exposure exceeding such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Commitment;</w:t>
      </w:r>
    </w:p>
    <w:p>
      <w:pPr>
        <w:spacing w:after="0" w:line="183" w:lineRule="exact"/>
        <w:rPr>
          <w:rFonts w:ascii="Arial" w:cs="Arial" w:eastAsia="Arial" w:hAnsi="Arial"/>
          <w:sz w:val="18"/>
          <w:szCs w:val="18"/>
          <w:color w:val="auto"/>
        </w:rPr>
      </w:pPr>
    </w:p>
    <w:p>
      <w:pPr>
        <w:jc w:val="both"/>
        <w:ind w:firstLine="656"/>
        <w:spacing w:after="0" w:line="298" w:lineRule="auto"/>
        <w:tabs>
          <w:tab w:leader="none" w:pos="11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each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color w:val="auto"/>
        </w:rPr>
        <w:t xml:space="preserve"> Lender agrees, severally and not jointly, to make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color w:val="auto"/>
        </w:rPr>
        <w:t xml:space="preserve"> Revolving Credit Loans in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w:t>
      </w:r>
      <w:r>
        <w:rPr>
          <w:rFonts w:ascii="Arial" w:cs="Arial" w:eastAsia="Arial" w:hAnsi="Arial"/>
          <w:sz w:val="16"/>
          <w:szCs w:val="16"/>
          <w:color w:val="auto"/>
        </w:rPr>
        <w:t xml:space="preserve"> dollars and/or U.S. dollars to the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at any time and from time to time on or after the </w:t>
      </w:r>
      <w:r>
        <w:rPr>
          <w:rFonts w:ascii="Arial" w:cs="Arial" w:eastAsia="Arial" w:hAnsi="Arial"/>
          <w:sz w:val="16"/>
          <w:szCs w:val="16"/>
          <w:b w:val="1"/>
          <w:bCs w:val="1"/>
          <w:color w:val="auto"/>
          <w:strike w:val="1"/>
        </w:rPr>
        <w:t>Funding</w:t>
      </w:r>
      <w:r>
        <w:rPr>
          <w:rFonts w:ascii="Arial" w:cs="Arial" w:eastAsia="Arial" w:hAnsi="Arial"/>
          <w:sz w:val="16"/>
          <w:szCs w:val="16"/>
          <w:b w:val="1"/>
          <w:bCs w:val="1"/>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and until the earlier of the Maturity Date and the termination of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such Lender in accordance with the terms hereof, in an aggregate principal amount at any time outstanding that will not result in such Lender’s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Exposure exceeding such Lender’s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jc w:val="both"/>
        <w:ind w:firstLine="656"/>
        <w:spacing w:after="0" w:line="266" w:lineRule="auto"/>
        <w:tabs>
          <w:tab w:leader="none" w:pos="10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Lender agrees, severally and not jointly, to make a single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Loan in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dollars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on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 a principal amount not to exceed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 Canadian Dollar Equivalent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Commitment;</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85"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each Australian Lender agrees, severally and not jointly, to make Australian Revolving Credit Loans in Australian dollars and/or U.S. dollars to the Australian Borrower at any time and from time to time on or after the Funding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217" w:lineRule="exact"/>
        <w:rPr>
          <w:rFonts w:ascii="Arial" w:cs="Arial" w:eastAsia="Arial" w:hAnsi="Arial"/>
          <w:sz w:val="18"/>
          <w:szCs w:val="18"/>
          <w:b w:val="1"/>
          <w:bCs w:val="1"/>
          <w:u w:val="single" w:color="auto"/>
          <w:color w:val="auto"/>
        </w:rPr>
      </w:pPr>
    </w:p>
    <w:p>
      <w:pPr>
        <w:ind w:left="1140" w:hanging="484"/>
        <w:spacing w:after="0"/>
        <w:tabs>
          <w:tab w:leader="none" w:pos="1140" w:val="left"/>
        </w:tabs>
        <w:numPr>
          <w:ilvl w:val="0"/>
          <w:numId w:val="26"/>
        </w:numPr>
        <w:rPr>
          <w:rFonts w:ascii="Arial" w:cs="Arial" w:eastAsia="Arial" w:hAnsi="Arial"/>
          <w:sz w:val="21"/>
          <w:szCs w:val="21"/>
          <w:b w:val="1"/>
          <w:bCs w:val="1"/>
          <w:color w:val="auto"/>
        </w:rPr>
      </w:pPr>
      <w:r>
        <w:rPr>
          <w:rFonts w:ascii="Arial" w:cs="Arial" w:eastAsia="Arial" w:hAnsi="Arial"/>
          <w:sz w:val="17"/>
          <w:szCs w:val="17"/>
          <w:b w:val="1"/>
          <w:bCs w:val="1"/>
          <w:color w:val="auto"/>
          <w:strike w:val="1"/>
        </w:rPr>
        <w:t>(e)</w:t>
      </w:r>
      <w:r>
        <w:rPr>
          <w:rFonts w:ascii="Arial" w:cs="Arial" w:eastAsia="Arial" w:hAnsi="Arial"/>
          <w:sz w:val="17"/>
          <w:szCs w:val="17"/>
          <w:b w:val="1"/>
          <w:bCs w:val="1"/>
          <w:color w:val="auto"/>
        </w:rPr>
        <w:t xml:space="preserve"> </w:t>
      </w:r>
      <w:r>
        <w:rPr>
          <w:rFonts w:ascii="Arial" w:cs="Arial" w:eastAsia="Arial" w:hAnsi="Arial"/>
          <w:sz w:val="17"/>
          <w:szCs w:val="17"/>
          <w:color w:val="auto"/>
        </w:rPr>
        <w:t>the U.S. Swing Line Lender agrees to make Swing Line Loans in U.S. dollars to the U.S. Borrower in accordance with Section 2.23;</w:t>
      </w:r>
    </w:p>
    <w:p>
      <w:pPr>
        <w:spacing w:after="0" w:line="251" w:lineRule="exact"/>
        <w:rPr>
          <w:rFonts w:ascii="Arial" w:cs="Arial" w:eastAsia="Arial" w:hAnsi="Arial"/>
          <w:sz w:val="21"/>
          <w:szCs w:val="21"/>
          <w:b w:val="1"/>
          <w:bCs w:val="1"/>
          <w:color w:val="auto"/>
        </w:rPr>
      </w:pPr>
    </w:p>
    <w:p>
      <w:pPr>
        <w:ind w:firstLine="656"/>
        <w:spacing w:after="0" w:line="244" w:lineRule="auto"/>
        <w:tabs>
          <w:tab w:leader="none" w:pos="1359"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(f)</w:t>
      </w:r>
      <w:r>
        <w:rPr>
          <w:rFonts w:ascii="Arial" w:cs="Arial" w:eastAsia="Arial" w:hAnsi="Arial"/>
          <w:sz w:val="18"/>
          <w:szCs w:val="18"/>
          <w:b w:val="1"/>
          <w:bCs w:val="1"/>
          <w:color w:val="auto"/>
        </w:rPr>
        <w:t xml:space="preserve"> </w:t>
      </w:r>
      <w:r>
        <w:rPr>
          <w:rFonts w:ascii="Arial" w:cs="Arial" w:eastAsia="Arial" w:hAnsi="Arial"/>
          <w:sz w:val="18"/>
          <w:szCs w:val="18"/>
          <w:color w:val="auto"/>
        </w:rPr>
        <w:t>the Canadian Swing Line Lender agrees to make Swing Line Loans in Canadian dollars or U.S. dollars to</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Borrower</w:t>
      </w:r>
      <w:r>
        <w:rPr>
          <w:rFonts w:ascii="Arial" w:cs="Arial" w:eastAsia="Arial" w:hAnsi="Arial"/>
          <w:sz w:val="18"/>
          <w:szCs w:val="18"/>
          <w:b w:val="1"/>
          <w:bCs w:val="1"/>
          <w:u w:val="single" w:color="auto"/>
          <w:color w:val="auto"/>
        </w:rPr>
        <w:t>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2.23; and</w:t>
      </w:r>
    </w:p>
    <w:p>
      <w:pPr>
        <w:spacing w:after="0" w:line="234" w:lineRule="exact"/>
        <w:rPr>
          <w:rFonts w:ascii="Arial" w:cs="Arial" w:eastAsia="Arial" w:hAnsi="Arial"/>
          <w:sz w:val="22"/>
          <w:szCs w:val="22"/>
          <w:b w:val="1"/>
          <w:bCs w:val="1"/>
          <w:color w:val="auto"/>
        </w:rPr>
      </w:pPr>
    </w:p>
    <w:p>
      <w:pPr>
        <w:jc w:val="both"/>
        <w:ind w:firstLine="656"/>
        <w:spacing w:after="0" w:line="246" w:lineRule="auto"/>
        <w:tabs>
          <w:tab w:leader="none" w:pos="1236"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(g)</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limits set forth in the preceding sentence and subject to the terms, conditions and limitations set forth herein,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borrow, prepay and reborrow Revolving Credit Loans and the Borrowers may prepay the </w:t>
      </w:r>
      <w:r>
        <w:rPr>
          <w:rFonts w:ascii="Arial" w:cs="Arial" w:eastAsia="Arial" w:hAnsi="Arial"/>
          <w:sz w:val="18"/>
          <w:szCs w:val="18"/>
          <w:b w:val="1"/>
          <w:bCs w:val="1"/>
          <w:color w:val="auto"/>
          <w:strike w:val="1"/>
        </w:rPr>
        <w:t>U.S.</w:t>
      </w:r>
      <w:r>
        <w:rPr>
          <w:rFonts w:ascii="Arial" w:cs="Arial" w:eastAsia="Arial" w:hAnsi="Arial"/>
          <w:sz w:val="18"/>
          <w:szCs w:val="18"/>
          <w:color w:val="auto"/>
        </w:rPr>
        <w:t xml:space="preserve"> Term Loans but no amount paid or repaid with respect to the </w:t>
      </w:r>
      <w:r>
        <w:rPr>
          <w:rFonts w:ascii="Arial" w:cs="Arial" w:eastAsia="Arial" w:hAnsi="Arial"/>
          <w:sz w:val="18"/>
          <w:szCs w:val="18"/>
          <w:b w:val="1"/>
          <w:bCs w:val="1"/>
          <w:color w:val="auto"/>
          <w:strike w:val="1"/>
        </w:rPr>
        <w:t>U.S.</w:t>
      </w:r>
      <w:r>
        <w:rPr>
          <w:rFonts w:ascii="Arial" w:cs="Arial" w:eastAsia="Arial" w:hAnsi="Arial"/>
          <w:sz w:val="18"/>
          <w:szCs w:val="18"/>
          <w:color w:val="auto"/>
        </w:rPr>
        <w:t xml:space="preserve"> Term Loans may be reborrowed.</w:t>
      </w:r>
    </w:p>
    <w:p>
      <w:pPr>
        <w:spacing w:after="0" w:line="19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With respect to the Canadian Term Loan Facility only, for purposes of determining the Canadian Dollar Equivalent, the Administrative Agent shall use the Bank of Canada spot rate of exchange at which U.S. dollars may be exchanged into Canadian dollars, at approximately 12:00 p.m. (Standard Time) one Business Day prior to the First Amendment Effective Date (the “Canadian Term Facility Exchange Rate”). Thereafter, the Canadian Term Facility Exchange Rate shall be fixed during the life of the Canadian Term Loan Facility.</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Section 2.02 Loans</w:t>
      </w:r>
      <w:r>
        <w:rPr>
          <w:rFonts w:ascii="Arial" w:cs="Arial" w:eastAsia="Arial" w:hAnsi="Arial"/>
          <w:sz w:val="17"/>
          <w:szCs w:val="17"/>
          <w:color w:val="auto"/>
        </w:rPr>
        <w:t>. (a) Each Loan shall be made as part of a Borrowing consisting of Loans made by the Applicable Lenders ratably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accordance with their Applicable Pro Rata Percentages of the applicable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 (v) equal to the remaining available balance of the applicable Commitment.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jc w:val="both"/>
        <w:ind w:firstLine="656"/>
        <w:spacing w:after="0" w:line="269" w:lineRule="auto"/>
        <w:tabs>
          <w:tab w:leader="none" w:pos="110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Subject to Sections 2.08 and 2.14, (i) each Borrowing </w:t>
      </w:r>
      <w:r>
        <w:rPr>
          <w:rFonts w:ascii="Arial" w:cs="Arial" w:eastAsia="Arial" w:hAnsi="Arial"/>
          <w:sz w:val="17"/>
          <w:szCs w:val="17"/>
          <w:b w:val="1"/>
          <w:bCs w:val="1"/>
          <w:u w:val="single" w:color="auto"/>
          <w:color w:val="auto"/>
        </w:rPr>
        <w:t>(other than a Swing Line Borrowing)</w:t>
      </w:r>
      <w:r>
        <w:rPr>
          <w:rFonts w:ascii="Arial" w:cs="Arial" w:eastAsia="Arial" w:hAnsi="Arial"/>
          <w:sz w:val="17"/>
          <w:szCs w:val="17"/>
          <w:color w:val="auto"/>
        </w:rPr>
        <w:t xml:space="preserve"> denominated in U.S. dollars shall be comprised entirely of ABR Loans (if made to the U.S. Borrower), U.S. Base Rate Loans (if made to a Canadian Borrower) or Eurocurrency Loans as the Applicable Borrower may request pursuant to Section 2.03, (ii) each Borrowing </w:t>
      </w:r>
      <w:r>
        <w:rPr>
          <w:rFonts w:ascii="Arial" w:cs="Arial" w:eastAsia="Arial" w:hAnsi="Arial"/>
          <w:sz w:val="17"/>
          <w:szCs w:val="17"/>
          <w:b w:val="1"/>
          <w:bCs w:val="1"/>
          <w:u w:val="single" w:color="auto"/>
          <w:color w:val="auto"/>
        </w:rPr>
        <w:t>(other than a Swing Line Borrowing)</w:t>
      </w:r>
      <w:r>
        <w:rPr>
          <w:rFonts w:ascii="Arial" w:cs="Arial" w:eastAsia="Arial" w:hAnsi="Arial"/>
          <w:sz w:val="17"/>
          <w:szCs w:val="17"/>
          <w:color w:val="auto"/>
        </w:rPr>
        <w:t xml:space="preserve"> denominated in Canadian dollars shall be comprised entirely of B/A Loans or Canadian Prime Rate Loans as a Canadian Borrower may request pursuant to Section 2.03 and (iii) each Borrowing denominated in Australian dollars shall be comprised entirely of BBSY Rate Loans. Each Lender may at its option make any Eurocurrency Loan, Canadian Revolving Credit Loan or Australian Revolving Credit Loan denominated in U.S. dollars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Borrowers shall not be entitled to request any Borrowing that, if made, would result in more than ten Eurocurrency Borrowings outstanding hereunder at any time, more than ten B/A Borrowings outstanding hereunder at any time, or more than ten BBSY Rate Borrowings outstanding hereunder at any time. For purposes of the foregoing, Eurocurrency Borrowings or BBSY Rate Borrowings having different Interest Periods and B/A Borrowings having different Contract Periods, regardless of whether they commence on the same date, shall be considered separate Borrowings.</w:t>
      </w:r>
    </w:p>
    <w:p>
      <w:pPr>
        <w:spacing w:after="0" w:line="180" w:lineRule="exact"/>
        <w:rPr>
          <w:rFonts w:ascii="Arial" w:cs="Arial" w:eastAsia="Arial" w:hAnsi="Arial"/>
          <w:sz w:val="17"/>
          <w:szCs w:val="17"/>
          <w:color w:val="auto"/>
        </w:rPr>
      </w:pPr>
    </w:p>
    <w:p>
      <w:pPr>
        <w:jc w:val="both"/>
        <w:ind w:firstLine="656"/>
        <w:spacing w:after="0" w:line="268" w:lineRule="auto"/>
        <w:tabs>
          <w:tab w:leader="none" w:pos="11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a Canadian Borrower shall make each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 to be made by it hereunder on the proposed date thereof by wire transfer of immediately available funds to such account in Toronto, Ontario as the Canadian Administrative Agent may designate not later than 1:00 p.m. (Standard Time) in the case of a Eurocurrency Borrowing or a B/A Borrowing, or 1:00 p.m. (Standard Time) in the case of a Canadian Prime Rate Borrowing or U.S. Base Rate Borrowing, and the Canadian Administrative Agent shall promptly credit the amounts so received to an account designated by such Canadian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jc w:val="both"/>
        <w:ind w:firstLine="656"/>
        <w:spacing w:after="0" w:line="267" w:lineRule="auto"/>
        <w:tabs>
          <w:tab w:leader="none" w:pos="10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92" w:lineRule="exact"/>
        <w:rPr>
          <w:rFonts w:ascii="Arial" w:cs="Arial" w:eastAsia="Arial" w:hAnsi="Arial"/>
          <w:sz w:val="17"/>
          <w:szCs w:val="17"/>
          <w:color w:val="auto"/>
        </w:rPr>
      </w:pPr>
    </w:p>
    <w:p>
      <w:pPr>
        <w:jc w:val="both"/>
        <w:ind w:firstLine="656"/>
        <w:spacing w:after="0" w:line="270" w:lineRule="auto"/>
        <w:tabs>
          <w:tab w:leader="none" w:pos="10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ind w:right="20" w:firstLine="656"/>
        <w:spacing w:after="0" w:line="277"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any Borrowing if the Interest Period or Contract Period requested with respect thereto would end after the Maturity Date.</w:t>
      </w:r>
    </w:p>
    <w:p>
      <w:pPr>
        <w:spacing w:after="0" w:line="170" w:lineRule="exact"/>
        <w:rPr>
          <w:rFonts w:ascii="Arial" w:cs="Arial" w:eastAsia="Arial" w:hAnsi="Arial"/>
          <w:sz w:val="18"/>
          <w:szCs w:val="18"/>
          <w:color w:val="auto"/>
        </w:rPr>
      </w:pPr>
    </w:p>
    <w:p>
      <w:pPr>
        <w:jc w:val="both"/>
        <w:ind w:firstLine="656"/>
        <w:spacing w:after="0" w:line="283" w:lineRule="auto"/>
        <w:tabs>
          <w:tab w:leader="none" w:pos="11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an Issuing Bank shall not have received from the U.S. Borrower, the applicable Canadian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or Australian Lender, as applicable, of the U.S. Dollar Equivalent of such L/C Disbursement and its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of the U.S. Dollar Equivalent of such L/C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of such L/C Disbursement available to the Applicable Administrative Agent as provided above, such Lender and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an Australian Lender or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covenants and agrees to pay, or cause to be paid, such additional amounts, if any, as may be necessary to ensure that the amount paid in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2.03 Borrowing Procedure</w:t>
      </w:r>
      <w:r>
        <w:rPr>
          <w:rFonts w:ascii="Arial" w:cs="Arial" w:eastAsia="Arial" w:hAnsi="Arial"/>
          <w:sz w:val="16"/>
          <w:szCs w:val="16"/>
          <w:color w:val="auto"/>
        </w:rPr>
        <w:t>. (a) In order to request a Borrowing (other than a deemed Borrowing pursuant to Section 2.02(g) or a Swing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Line Borrowing as to which this Section 2.03(a) shall not apply), the U.S. Borrower </w:t>
      </w:r>
      <w:r>
        <w:rPr>
          <w:rFonts w:ascii="Arial" w:cs="Arial" w:eastAsia="Arial" w:hAnsi="Arial"/>
          <w:sz w:val="16"/>
          <w:szCs w:val="16"/>
          <w:b w:val="1"/>
          <w:bCs w:val="1"/>
          <w:u w:val="single" w:color="auto"/>
          <w:color w:val="auto"/>
        </w:rPr>
        <w:t>(or the Parent Borrower on its behalf)</w:t>
      </w:r>
      <w:r>
        <w:rPr>
          <w:rFonts w:ascii="Arial" w:cs="Arial" w:eastAsia="Arial" w:hAnsi="Arial"/>
          <w:sz w:val="16"/>
          <w:szCs w:val="16"/>
          <w:color w:val="auto"/>
        </w:rPr>
        <w:t xml:space="preserve"> shall hand deliver, fax or send by electronic communication (e-mail) (or by telephone notice promptly confirmed by a written, fax or electronic communication (e-mail)) to the Administrative Agent a duly completed Borrowing Request (x) in the case of a Eurocurrency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the U.S. Borrower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Parent Borrower on its behalf)</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specify the following information: (i) whether the Borrowing being requested is to be a U.S.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Borrowing or a U.S. Term Borrowing, (ii) whether such Borrowing is to be a Eurocurrency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 Borrowing, the Interest Period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Eurocurrency Borrowing is specified in any such notice, then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69" w:lineRule="exact"/>
        <w:rPr>
          <w:sz w:val="20"/>
          <w:szCs w:val="20"/>
          <w:color w:val="auto"/>
        </w:rPr>
      </w:pPr>
    </w:p>
    <w:p>
      <w:pPr>
        <w:jc w:val="both"/>
        <w:ind w:firstLine="656"/>
        <w:spacing w:after="0" w:line="283" w:lineRule="auto"/>
        <w:tabs>
          <w:tab w:leader="none" w:pos="1117"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or a Swing Line Borrowing as to which Section 2.03(b) shall not apply), a Canadian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applicable Canadian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and shall specify the following information: (i) </w:t>
      </w:r>
      <w:r>
        <w:rPr>
          <w:rFonts w:ascii="Arial" w:cs="Arial" w:eastAsia="Arial" w:hAnsi="Arial"/>
          <w:sz w:val="16"/>
          <w:szCs w:val="16"/>
          <w:b w:val="1"/>
          <w:bCs w:val="1"/>
          <w:u w:val="single" w:color="auto"/>
          <w:color w:val="auto"/>
        </w:rPr>
        <w:t>in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case of a Canadian Tranche A Revolving Borrowing or a Canadian Tranche B Revolving Borrowing,</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the Borrowing then being requested is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denominated in Canadian dollars or U.S. dollars; (ii) whether such Borrowing is to be a Canadian Prime Rate Borrowing, a B/A Borrowing, a U.S. Base Rate Borrowing or a Eurocurrency Borrowing; (iii) the date of such Borrowing (which shall be a Business Day); (iv) the number and location of the account to which funds are to be disbursed (which shall be an account that complies with the requirements of Section 2.02(c)); (v) the amount of such Borrowing; </w:t>
      </w:r>
      <w:r>
        <w:rPr>
          <w:rFonts w:ascii="Arial" w:cs="Arial" w:eastAsia="Arial" w:hAnsi="Arial"/>
          <w:sz w:val="16"/>
          <w:szCs w:val="16"/>
          <w:b w:val="1"/>
          <w:bCs w:val="1"/>
          <w:color w:val="auto"/>
          <w:strike w:val="1"/>
        </w:rPr>
        <w:t>and</w:t>
      </w:r>
    </w:p>
    <w:p>
      <w:pPr>
        <w:spacing w:after="0" w:line="4" w:lineRule="exact"/>
        <w:rPr>
          <w:rFonts w:ascii="Arial" w:cs="Arial" w:eastAsia="Arial" w:hAnsi="Arial"/>
          <w:sz w:val="16"/>
          <w:szCs w:val="16"/>
          <w:color w:val="auto"/>
        </w:rPr>
      </w:pPr>
    </w:p>
    <w:p>
      <w:pPr>
        <w:jc w:val="both"/>
        <w:ind w:firstLine="8"/>
        <w:spacing w:after="0" w:line="287" w:lineRule="auto"/>
        <w:tabs>
          <w:tab w:leader="none" w:pos="3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such Borrowing is to be a B/A Borrowing or a Eurocurrency Borrowing, the Contract Period or Interest Period, respectively, therefor </w:t>
      </w:r>
      <w:r>
        <w:rPr>
          <w:rFonts w:ascii="Arial" w:cs="Arial" w:eastAsia="Arial" w:hAnsi="Arial"/>
          <w:sz w:val="16"/>
          <w:szCs w:val="16"/>
          <w:b w:val="1"/>
          <w:bCs w:val="1"/>
          <w:color w:val="auto"/>
        </w:rPr>
        <w:t>and (vii) whether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such Borrowing is of Canadian Tranche A Revolving Credit Loans, Canadian Tranche B Revolving Credit Loans or Canadian Term Loans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contrary specification in any Borrowing Request, each requested Borrowing shall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 Borrowing has been specified in any such notice, then the applicable Canadian Borrower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-988695</wp:posOffset>
            </wp:positionV>
            <wp:extent cx="8661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6377305</wp:posOffset>
            </wp:positionH>
            <wp:positionV relativeFrom="paragraph">
              <wp:posOffset>-1005840</wp:posOffset>
            </wp:positionV>
            <wp:extent cx="866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firstLine="656"/>
        <w:spacing w:after="0" w:line="287" w:lineRule="auto"/>
        <w:tabs>
          <w:tab w:leader="none" w:pos="109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as to which this Section 2.03(c) shall not apply), the Australian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and shall specify the following information: (i) whether the Borrowing then being requested is to be a BBSY Rate Borrowing denominated in Australian dollars or a Eurocurrency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2.04</w:t>
      </w:r>
      <w:r>
        <w:rPr>
          <w:sz w:val="20"/>
          <w:szCs w:val="20"/>
          <w:color w:val="auto"/>
        </w:rPr>
        <w:tab/>
      </w:r>
      <w:r>
        <w:rPr>
          <w:rFonts w:ascii="Arial" w:cs="Arial" w:eastAsia="Arial" w:hAnsi="Arial"/>
          <w:sz w:val="15"/>
          <w:szCs w:val="15"/>
          <w:b w:val="1"/>
          <w:bCs w:val="1"/>
          <w:i w:val="1"/>
          <w:iCs w:val="1"/>
          <w:color w:val="auto"/>
        </w:rPr>
        <w:t>Evidence of Debt; Repayment of Loans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jc w:val="both"/>
        <w:ind w:firstLine="656"/>
        <w:spacing w:after="0" w:line="272" w:lineRule="auto"/>
        <w:tabs>
          <w:tab w:leader="none" w:pos="107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U.S. Borrower hereby unconditionally promises to pay to the Administrative Agent for the account of each U.S. Revolving Lender holding U.S. Revolving Credit Loans the then unpaid principal amount of each such Revolving Credit Loan of such Lender on the Maturity Date. Each Canadian Borrower hereby, jointly and severally, unconditionally promises to pay to the Canadian Administrative Agent for the account of each Canadian </w:t>
      </w:r>
      <w:r>
        <w:rPr>
          <w:rFonts w:ascii="Arial" w:cs="Arial" w:eastAsia="Arial" w:hAnsi="Arial"/>
          <w:sz w:val="17"/>
          <w:szCs w:val="17"/>
          <w:b w:val="1"/>
          <w:bCs w:val="1"/>
          <w:u w:val="single" w:color="auto"/>
          <w:color w:val="auto"/>
        </w:rPr>
        <w:t>Revolving</w:t>
      </w:r>
      <w:r>
        <w:rPr>
          <w:rFonts w:ascii="Arial" w:cs="Arial" w:eastAsia="Arial" w:hAnsi="Arial"/>
          <w:sz w:val="17"/>
          <w:szCs w:val="17"/>
          <w:color w:val="auto"/>
        </w:rPr>
        <w:t xml:space="preserve"> Lender holding Canadian Revolving Credit Loans made to such Canadian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U.S. Borrower hereby unconditionally promises to pay to the Administrative Agent for the account of each U.S. Term Lender holding U.S. Term Loans the principal amounts set forth </w:t>
      </w:r>
      <w:r>
        <w:rPr>
          <w:rFonts w:ascii="Arial" w:cs="Arial" w:eastAsia="Arial" w:hAnsi="Arial"/>
          <w:sz w:val="16"/>
          <w:szCs w:val="16"/>
          <w:b w:val="1"/>
          <w:bCs w:val="1"/>
          <w:color w:val="auto"/>
          <w:strike w:val="1"/>
        </w:rPr>
        <w:t>on</w:t>
      </w:r>
      <w:r>
        <w:rPr>
          <w:rFonts w:ascii="Arial" w:cs="Arial" w:eastAsia="Arial" w:hAnsi="Arial"/>
          <w:sz w:val="16"/>
          <w:szCs w:val="16"/>
          <w:b w:val="1"/>
          <w:bCs w:val="1"/>
          <w:u w:val="single" w:color="auto"/>
          <w:color w:val="auto"/>
        </w:rPr>
        <w:t>in Part A of</w:t>
      </w:r>
      <w:r>
        <w:rPr>
          <w:rFonts w:ascii="Arial" w:cs="Arial" w:eastAsia="Arial" w:hAnsi="Arial"/>
          <w:sz w:val="16"/>
          <w:szCs w:val="16"/>
          <w:color w:val="auto"/>
        </w:rPr>
        <w:t xml:space="preserve"> Schedule 2.04 on each corresponding date set forth on such schedule;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shall promptly update </w:t>
      </w:r>
      <w:r>
        <w:rPr>
          <w:rFonts w:ascii="Arial" w:cs="Arial" w:eastAsia="Arial" w:hAnsi="Arial"/>
          <w:sz w:val="16"/>
          <w:szCs w:val="16"/>
          <w:b w:val="1"/>
          <w:bCs w:val="1"/>
          <w:u w:val="single" w:color="auto"/>
          <w:color w:val="auto"/>
        </w:rPr>
        <w:t>Part A of</w:t>
      </w:r>
      <w:r>
        <w:rPr>
          <w:rFonts w:ascii="Arial" w:cs="Arial" w:eastAsia="Arial" w:hAnsi="Arial"/>
          <w:sz w:val="16"/>
          <w:szCs w:val="16"/>
          <w:color w:val="auto"/>
        </w:rPr>
        <w:t xml:space="preserve"> Schedule 2.04 upon any repayment or prepayment of U.S. Term Loans, which updated schedule shall become effective upon delivery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t>
      </w:r>
      <w:r>
        <w:rPr>
          <w:rFonts w:ascii="Arial" w:cs="Arial" w:eastAsia="Arial" w:hAnsi="Arial"/>
          <w:sz w:val="16"/>
          <w:szCs w:val="16"/>
          <w:b w:val="1"/>
          <w:bCs w:val="1"/>
          <w:color w:val="auto"/>
        </w:rPr>
        <w:t>The Parent Borrower hereby unconditionally promises to pay in Canadian Dollars to the</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b w:val="1"/>
          <w:bCs w:val="1"/>
          <w:u w:val="single" w:color="auto"/>
          <w:color w:val="auto"/>
        </w:rPr>
        <w:t xml:space="preserve">Canadian Administrative Agent for the account of each Canadian Term Lender holding Canadian Term Loans the principal amounts set forth in Part B of Schedule 2.04 on each corresponding date set forth on such schedule;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xml:space="preserve"> that the Canadian Administrative Agent shall promptly update Part B of Schedule 2.04 upon any repayment or prepayment of Canadian Term Loans, which updated schedule shall become effective upon delivery to the Parent Borrower</w:t>
      </w:r>
    </w:p>
    <w:p>
      <w:pPr>
        <w:spacing w:after="0" w:line="189" w:lineRule="exact"/>
        <w:rPr>
          <w:rFonts w:ascii="Arial" w:cs="Arial" w:eastAsia="Arial" w:hAnsi="Arial"/>
          <w:sz w:val="16"/>
          <w:szCs w:val="16"/>
          <w:color w:val="auto"/>
        </w:rPr>
      </w:pPr>
    </w:p>
    <w:p>
      <w:pPr>
        <w:ind w:firstLine="656"/>
        <w:spacing w:after="0" w:line="277"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Borrower shall repay each U.S. Swing Line Loan on the Swing Line Payment Date. Each Canadian Borrower shall repay each Canadian Swing Line Loan on the Swing Line Payment Date.</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for any B/A Loan (the compensation for which is set forth in Section 2.22), each Loan shall bear interest from and including the date made on the outstanding principal balance thereof as set forth in Section 2.06.</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94"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0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-2624455</wp:posOffset>
            </wp:positionV>
            <wp:extent cx="44253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-2641600</wp:posOffset>
            </wp:positionV>
            <wp:extent cx="44303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30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both"/>
        <w:ind w:firstLine="656"/>
        <w:spacing w:after="0" w:line="312" w:lineRule="auto"/>
        <w:tabs>
          <w:tab w:leader="none" w:pos="11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paragraphs (e) and (f) above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46" w:lineRule="exact"/>
        <w:rPr>
          <w:rFonts w:ascii="Arial" w:cs="Arial" w:eastAsia="Arial" w:hAnsi="Arial"/>
          <w:sz w:val="16"/>
          <w:szCs w:val="16"/>
          <w:color w:val="auto"/>
        </w:rPr>
      </w:pPr>
    </w:p>
    <w:p>
      <w:pPr>
        <w:jc w:val="both"/>
        <w:ind w:firstLine="656"/>
        <w:spacing w:after="0" w:line="297" w:lineRule="auto"/>
        <w:tabs>
          <w:tab w:leader="none" w:pos="11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Lender may request that Loans made by it hereunder be evidenced by a promissory note (a “</w:t>
      </w:r>
      <w:r>
        <w:rPr>
          <w:rFonts w:ascii="Arial" w:cs="Arial" w:eastAsia="Arial" w:hAnsi="Arial"/>
          <w:sz w:val="16"/>
          <w:szCs w:val="16"/>
          <w:i w:val="1"/>
          <w:iCs w:val="1"/>
          <w:color w:val="auto"/>
        </w:rPr>
        <w:t>Note</w:t>
      </w:r>
      <w:r>
        <w:rPr>
          <w:rFonts w:ascii="Arial" w:cs="Arial" w:eastAsia="Arial" w:hAnsi="Arial"/>
          <w:sz w:val="16"/>
          <w:szCs w:val="16"/>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Section 2.05 Fees</w:t>
      </w:r>
      <w:r>
        <w:rPr>
          <w:rFonts w:ascii="Arial" w:cs="Arial" w:eastAsia="Arial" w:hAnsi="Arial"/>
          <w:sz w:val="16"/>
          <w:szCs w:val="16"/>
          <w:color w:val="auto"/>
        </w:rPr>
        <w:t>. (a) (i) The U.S. Borrower agrees to pay to each U.S. Revolving Lender, through the Administrative Agent, on the last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 of March, June, September and December in each year, a commitment fee (the “</w:t>
      </w:r>
      <w:r>
        <w:rPr>
          <w:rFonts w:ascii="Arial" w:cs="Arial" w:eastAsia="Arial" w:hAnsi="Arial"/>
          <w:sz w:val="16"/>
          <w:szCs w:val="16"/>
          <w:i w:val="1"/>
          <w:iCs w:val="1"/>
          <w:color w:val="auto"/>
        </w:rPr>
        <w:t>U.S. Commitment Fee</w:t>
      </w:r>
      <w:r>
        <w:rPr>
          <w:rFonts w:ascii="Arial" w:cs="Arial" w:eastAsia="Arial" w:hAnsi="Arial"/>
          <w:sz w:val="16"/>
          <w:szCs w:val="16"/>
          <w:color w:val="auto"/>
        </w:rPr>
        <w:t>”)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150" w:lineRule="exact"/>
        <w:rPr>
          <w:sz w:val="20"/>
          <w:szCs w:val="20"/>
          <w:color w:val="auto"/>
        </w:rPr>
      </w:pPr>
    </w:p>
    <w:p>
      <w:pPr>
        <w:jc w:val="both"/>
        <w:ind w:left="660" w:firstLine="645"/>
        <w:spacing w:after="0" w:line="290" w:lineRule="auto"/>
        <w:tabs>
          <w:tab w:leader="none" w:pos="19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Canadian Borrower agrees to pay, jointly and severally, to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through the Canadian Administrative Agent, on the last Business Day of March, June, September and December in each year, a commitment fee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Tranche</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Commitment Fee</w:t>
      </w:r>
      <w:r>
        <w:rPr>
          <w:rFonts w:ascii="Arial" w:cs="Arial" w:eastAsia="Arial" w:hAnsi="Arial"/>
          <w:sz w:val="16"/>
          <w:szCs w:val="16"/>
          <w:color w:val="auto"/>
        </w:rPr>
        <w:t>”) equal to the Applicable Percentage on the daily unused amount of the Canadian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Revolving Commitments of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to make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Loans to the Canadian Borrowers during the preceding quarter. The </w:t>
      </w:r>
      <w:r>
        <w:rPr>
          <w:rFonts w:ascii="Arial" w:cs="Arial" w:eastAsia="Arial" w:hAnsi="Arial"/>
          <w:sz w:val="16"/>
          <w:szCs w:val="16"/>
          <w:b w:val="1"/>
          <w:bCs w:val="1"/>
          <w:u w:val="single" w:color="auto"/>
          <w:color w:val="auto"/>
        </w:rPr>
        <w:t>Parent Borrower agrees to pay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Commitment Fee</w:t>
      </w:r>
      <w:r>
        <w:rPr>
          <w:rFonts w:ascii="Arial" w:cs="Arial" w:eastAsia="Arial" w:hAnsi="Arial"/>
          <w:sz w:val="16"/>
          <w:szCs w:val="16"/>
          <w:b w:val="1"/>
          <w:bCs w:val="1"/>
          <w:u w:val="single" w:color="auto"/>
          <w:color w:val="auto"/>
        </w:rPr>
        <w:t>Tranche B Lender, through the Canadian Administrative Agent, on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last Business Day of March, June, September and December in each year, a commitment fee (the “</w:t>
      </w:r>
      <w:r>
        <w:rPr>
          <w:rFonts w:ascii="Arial" w:cs="Arial" w:eastAsia="Arial" w:hAnsi="Arial"/>
          <w:sz w:val="16"/>
          <w:szCs w:val="16"/>
          <w:b w:val="1"/>
          <w:bCs w:val="1"/>
          <w:i w:val="1"/>
          <w:iCs w:val="1"/>
          <w:u w:val="single" w:color="auto"/>
          <w:color w:val="auto"/>
        </w:rPr>
        <w:t>Canadian Tranche B Commitment Fee</w:t>
      </w:r>
      <w:r>
        <w:rPr>
          <w:rFonts w:ascii="Arial" w:cs="Arial" w:eastAsia="Arial" w:hAnsi="Arial"/>
          <w:sz w:val="16"/>
          <w:szCs w:val="16"/>
          <w:b w:val="1"/>
          <w:bCs w:val="1"/>
          <w:u w:val="single" w:color="auto"/>
          <w:color w:val="auto"/>
        </w:rPr>
        <w:t>”) equal to the Applicable Percentage on the daily unused amount of the Canadian Tranche B Revolving Commitments of such Canadian Tranche B Lender to make Canadian Tranche B Revolving Credit Loans to the Parent Borrower during the preceding quarter. The Canadian Commitment Fees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computed on the basis of the actual number of days elapsed in a year of 365 or 366 days, as the case may be.</w:t>
      </w:r>
    </w:p>
    <w:p>
      <w:pPr>
        <w:spacing w:after="0" w:line="163" w:lineRule="exact"/>
        <w:rPr>
          <w:rFonts w:ascii="Arial" w:cs="Arial" w:eastAsia="Arial" w:hAnsi="Arial"/>
          <w:sz w:val="16"/>
          <w:szCs w:val="16"/>
          <w:color w:val="auto"/>
        </w:rPr>
      </w:pPr>
    </w:p>
    <w:p>
      <w:pPr>
        <w:jc w:val="both"/>
        <w:ind w:left="660" w:firstLine="645"/>
        <w:spacing w:after="0" w:line="255" w:lineRule="auto"/>
        <w:tabs>
          <w:tab w:leader="none" w:pos="1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Australian Borrower agrees to pay to each Australian Lender, through the Australian Administrative Agent, on the last Business Day of March, June, September and December in each year, a commitment fee (the “</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xml:space="preserve">”; together with the U.S. Commitment Fee and the Canadian Commitment </w:t>
      </w:r>
      <w:r>
        <w:rPr>
          <w:rFonts w:ascii="Arial" w:cs="Arial" w:eastAsia="Arial" w:hAnsi="Arial"/>
          <w:sz w:val="18"/>
          <w:szCs w:val="18"/>
          <w:b w:val="1"/>
          <w:bCs w:val="1"/>
          <w:color w:val="auto"/>
          <w:strike w:val="1"/>
        </w:rPr>
        <w:t>Fee</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the “</w:t>
      </w:r>
      <w:r>
        <w:rPr>
          <w:rFonts w:ascii="Arial" w:cs="Arial" w:eastAsia="Arial" w:hAnsi="Arial"/>
          <w:sz w:val="18"/>
          <w:szCs w:val="18"/>
          <w:i w:val="1"/>
          <w:iCs w:val="1"/>
          <w:color w:val="auto"/>
        </w:rPr>
        <w:t>Commitment Fees</w:t>
      </w:r>
      <w:r>
        <w:rPr>
          <w:rFonts w:ascii="Arial" w:cs="Arial" w:eastAsia="Arial" w:hAnsi="Arial"/>
          <w:sz w:val="18"/>
          <w:szCs w:val="18"/>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ind w:left="1940" w:hanging="635"/>
        <w:spacing w:after="0"/>
        <w:tabs>
          <w:tab w:leader="none" w:pos="19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Commitment Fees due to each Revolving Lender shall commence to accrue on the Funding Date</w:t>
      </w:r>
      <w:r>
        <w:rPr>
          <w:rFonts w:ascii="Arial" w:cs="Arial" w:eastAsia="Arial" w:hAnsi="Arial"/>
          <w:sz w:val="17"/>
          <w:szCs w:val="17"/>
          <w:b w:val="1"/>
          <w:bCs w:val="1"/>
          <w:color w:val="auto"/>
          <w:strike w:val="1"/>
        </w:rPr>
        <w:t>, and shall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except for</w:t>
      </w:r>
    </w:p>
    <w:p>
      <w:pPr>
        <w:spacing w:after="0" w:line="38" w:lineRule="exact"/>
        <w:rPr>
          <w:rFonts w:ascii="Arial" w:cs="Arial" w:eastAsia="Arial" w:hAnsi="Arial"/>
          <w:sz w:val="17"/>
          <w:szCs w:val="17"/>
          <w:color w:val="auto"/>
        </w:rPr>
      </w:pPr>
    </w:p>
    <w:p>
      <w:pPr>
        <w:jc w:val="both"/>
        <w:ind w:left="660"/>
        <w:spacing w:after="0" w:line="252" w:lineRule="auto"/>
        <w:rPr>
          <w:rFonts w:ascii="Arial" w:cs="Arial" w:eastAsia="Arial" w:hAnsi="Arial"/>
          <w:sz w:val="17"/>
          <w:szCs w:val="17"/>
          <w:color w:val="auto"/>
        </w:rPr>
      </w:pPr>
      <w:r>
        <w:rPr>
          <w:rFonts w:ascii="Arial" w:cs="Arial" w:eastAsia="Arial" w:hAnsi="Arial"/>
          <w:sz w:val="18"/>
          <w:szCs w:val="18"/>
          <w:b w:val="1"/>
          <w:bCs w:val="1"/>
          <w:u w:val="single" w:color="auto"/>
          <w:color w:val="auto"/>
        </w:rPr>
        <w:t>Commitment Fees due to the Canadian Tranche B Lenders in respect of the Canadian Tranche B Revolving Commitments which shall commence to accrue on the First Amendment Effective Date, and shall, in each case,</w:t>
      </w:r>
      <w:r>
        <w:rPr>
          <w:rFonts w:ascii="Arial" w:cs="Arial" w:eastAsia="Arial" w:hAnsi="Arial"/>
          <w:sz w:val="18"/>
          <w:szCs w:val="18"/>
          <w:b w:val="1"/>
          <w:bCs w:val="1"/>
          <w:color w:val="auto"/>
        </w:rPr>
        <w:t xml:space="preserve"> </w:t>
      </w:r>
      <w:r>
        <w:rPr>
          <w:rFonts w:ascii="Arial" w:cs="Arial" w:eastAsia="Arial" w:hAnsi="Arial"/>
          <w:sz w:val="18"/>
          <w:szCs w:val="18"/>
          <w:color w:val="auto"/>
        </w:rPr>
        <w:t>cease to accrue on the date on which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when calculating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Commitment </w:t>
      </w:r>
      <w:r>
        <w:rPr>
          <w:rFonts w:ascii="Arial" w:cs="Arial" w:eastAsia="Arial" w:hAnsi="Arial"/>
          <w:sz w:val="18"/>
          <w:szCs w:val="18"/>
          <w:b w:val="1"/>
          <w:bCs w:val="1"/>
          <w:color w:val="auto"/>
          <w:strike w:val="1"/>
        </w:rPr>
        <w:t>Fee</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xml:space="preserve"> under this Section 2.05(a).</w:t>
      </w:r>
    </w:p>
    <w:p>
      <w:pPr>
        <w:spacing w:after="0" w:line="194" w:lineRule="exact"/>
        <w:rPr>
          <w:rFonts w:ascii="Arial" w:cs="Arial" w:eastAsia="Arial" w:hAnsi="Arial"/>
          <w:sz w:val="17"/>
          <w:szCs w:val="17"/>
          <w:color w:val="auto"/>
        </w:rPr>
      </w:pPr>
    </w:p>
    <w:p>
      <w:pPr>
        <w:jc w:val="both"/>
        <w:ind w:firstLine="656"/>
        <w:spacing w:after="0" w:line="264" w:lineRule="auto"/>
        <w:tabs>
          <w:tab w:leader="none" w:pos="11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0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Borrower agrees to pay to each U.S. Revolving Lender, through the Administrative Agent, on the last Business Day of March, June, September and December of each year, commencing with the first such date to occur after the Funding Date, and on the date on which the U.S. Revolving Commitment of such Revolving Lender shall be terminated as provided herein, a fee (the “</w:t>
      </w:r>
      <w:r>
        <w:rPr>
          <w:rFonts w:ascii="Arial" w:cs="Arial" w:eastAsia="Arial" w:hAnsi="Arial"/>
          <w:sz w:val="16"/>
          <w:szCs w:val="16"/>
          <w:i w:val="1"/>
          <w:iCs w:val="1"/>
          <w:color w:val="auto"/>
        </w:rPr>
        <w:t>U.S. L/C Participation Fee</w:t>
      </w:r>
      <w:r>
        <w:rPr>
          <w:rFonts w:ascii="Arial" w:cs="Arial" w:eastAsia="Arial" w:hAnsi="Arial"/>
          <w:sz w:val="16"/>
          <w:szCs w:val="16"/>
          <w:color w:val="auto"/>
        </w:rPr>
        <w:t xml:space="preserve">”)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Each Canadian Borrower agrees to pay, jointly and severally, to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through the Canadian Administrative Agent, on the last Business Day of March, June, September and December of each year, commencing with the first such date to occur after the Funding Date, and on the date on which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of such Revolving Lender shall be terminated as provided herein, a fee (the “</w:t>
      </w:r>
      <w:r>
        <w:rPr>
          <w:rFonts w:ascii="Arial" w:cs="Arial" w:eastAsia="Arial" w:hAnsi="Arial"/>
          <w:sz w:val="16"/>
          <w:szCs w:val="16"/>
          <w:i w:val="1"/>
          <w:iCs w:val="1"/>
          <w:color w:val="auto"/>
        </w:rPr>
        <w:t>Canadian L/C Participation Fee</w:t>
      </w:r>
      <w:r>
        <w:rPr>
          <w:rFonts w:ascii="Arial" w:cs="Arial" w:eastAsia="Arial" w:hAnsi="Arial"/>
          <w:sz w:val="16"/>
          <w:szCs w:val="16"/>
          <w:color w:val="auto"/>
        </w:rPr>
        <w:t xml:space="preserve">”) calculated on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of the daily aggregate Canadian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Australian Borrower agrees to pay to each Australian Lender, through the Australian Administrative Agent, on the last Business Day of March, June, September and December of each year, commencing with the first such date to occur after the Funding Date, and on the date on which the Australian Revolving Commitment of such Revolving Lender shall be terminated as provided herein, a fee (the “</w:t>
      </w:r>
      <w:r>
        <w:rPr>
          <w:rFonts w:ascii="Arial" w:cs="Arial" w:eastAsia="Arial" w:hAnsi="Arial"/>
          <w:sz w:val="16"/>
          <w:szCs w:val="16"/>
          <w:i w:val="1"/>
          <w:iCs w:val="1"/>
          <w:color w:val="auto"/>
        </w:rPr>
        <w:t>Australian L/C Participation Fee</w:t>
      </w:r>
      <w:r>
        <w:rPr>
          <w:rFonts w:ascii="Arial" w:cs="Arial" w:eastAsia="Arial" w:hAnsi="Arial"/>
          <w:sz w:val="16"/>
          <w:szCs w:val="16"/>
          <w:color w:val="auto"/>
        </w:rPr>
        <w:t xml:space="preserve">”; together with the U.S. L/C Participation Fee and the Canadian L/C Participation </w:t>
      </w:r>
      <w:r>
        <w:rPr>
          <w:rFonts w:ascii="Arial" w:cs="Arial" w:eastAsia="Arial" w:hAnsi="Arial"/>
          <w:sz w:val="16"/>
          <w:szCs w:val="16"/>
          <w:b w:val="1"/>
          <w:bCs w:val="1"/>
          <w:color w:val="auto"/>
          <w:strike w:val="1"/>
        </w:rPr>
        <w:t>Fee</w:t>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 the “</w:t>
      </w:r>
      <w:r>
        <w:rPr>
          <w:rFonts w:ascii="Arial" w:cs="Arial" w:eastAsia="Arial" w:hAnsi="Arial"/>
          <w:sz w:val="16"/>
          <w:szCs w:val="16"/>
          <w:i w:val="1"/>
          <w:iCs w:val="1"/>
          <w:color w:val="auto"/>
        </w:rPr>
        <w:t>L/C Participation Fees</w:t>
      </w:r>
      <w:r>
        <w:rPr>
          <w:rFonts w:ascii="Arial" w:cs="Arial" w:eastAsia="Arial" w:hAnsi="Arial"/>
          <w:sz w:val="16"/>
          <w:szCs w:val="16"/>
          <w:color w:val="auto"/>
        </w:rPr>
        <w:t xml:space="preserve">”)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w:t>
      </w:r>
      <w:r>
        <w:rPr>
          <w:rFonts w:ascii="Arial" w:cs="Arial" w:eastAsia="Arial" w:hAnsi="Arial"/>
          <w:sz w:val="16"/>
          <w:szCs w:val="16"/>
          <w:b w:val="1"/>
          <w:bCs w:val="1"/>
          <w:u w:val="single" w:color="auto"/>
          <w:color w:val="auto"/>
        </w:rPr>
        <w:t>Rate</w:t>
      </w:r>
      <w:r>
        <w:rPr>
          <w:rFonts w:ascii="Arial" w:cs="Arial" w:eastAsia="Arial" w:hAnsi="Arial"/>
          <w:sz w:val="16"/>
          <w:szCs w:val="16"/>
          <w:color w:val="auto"/>
        </w:rPr>
        <w:t xml:space="preserv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Arial" w:cs="Arial" w:eastAsia="Arial" w:hAnsi="Arial"/>
          <w:sz w:val="16"/>
          <w:szCs w:val="16"/>
          <w:i w:val="1"/>
          <w:iCs w:val="1"/>
          <w:color w:val="auto"/>
        </w:rPr>
        <w:t>Issuing Bank Fees</w:t>
      </w:r>
      <w:r>
        <w:rPr>
          <w:rFonts w:ascii="Arial" w:cs="Arial" w:eastAsia="Arial" w:hAnsi="Arial"/>
          <w:sz w:val="16"/>
          <w:szCs w:val="16"/>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jc w:val="both"/>
        <w:ind w:firstLine="656"/>
        <w:spacing w:after="0" w:line="255" w:lineRule="auto"/>
        <w:tabs>
          <w:tab w:leader="none" w:pos="11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All Fees shall be paid on the dates due, in immediately available U.S. dollars (except with respect to (i) L/C Participation Fees and Issuing Bank Fees in respect of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Letters of Credit </w:t>
      </w:r>
      <w:r>
        <w:rPr>
          <w:rFonts w:ascii="Arial" w:cs="Arial" w:eastAsia="Arial" w:hAnsi="Arial"/>
          <w:sz w:val="18"/>
          <w:szCs w:val="18"/>
          <w:b w:val="1"/>
          <w:bCs w:val="1"/>
          <w:u w:val="single" w:color="auto"/>
          <w:color w:val="auto"/>
        </w:rPr>
        <w:t>denominated in Canadian dollars</w:t>
      </w:r>
      <w:r>
        <w:rPr>
          <w:rFonts w:ascii="Arial" w:cs="Arial" w:eastAsia="Arial" w:hAnsi="Arial"/>
          <w:sz w:val="18"/>
          <w:szCs w:val="18"/>
          <w:color w:val="auto"/>
        </w:rPr>
        <w:t xml:space="preserve">, each of which shall be payable in immediately available Canadian dollars and (ii) L/C Participation Fees and Issuing Bank Fees in respect of </w:t>
      </w:r>
      <w:r>
        <w:rPr>
          <w:rFonts w:ascii="Arial" w:cs="Arial" w:eastAsia="Arial" w:hAnsi="Arial"/>
          <w:sz w:val="18"/>
          <w:szCs w:val="18"/>
          <w:b w:val="1"/>
          <w:bCs w:val="1"/>
          <w:color w:val="auto"/>
          <w:strike w:val="1"/>
        </w:rPr>
        <w:t>Australian</w:t>
      </w:r>
      <w:r>
        <w:rPr>
          <w:rFonts w:ascii="Arial" w:cs="Arial" w:eastAsia="Arial" w:hAnsi="Arial"/>
          <w:sz w:val="18"/>
          <w:szCs w:val="18"/>
          <w:color w:val="auto"/>
        </w:rPr>
        <w:t xml:space="preserve"> Letters of Credit </w:t>
      </w:r>
      <w:r>
        <w:rPr>
          <w:rFonts w:ascii="Arial" w:cs="Arial" w:eastAsia="Arial" w:hAnsi="Arial"/>
          <w:sz w:val="18"/>
          <w:szCs w:val="18"/>
          <w:b w:val="1"/>
          <w:bCs w:val="1"/>
          <w:u w:val="single" w:color="auto"/>
          <w:color w:val="auto"/>
        </w:rPr>
        <w:t>denominated in Australian dollars</w:t>
      </w:r>
      <w:r>
        <w:rPr>
          <w:rFonts w:ascii="Arial" w:cs="Arial" w:eastAsia="Arial" w:hAnsi="Arial"/>
          <w:sz w:val="18"/>
          <w:szCs w:val="18"/>
          <w:color w:val="auto"/>
        </w:rPr>
        <w:t>,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Section 2.06 Interest on Loans</w:t>
      </w:r>
      <w:r>
        <w:rPr>
          <w:rFonts w:ascii="Arial" w:cs="Arial" w:eastAsia="Arial" w:hAnsi="Arial"/>
          <w:sz w:val="18"/>
          <w:szCs w:val="18"/>
          <w:color w:val="auto"/>
        </w:rPr>
        <w:t>. (a) Subject to the provisions of Section 9.09, the Loans comprising each ABR Borrowing shall bear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88" w:lineRule="exact"/>
        <w:rPr>
          <w:sz w:val="20"/>
          <w:szCs w:val="20"/>
          <w:color w:val="auto"/>
        </w:rPr>
      </w:pPr>
    </w:p>
    <w:p>
      <w:pPr>
        <w:jc w:val="both"/>
        <w:ind w:firstLine="656"/>
        <w:spacing w:after="0" w:line="264"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Eurocurrency Borrowing shall bear interest (computed on the basis of the actual number of days elapsed over a year of 360 days) at a rate per annum equal to the Adjusted LIBO Rate for the Interest Period in effect for such Borrowing plus the Applicable Percentage in respect of Eurocurrency Loans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656"/>
        <w:spacing w:after="0" w:line="259" w:lineRule="auto"/>
        <w:tabs>
          <w:tab w:leader="none" w:pos="1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B/A Borrowing shall be subject to an Acceptance Fee, payable by the applicable Canadian Borrower on the date of acceptance of the relevant B/A and calculated as set forth in the definition of the term “Acceptance Fee” in Section 1.01.</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71" w:lineRule="exact"/>
        <w:rPr>
          <w:rFonts w:ascii="Arial" w:cs="Arial" w:eastAsia="Arial" w:hAnsi="Arial"/>
          <w:sz w:val="17"/>
          <w:szCs w:val="17"/>
          <w:color w:val="auto"/>
        </w:rPr>
      </w:pPr>
    </w:p>
    <w:p>
      <w:pPr>
        <w:jc w:val="both"/>
        <w:ind w:firstLine="656"/>
        <w:spacing w:after="0" w:line="273" w:lineRule="auto"/>
        <w:tabs>
          <w:tab w:leader="none" w:pos="1122"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jc w:val="both"/>
        <w:ind w:firstLine="656"/>
        <w:spacing w:after="0" w:line="259" w:lineRule="auto"/>
        <w:tabs>
          <w:tab w:leader="none" w:pos="10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each Loan shall be payable to the Applicable Administrative Agent on the Interest Payment Dates applicable to such Loan except as otherwise provided in this Agreement. The applicable Alternate Base Rate, Adjusted LIBO Rate, BBSY Rate, Canadian Prime Rate, U.S. Base Rate, B/A Discount Rate, and Acceptance Fee shall be determined by the Applicable Administrative Agent, and such determination shall be conclusive absent manifest error.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Section 2.07 Default Interest</w:t>
      </w:r>
      <w:r>
        <w:rPr>
          <w:rFonts w:ascii="Arial" w:cs="Arial" w:eastAsia="Arial" w:hAnsi="Arial"/>
          <w:sz w:val="17"/>
          <w:szCs w:val="17"/>
          <w:color w:val="auto"/>
        </w:rPr>
        <w:t>. If a Borrower shall default in the payment of the principal of or interest on any Loan or any other amount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Canadian Borrower, or a BBSY Rate Loan, in the case of the Australian Borrower) plus 2.00% (subject to Section 9.09).</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2.08 Alternate Rate of Interest</w:t>
      </w:r>
      <w:r>
        <w:rPr>
          <w:rFonts w:ascii="Arial" w:cs="Arial" w:eastAsia="Arial" w:hAnsi="Arial"/>
          <w:sz w:val="17"/>
          <w:szCs w:val="17"/>
          <w:color w:val="auto"/>
        </w:rPr>
        <w:t>. In the event, and on each occasion, that (a) on the day two Business Days prior to the commencement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any Interest Period for a Eurocurrency Borrowing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is unable to determine the Adjusted LIBO Rate for Eurocurrency Loans comprising any requested Borrowing, or (b) if the Applicable Required Lenders shall, by 11:00 a.m. (Standard Time) at least one (1) Business Day before the date of any requested Borrowing, notify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that the Adjusted LIBO Rate for Eurocurrency Loans comprising such Borrowing will not adequately and fairly reflect the cost to any Lender of making or maintaining its Eurocurrency Loan, during such Interest Period, then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shall, as soon as practicable thereafter, give written, fax or electronic communication (e-mail) (or telephone notice promptly confirmed by a written, fax or electronic communication (e-mail)) notice of such determination to </w:t>
      </w:r>
      <w:r>
        <w:rPr>
          <w:rFonts w:ascii="Arial" w:cs="Arial" w:eastAsia="Arial" w:hAnsi="Arial"/>
          <w:sz w:val="17"/>
          <w:szCs w:val="17"/>
          <w:b w:val="1"/>
          <w:bCs w:val="1"/>
          <w:color w:val="auto"/>
          <w:strike w:val="1"/>
        </w:rPr>
        <w:t>the Borrowers and the Lenders</w:t>
      </w:r>
      <w:r>
        <w:rPr>
          <w:rFonts w:ascii="Arial" w:cs="Arial" w:eastAsia="Arial" w:hAnsi="Arial"/>
          <w:sz w:val="17"/>
          <w:szCs w:val="17"/>
          <w:b w:val="1"/>
          <w:bCs w:val="1"/>
          <w:u w:val="single" w:color="auto"/>
          <w:color w:val="auto"/>
        </w:rPr>
        <w:t>each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Applicable Borrower and each Applicable Lender</w:t>
      </w:r>
      <w:r>
        <w:rPr>
          <w:rFonts w:ascii="Arial" w:cs="Arial" w:eastAsia="Arial" w:hAnsi="Arial"/>
          <w:sz w:val="17"/>
          <w:szCs w:val="17"/>
          <w:color w:val="auto"/>
        </w:rPr>
        <w:t>. In the event of any such determination, until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shall have advised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Borrowers and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Lenders that the circumstances giving rise to such notice no longer exist, any request by </w:t>
      </w:r>
      <w:r>
        <w:rPr>
          <w:rFonts w:ascii="Arial" w:cs="Arial" w:eastAsia="Arial" w:hAnsi="Arial"/>
          <w:sz w:val="17"/>
          <w:szCs w:val="17"/>
          <w:b w:val="1"/>
          <w:bCs w:val="1"/>
          <w:color w:val="auto"/>
          <w:strike w:val="1"/>
        </w:rPr>
        <w:t>a</w:t>
      </w:r>
      <w:r>
        <w:rPr>
          <w:rFonts w:ascii="Arial" w:cs="Arial" w:eastAsia="Arial" w:hAnsi="Arial"/>
          <w:sz w:val="17"/>
          <w:szCs w:val="17"/>
          <w:b w:val="1"/>
          <w:bCs w:val="1"/>
          <w:u w:val="single" w:color="auto"/>
          <w:color w:val="auto"/>
        </w:rPr>
        <w:t>such</w:t>
      </w:r>
      <w:r>
        <w:rPr>
          <w:rFonts w:ascii="Arial" w:cs="Arial" w:eastAsia="Arial" w:hAnsi="Arial"/>
          <w:sz w:val="17"/>
          <w:szCs w:val="17"/>
          <w:color w:val="auto"/>
        </w:rPr>
        <w:t xml:space="preserve"> Borrower for a Eurocurrency Borrowing (other than a Eurocurrency Borrowing under the Australian Revolving Credit Facility) pursuant to Section 2.03 or 2.10 shall be deemed to be a request for an ABR Borrowing (or, in the case of a request by a Canadian Borrower, a U.S. Base Rate Borrowing). Each determination by the Administrative Agent hereunder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2.09 Termination and Reduction of Commitments</w:t>
      </w:r>
      <w:r>
        <w:rPr>
          <w:rFonts w:ascii="Arial" w:cs="Arial" w:eastAsia="Arial" w:hAnsi="Arial"/>
          <w:sz w:val="18"/>
          <w:szCs w:val="18"/>
          <w:color w:val="auto"/>
        </w:rPr>
        <w:t>. (a) The Revolving Commitments and the L/C Commitments shall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on the Maturity Date.</w:t>
      </w:r>
    </w:p>
    <w:p>
      <w:pPr>
        <w:spacing w:after="0" w:line="166" w:lineRule="exact"/>
        <w:rPr>
          <w:sz w:val="20"/>
          <w:szCs w:val="20"/>
          <w:color w:val="auto"/>
        </w:rPr>
      </w:pPr>
    </w:p>
    <w:p>
      <w:pPr>
        <w:ind w:firstLine="656"/>
        <w:spacing w:after="0" w:line="282" w:lineRule="auto"/>
        <w:tabs>
          <w:tab w:leader="none" w:pos="12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Commitments shall automatically terminate on the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immediately following the making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Loan on such date.</w:t>
      </w:r>
    </w:p>
    <w:p>
      <w:pPr>
        <w:spacing w:after="0" w:line="165" w:lineRule="exact"/>
        <w:rPr>
          <w:rFonts w:ascii="Arial" w:cs="Arial" w:eastAsia="Arial" w:hAnsi="Arial"/>
          <w:sz w:val="18"/>
          <w:szCs w:val="18"/>
          <w:color w:val="auto"/>
        </w:rPr>
      </w:pPr>
    </w:p>
    <w:p>
      <w:pPr>
        <w:jc w:val="both"/>
        <w:ind w:firstLine="656"/>
        <w:spacing w:after="0" w:line="279" w:lineRule="auto"/>
        <w:tabs>
          <w:tab w:leader="none" w:pos="11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a Canadian Borrower or the Australian Borrower, as the case may be, may at any time in whole permanently terminate, or from time to time in part permanently reduce, any Class of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partial reduction of any Class of Commitments shall be in an integral multiple of U.S.$1,000,000.</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2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Section 2.10 Conversion and Continuation of Borrowings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Borrowers shall have the right at any time upon prior irrevocable notice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Applicable Administrative Agent (a) not later than 1:00 p.m. (Standard Time) one Business Day before the proposed conversion, to convert any Eurocurrency Borrowing </w:t>
      </w:r>
      <w:r>
        <w:rPr>
          <w:rFonts w:ascii="Arial" w:cs="Arial" w:eastAsia="Arial" w:hAnsi="Arial"/>
          <w:sz w:val="16"/>
          <w:szCs w:val="16"/>
          <w:b w:val="1"/>
          <w:bCs w:val="1"/>
          <w:color w:val="auto"/>
          <w:strike w:val="1"/>
        </w:rPr>
        <w:t>into an ABR Borrowing</w:t>
      </w:r>
      <w:r>
        <w:rPr>
          <w:rFonts w:ascii="Arial" w:cs="Arial" w:eastAsia="Arial" w:hAnsi="Arial"/>
          <w:sz w:val="16"/>
          <w:szCs w:val="16"/>
          <w:color w:val="auto"/>
        </w:rPr>
        <w:t xml:space="preserve">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 </w:t>
      </w:r>
      <w:r>
        <w:rPr>
          <w:rFonts w:ascii="Arial" w:cs="Arial" w:eastAsia="Arial" w:hAnsi="Arial"/>
          <w:sz w:val="16"/>
          <w:szCs w:val="16"/>
          <w:b w:val="1"/>
          <w:bCs w:val="1"/>
          <w:color w:val="auto"/>
        </w:rPr>
        <w:t>or U.S. Term Loans, as applicable into an ABR Borrowing under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same Class of U.S. Revolving Commitments or U.S. Term Loans, as applicable</w:t>
      </w:r>
      <w:r>
        <w:rPr>
          <w:rFonts w:ascii="Arial" w:cs="Arial" w:eastAsia="Arial" w:hAnsi="Arial"/>
          <w:sz w:val="16"/>
          <w:szCs w:val="16"/>
          <w:color w:val="auto"/>
        </w:rPr>
        <w:t>, (b) not later than 1:00 p.m. (Standard Time) one Business Day before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proposed conversion </w:t>
      </w:r>
      <w:r>
        <w:rPr>
          <w:rFonts w:ascii="Arial" w:cs="Arial" w:eastAsia="Arial" w:hAnsi="Arial"/>
          <w:sz w:val="16"/>
          <w:szCs w:val="16"/>
          <w:b w:val="1"/>
          <w:bCs w:val="1"/>
          <w:color w:val="auto"/>
        </w:rPr>
        <w:t>to convert any U.S. Base Rate Borrowing under the Canadian Revolving Commitments or</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to convert any B/A Borrowing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 Canadian Prime Rate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 Class of Canadian Commitments</w:t>
      </w:r>
      <w:r>
        <w:rPr>
          <w:rFonts w:ascii="Arial" w:cs="Arial" w:eastAsia="Arial" w:hAnsi="Arial"/>
          <w:sz w:val="16"/>
          <w:szCs w:val="16"/>
          <w:color w:val="auto"/>
        </w:rPr>
        <w:t>, (c) not later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1:00 p.m. (Standard Time) three Business Days prior to conversion or continuation, to convert any ABR Borrowing </w:t>
      </w:r>
      <w:r>
        <w:rPr>
          <w:rFonts w:ascii="Arial" w:cs="Arial" w:eastAsia="Arial" w:hAnsi="Arial"/>
          <w:sz w:val="16"/>
          <w:szCs w:val="16"/>
          <w:b w:val="1"/>
          <w:bCs w:val="1"/>
          <w:u w:val="single" w:color="auto"/>
          <w:color w:val="auto"/>
        </w:rPr>
        <w:t>under a Class of U.S. Revolving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Commitments or U.S. Term Loans,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or U.S. Base Rate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a Class of Canadian Revolving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 Eurocurrency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Borrowing </w:t>
      </w:r>
      <w:r>
        <w:rPr>
          <w:rFonts w:ascii="Arial" w:cs="Arial" w:eastAsia="Arial" w:hAnsi="Arial"/>
          <w:sz w:val="16"/>
          <w:szCs w:val="16"/>
          <w:b w:val="1"/>
          <w:bCs w:val="1"/>
          <w:u w:val="single" w:color="auto"/>
          <w:color w:val="auto"/>
        </w:rPr>
        <w:t>under the same Class of Commitments</w:t>
      </w:r>
      <w:r>
        <w:rPr>
          <w:rFonts w:ascii="Arial" w:cs="Arial" w:eastAsia="Arial" w:hAnsi="Arial"/>
          <w:sz w:val="16"/>
          <w:szCs w:val="16"/>
          <w:color w:val="auto"/>
        </w:rPr>
        <w:t xml:space="preserve"> or to continue any Eurocurrency Borrowing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w:t>
      </w:r>
      <w:r>
        <w:rPr>
          <w:rFonts w:ascii="Arial" w:cs="Arial" w:eastAsia="Arial" w:hAnsi="Arial"/>
          <w:sz w:val="16"/>
          <w:szCs w:val="16"/>
          <w:b w:val="1"/>
          <w:bCs w:val="1"/>
          <w:u w:val="single" w:color="auto"/>
          <w:color w:val="auto"/>
        </w:rPr>
        <w:t>, U.S.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or Canadian Revolving Commitments as a Eurocurrency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 Class of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for an additional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-967105</wp:posOffset>
            </wp:positionV>
            <wp:extent cx="32073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-984250</wp:posOffset>
            </wp:positionV>
            <wp:extent cx="32054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5480" cy="8890"/>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-752475</wp:posOffset>
            </wp:positionV>
            <wp:extent cx="4578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8985" cy="8890"/>
                    </a:xfrm>
                    <a:prstGeom prst="rect">
                      <a:avLst/>
                    </a:prstGeom>
                    <a:noFill/>
                  </pic:spPr>
                </pic:pic>
              </a:graphicData>
            </a:graphic>
          </wp:anchor>
        </w:drawing>
      </w:r>
    </w:p>
    <w:p>
      <w:pPr>
        <w:jc w:val="both"/>
        <w:ind w:firstLine="8"/>
        <w:spacing w:after="0" w:line="287" w:lineRule="auto"/>
        <w:tabs>
          <w:tab w:leader="none" w:pos="2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not later than 3:00 p.m. (Sydney time) three Business Days prior to continuation, to continue any Eurocurrency Borrowing under the Australian Revolving Commitments as a Eurocurrency Borrowing </w:t>
      </w:r>
      <w:r>
        <w:rPr>
          <w:rFonts w:ascii="Arial" w:cs="Arial" w:eastAsia="Arial" w:hAnsi="Arial"/>
          <w:sz w:val="16"/>
          <w:szCs w:val="16"/>
          <w:b w:val="1"/>
          <w:bCs w:val="1"/>
          <w:u w:val="single" w:color="auto"/>
          <w:color w:val="auto"/>
        </w:rPr>
        <w:t>under the Australian Revolving Commitments</w:t>
      </w:r>
      <w:r>
        <w:rPr>
          <w:rFonts w:ascii="Arial" w:cs="Arial" w:eastAsia="Arial" w:hAnsi="Arial"/>
          <w:sz w:val="16"/>
          <w:szCs w:val="16"/>
          <w:color w:val="auto"/>
        </w:rPr>
        <w:t xml:space="preserve"> for an additional Interest Period, (e) not later than 1:00 p.m. (Standard Time) three Business Days prior to conversion, to convert the Interest Period with respect to any Eurocurrency Borrowing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 or </w:t>
      </w:r>
      <w:r>
        <w:rPr>
          <w:rFonts w:ascii="Arial" w:cs="Arial" w:eastAsia="Arial" w:hAnsi="Arial"/>
          <w:sz w:val="16"/>
          <w:szCs w:val="16"/>
          <w:b w:val="1"/>
          <w:bCs w:val="1"/>
          <w:u w:val="single" w:color="auto"/>
          <w:color w:val="auto"/>
        </w:rPr>
        <w:t>U.S. Term Loans, as applicable or</w:t>
      </w:r>
      <w:r>
        <w:rPr>
          <w:rFonts w:ascii="Arial" w:cs="Arial" w:eastAsia="Arial" w:hAnsi="Arial"/>
          <w:sz w:val="16"/>
          <w:szCs w:val="16"/>
          <w:color w:val="auto"/>
        </w:rPr>
        <w:t xml:space="preserve">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color w:val="auto"/>
        </w:rPr>
        <w:t xml:space="preserve"> to a B/A Borrowing </w:t>
      </w:r>
      <w:r>
        <w:rPr>
          <w:rFonts w:ascii="Arial" w:cs="Arial" w:eastAsia="Arial" w:hAnsi="Arial"/>
          <w:sz w:val="16"/>
          <w:szCs w:val="16"/>
          <w:b w:val="1"/>
          <w:bCs w:val="1"/>
          <w:u w:val="single" w:color="auto"/>
          <w:color w:val="auto"/>
        </w:rPr>
        <w:t>under the same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to continue any B/A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B/A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for an additional Contract Period, subject in each case to the following: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ind w:left="-540" w:firstLine="645"/>
        <w:spacing w:after="0" w:line="282"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conversion or continuation shall be made pro rata among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Lenders in accordance with the respective principal amounts of the Loans comprising the converted or continued Borrowing;</w:t>
      </w:r>
    </w:p>
    <w:p>
      <w:pPr>
        <w:spacing w:after="0" w:line="165" w:lineRule="exact"/>
        <w:rPr>
          <w:rFonts w:ascii="Arial" w:cs="Arial" w:eastAsia="Arial" w:hAnsi="Arial"/>
          <w:sz w:val="18"/>
          <w:szCs w:val="18"/>
          <w:color w:val="auto"/>
        </w:rPr>
      </w:pPr>
    </w:p>
    <w:p>
      <w:pPr>
        <w:jc w:val="both"/>
        <w:ind w:left="-540" w:firstLine="645"/>
        <w:spacing w:after="0" w:line="264" w:lineRule="auto"/>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w:t>
      </w:r>
    </w:p>
    <w:p>
      <w:pPr>
        <w:spacing w:after="0" w:line="177" w:lineRule="exact"/>
        <w:rPr>
          <w:rFonts w:ascii="Arial" w:cs="Arial" w:eastAsia="Arial" w:hAnsi="Arial"/>
          <w:sz w:val="18"/>
          <w:szCs w:val="18"/>
          <w:color w:val="auto"/>
        </w:rPr>
      </w:pPr>
    </w:p>
    <w:p>
      <w:pPr>
        <w:jc w:val="both"/>
        <w:ind w:left="-540" w:firstLine="645"/>
        <w:spacing w:after="0" w:line="261" w:lineRule="auto"/>
        <w:tabs>
          <w:tab w:leader="none" w:pos="6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conversion shall be effected by each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 and the Applicable Administrative Agent by recording for the account of such Lender the new Type and/or Interest Period or Contract Period for such Borrowing resulting from such conversion; accrued interest on any Eurocurrency Loan or BBSY Rate Loan (or, in each case, any portion thereof) being converted shall be paid by the Applicable Borrower at the time of conversion;</w:t>
      </w:r>
    </w:p>
    <w:p>
      <w:pPr>
        <w:spacing w:after="0" w:line="184" w:lineRule="exact"/>
        <w:rPr>
          <w:rFonts w:ascii="Arial" w:cs="Arial" w:eastAsia="Arial" w:hAnsi="Arial"/>
          <w:sz w:val="18"/>
          <w:szCs w:val="18"/>
          <w:color w:val="auto"/>
        </w:rPr>
      </w:pPr>
    </w:p>
    <w:p>
      <w:pPr>
        <w:jc w:val="both"/>
        <w:ind w:left="-540" w:firstLine="645"/>
        <w:spacing w:after="0" w:line="264" w:lineRule="auto"/>
        <w:tabs>
          <w:tab w:leader="none" w:pos="6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any Eurocurrency Borrowing, BBSY Rate Borrowing or B/A Borrowing is converted at a time other than the end of the Interest Period or Contract Period applicable thereto, the Applicable Borrower shall pay, upon demand, any amounts due to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Lenders pursuant to Section 2.15;</w:t>
      </w:r>
    </w:p>
    <w:p>
      <w:pPr>
        <w:spacing w:after="0" w:line="181" w:lineRule="exact"/>
        <w:rPr>
          <w:rFonts w:ascii="Arial" w:cs="Arial" w:eastAsia="Arial" w:hAnsi="Arial"/>
          <w:sz w:val="18"/>
          <w:szCs w:val="18"/>
          <w:color w:val="auto"/>
        </w:rPr>
      </w:pPr>
    </w:p>
    <w:p>
      <w:pPr>
        <w:ind w:left="-540" w:firstLine="645"/>
        <w:spacing w:after="0" w:line="277" w:lineRule="auto"/>
        <w:tabs>
          <w:tab w:leader="none" w:pos="6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portion of a Borrowing maturing or required to be repaid in less than one month may not be converted into or continued as a Eurocurrency Borrowing, a BBSY Rate Borrowing or a B/A Borrowing;</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6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portion of a Eurocurrency Borrowing (other than a Eurocurrency Borrowing under the Australian Revolving Credit Facility) or a B/A Borrowing that cannot be converted into or continued as a Eurocurrency Borrowing or a B/A Borrowing by reason of the immediately preceding clause shall be automatically converted at the end of the Interest Period or Contract Period in effect for such Borrowing into an ABR Borrowing, a U.S. Base Rate Borrowing or a Canadian Prime Rate Borrowing, as the case may be;</w:t>
      </w:r>
    </w:p>
    <w:p>
      <w:pPr>
        <w:spacing w:after="0" w:line="182" w:lineRule="exact"/>
        <w:rPr>
          <w:rFonts w:ascii="Arial" w:cs="Arial" w:eastAsia="Arial" w:hAnsi="Arial"/>
          <w:sz w:val="18"/>
          <w:szCs w:val="18"/>
          <w:color w:val="auto"/>
        </w:rPr>
      </w:pPr>
    </w:p>
    <w:p>
      <w:pPr>
        <w:jc w:val="both"/>
        <w:ind w:left="-540" w:firstLine="645"/>
        <w:spacing w:after="0" w:line="314" w:lineRule="auto"/>
        <w:tabs>
          <w:tab w:leader="none" w:pos="7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upon notice to </w:t>
      </w:r>
      <w:r>
        <w:rPr>
          <w:rFonts w:ascii="Arial" w:cs="Arial" w:eastAsia="Arial" w:hAnsi="Arial"/>
          <w:sz w:val="16"/>
          <w:szCs w:val="16"/>
          <w:b w:val="1"/>
          <w:bCs w:val="1"/>
          <w:color w:val="auto"/>
          <w:strike w:val="1"/>
        </w:rPr>
        <w:t>the Borrowers</w:t>
      </w:r>
      <w:r>
        <w:rPr>
          <w:rFonts w:ascii="Arial" w:cs="Arial" w:eastAsia="Arial" w:hAnsi="Arial"/>
          <w:sz w:val="16"/>
          <w:szCs w:val="16"/>
          <w:b w:val="1"/>
          <w:bCs w:val="1"/>
          <w:u w:val="single" w:color="auto"/>
          <w:color w:val="auto"/>
        </w:rPr>
        <w:t>each Applicable Borrower</w:t>
      </w:r>
      <w:r>
        <w:rPr>
          <w:rFonts w:ascii="Arial" w:cs="Arial" w:eastAsia="Arial" w:hAnsi="Arial"/>
          <w:sz w:val="16"/>
          <w:szCs w:val="16"/>
          <w:color w:val="auto"/>
        </w:rPr>
        <w:t xml:space="preserve"> from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given at the request of the Applicable Required Lenders after the occurrence and during the continuance of a Default or Event of Default, no outstanding Loan </w:t>
      </w:r>
      <w:r>
        <w:rPr>
          <w:rFonts w:ascii="Arial" w:cs="Arial" w:eastAsia="Arial" w:hAnsi="Arial"/>
          <w:sz w:val="16"/>
          <w:szCs w:val="16"/>
          <w:b w:val="1"/>
          <w:bCs w:val="1"/>
          <w:u w:val="single" w:color="auto"/>
          <w:color w:val="auto"/>
        </w:rPr>
        <w:t>owing to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Lenders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converted into, or continued as, a Eurocurrency Loan, a BBSY Rate Loan or a B/A Loan,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respectively</w:t>
      </w:r>
      <w:r>
        <w:rPr>
          <w:rFonts w:ascii="Arial" w:cs="Arial" w:eastAsia="Arial" w:hAnsi="Arial"/>
          <w:sz w:val="16"/>
          <w:szCs w:val="16"/>
          <w:b w:val="1"/>
          <w:bCs w:val="1"/>
          <w:u w:val="single" w:color="auto"/>
          <w:color w:val="auto"/>
        </w:rPr>
        <w:t>as applicable</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14" w:name="page115"/>
    <w:bookmarkEnd w:id="114"/>
    <w:p>
      <w:pPr>
        <w:ind w:left="1880" w:hanging="575"/>
        <w:spacing w:after="0"/>
        <w:tabs>
          <w:tab w:leader="none" w:pos="1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anything to the contrary herein, a Swing Line Loan may not be converted to a Eurocurrency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notice pursuant to this Section 2.10 shall be irrevocable, shall be hand delivered, faxed or sent by electronic communication (e-mail) (or by telephone notice promptly confirmed by a written, fax or electronic communication (e-mail)) and shall refer to this Agreement and specify (i) the identity and amount of the Borrowing that the Applicable Borrower requests be converted or continued, (ii) whether such Borrowing is to be converted to or continued as a Eurocurrency Borrowing, an ABR Borrowing, a B/A Borrowing, a U.S. Base Rate Borrowing</w:t>
      </w:r>
      <w:r>
        <w:rPr>
          <w:rFonts w:ascii="Arial" w:cs="Arial" w:eastAsia="Arial" w:hAnsi="Arial"/>
          <w:sz w:val="16"/>
          <w:szCs w:val="16"/>
          <w:b w:val="1"/>
          <w:bCs w:val="1"/>
          <w:color w:val="auto"/>
          <w:strike w:val="1"/>
        </w:rPr>
        <w: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a Canadian Prime Rate Borrowing or a BBSY Rate Borrowing, (iii) if such notice requests a conversion, the date of such conversion (which shall be a Business Day) and (iv) if such Borrowing is to be converted to or continued as a Eurocurrency Borrowing, a BBSY Rate Borrowing or a B/A Borrowing, the Interest Period or Contract Period with respect thereto. If no Interest Period or Contract Period is specified in any such notice with respect to any conversion to or continuation as a Eurocurrency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 Borrowing (other than a Eurocurrency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2.11 Optional Prepayment</w:t>
      </w:r>
      <w:r>
        <w:rPr>
          <w:rFonts w:ascii="Arial" w:cs="Arial" w:eastAsia="Arial" w:hAnsi="Arial"/>
          <w:sz w:val="16"/>
          <w:szCs w:val="16"/>
          <w:color w:val="auto"/>
        </w:rPr>
        <w:t>. (a) Each Borrower shall have the right at any time and from time to time to prepay any Borrowing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Bankers’ Acceptances or B/A Equivalent Loans, which may, however, be defeased as provided below),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Eurocurrency Borrowing or a BBSY Rate Borrowing, (ii) 1:00 p.m. (Standard Time) on the date designated for such prepayment in the case of any prepayment of an ABR Borrowing under the U.S. </w:t>
      </w:r>
      <w:r>
        <w:rPr>
          <w:rFonts w:ascii="Arial" w:cs="Arial" w:eastAsia="Arial" w:hAnsi="Arial"/>
          <w:sz w:val="16"/>
          <w:szCs w:val="16"/>
          <w:b w:val="1"/>
          <w:bCs w:val="1"/>
          <w:u w:val="single" w:color="auto"/>
          <w:color w:val="auto"/>
        </w:rPr>
        <w:t>Revolving</w:t>
      </w:r>
      <w:r>
        <w:rPr>
          <w:rFonts w:ascii="Arial" w:cs="Arial" w:eastAsia="Arial" w:hAnsi="Arial"/>
          <w:sz w:val="16"/>
          <w:szCs w:val="16"/>
          <w:color w:val="auto"/>
        </w:rPr>
        <w:t xml:space="preserve"> Commitments </w:t>
      </w:r>
      <w:r>
        <w:rPr>
          <w:rFonts w:ascii="Arial" w:cs="Arial" w:eastAsia="Arial" w:hAnsi="Arial"/>
          <w:sz w:val="16"/>
          <w:szCs w:val="16"/>
          <w:b w:val="1"/>
          <w:bCs w:val="1"/>
          <w:color w:val="auto"/>
        </w:rPr>
        <w:t>or U.S. Term Loans</w:t>
      </w:r>
      <w:r>
        <w:rPr>
          <w:rFonts w:ascii="Arial" w:cs="Arial" w:eastAsia="Arial" w:hAnsi="Arial"/>
          <w:sz w:val="16"/>
          <w:szCs w:val="16"/>
          <w:color w:val="auto"/>
        </w:rPr>
        <w:t xml:space="preserve">, or (iii) 1:00 p.m. (Standard Time) one Business Day prior to the date designated for such prepayment, in the case of a U.S. Base Rate Borrowing or a Canadian Prime Rate Borrowing under the Canadian Revolving Commitments </w:t>
      </w:r>
      <w:r>
        <w:rPr>
          <w:rFonts w:ascii="Arial" w:cs="Arial" w:eastAsia="Arial" w:hAnsi="Arial"/>
          <w:sz w:val="16"/>
          <w:szCs w:val="16"/>
          <w:b w:val="1"/>
          <w:bCs w:val="1"/>
          <w:color w:val="auto"/>
        </w:rPr>
        <w:t>or Canadian Term Loans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partial prepayment shall be in an amount that is a minimum amount of U.S.$500,000 or an integral multiple of U.S.$100,000 in excess thereof (or C$500,000 and C$100,000, respectively, in the case of Borrowings denominated in Canadian dollars </w:t>
      </w:r>
      <w:r>
        <w:rPr>
          <w:rFonts w:ascii="Arial" w:cs="Arial" w:eastAsia="Arial" w:hAnsi="Arial"/>
          <w:sz w:val="16"/>
          <w:szCs w:val="16"/>
          <w:b w:val="1"/>
          <w:bCs w:val="1"/>
          <w:color w:val="auto"/>
        </w:rPr>
        <w:t>or AUD$500,000 and AUD$100,000, respectively, in the case of Borrowings denominated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Australian dollars</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Canadian Borrowers may defease any B/A or B/A Equivalent Loan by depositing with the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 amount that, together with interest accruing on such amount to the end of the Contract Period for such B/A or B/A Equivalent Loan, is sufficient to pay such maturing Bankers’ Acceptances or B/A Equivalent Loans when due. The Applicable Administrative Agent shall promptly advise the Applicable Lenders of any notice given pursuant to this Section 2.11 and of each Lender’s portion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-1124585</wp:posOffset>
            </wp:positionV>
            <wp:extent cx="10121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-1141730</wp:posOffset>
            </wp:positionV>
            <wp:extent cx="10121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-850265</wp:posOffset>
            </wp:positionV>
            <wp:extent cx="1277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-867410</wp:posOffset>
            </wp:positionV>
            <wp:extent cx="1276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-575945</wp:posOffset>
            </wp:positionV>
            <wp:extent cx="45021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02150" cy="889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-593090</wp:posOffset>
            </wp:positionV>
            <wp:extent cx="45027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0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jc w:val="both"/>
        <w:ind w:firstLine="656"/>
        <w:spacing w:after="0" w:line="259" w:lineRule="auto"/>
        <w:tabs>
          <w:tab w:leader="none" w:pos="11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223" w:lineRule="exact"/>
        <w:rPr>
          <w:rFonts w:ascii="Arial" w:cs="Arial" w:eastAsia="Arial" w:hAnsi="Arial"/>
          <w:sz w:val="18"/>
          <w:szCs w:val="18"/>
          <w:color w:val="auto"/>
        </w:rPr>
      </w:pPr>
    </w:p>
    <w:p>
      <w:pPr>
        <w:jc w:val="both"/>
        <w:ind w:firstLine="656"/>
        <w:spacing w:after="0" w:line="248" w:lineRule="auto"/>
        <w:tabs>
          <w:tab w:leader="none" w:pos="1172" w:val="left"/>
        </w:tabs>
        <w:numPr>
          <w:ilvl w:val="0"/>
          <w:numId w:val="46"/>
        </w:numPr>
        <w:rPr>
          <w:rFonts w:ascii="Arial" w:cs="Arial" w:eastAsia="Arial" w:hAnsi="Arial"/>
          <w:sz w:val="22"/>
          <w:szCs w:val="22"/>
          <w:color w:val="auto"/>
        </w:rPr>
      </w:pP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Borrower may, upon notice to the Canadian Swing Line Lender (with a copy to the Canadian Administrative Agent),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or from time to time, voluntarily prepay Canadian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94" w:lineRule="exact"/>
        <w:rPr>
          <w:rFonts w:ascii="Arial" w:cs="Arial" w:eastAsia="Arial" w:hAnsi="Arial"/>
          <w:sz w:val="22"/>
          <w:szCs w:val="22"/>
          <w:color w:val="auto"/>
        </w:rPr>
      </w:pPr>
    </w:p>
    <w:p>
      <w:pPr>
        <w:jc w:val="both"/>
        <w:ind w:firstLine="656"/>
        <w:spacing w:after="0" w:line="257"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U.S. Term Loans </w:t>
      </w:r>
      <w:r>
        <w:rPr>
          <w:rFonts w:ascii="Arial" w:cs="Arial" w:eastAsia="Arial" w:hAnsi="Arial"/>
          <w:sz w:val="18"/>
          <w:szCs w:val="18"/>
          <w:b w:val="1"/>
          <w:bCs w:val="1"/>
          <w:color w:val="auto"/>
        </w:rPr>
        <w:t>or Canadian Term Loans</w:t>
      </w:r>
      <w:r>
        <w:rPr>
          <w:rFonts w:ascii="Arial" w:cs="Arial" w:eastAsia="Arial" w:hAnsi="Arial"/>
          <w:sz w:val="18"/>
          <w:szCs w:val="18"/>
          <w:color w:val="auto"/>
        </w:rPr>
        <w:t xml:space="preserve">, pursuant to this Section 2.11 shall be applied to the principal repayment installments thereof in </w:t>
      </w:r>
      <w:r>
        <w:rPr>
          <w:rFonts w:ascii="Arial" w:cs="Arial" w:eastAsia="Arial" w:hAnsi="Arial"/>
          <w:sz w:val="18"/>
          <w:szCs w:val="18"/>
          <w:b w:val="1"/>
          <w:bCs w:val="1"/>
          <w:color w:val="auto"/>
          <w:strike w:val="1"/>
        </w:rPr>
        <w:t>inverse</w:t>
      </w:r>
      <w:r>
        <w:rPr>
          <w:rFonts w:ascii="Arial" w:cs="Arial" w:eastAsia="Arial" w:hAnsi="Arial"/>
          <w:sz w:val="18"/>
          <w:szCs w:val="18"/>
          <w:b w:val="1"/>
          <w:bCs w:val="1"/>
          <w:u w:val="single" w:color="auto"/>
          <w:color w:val="auto"/>
        </w:rPr>
        <w:t>direct</w:t>
      </w:r>
      <w:r>
        <w:rPr>
          <w:rFonts w:ascii="Arial" w:cs="Arial" w:eastAsia="Arial" w:hAnsi="Arial"/>
          <w:sz w:val="18"/>
          <w:szCs w:val="18"/>
          <w:color w:val="auto"/>
        </w:rPr>
        <w:t xml:space="preserve"> order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-153670</wp:posOffset>
            </wp:positionV>
            <wp:extent cx="1294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-170815</wp:posOffset>
            </wp:positionV>
            <wp:extent cx="13023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2.12 Mandatory Prepayments</w:t>
      </w:r>
      <w:r>
        <w:rPr>
          <w:rFonts w:ascii="Arial" w:cs="Arial" w:eastAsia="Arial" w:hAnsi="Arial"/>
          <w:sz w:val="17"/>
          <w:szCs w:val="17"/>
          <w:color w:val="auto"/>
        </w:rPr>
        <w:t>. (a) In the event of any termination of all the U.S. Revolving Commitments, Canadian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Revolving Commitments, 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Commitments or Australian Revolving Commitments,</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each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Borrower shall,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date of such termination, repay or prepay all its outstanding U.S. Revolving Credit Loans, Canadian </w:t>
      </w:r>
      <w:r>
        <w:rPr>
          <w:rFonts w:ascii="Arial" w:cs="Arial" w:eastAsia="Arial" w:hAnsi="Arial"/>
          <w:sz w:val="17"/>
          <w:szCs w:val="17"/>
          <w:b w:val="1"/>
          <w:bCs w:val="1"/>
          <w:u w:val="single" w:color="auto"/>
          <w:color w:val="auto"/>
        </w:rPr>
        <w:t>Tranche A Revolving Credit Loans, Canadian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Loans or Australian Revolving Credit Loans, as applicable, and replace all outstanding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U.S.</w:t>
      </w:r>
      <w:r>
        <w:rPr>
          <w:rFonts w:ascii="Arial" w:cs="Arial" w:eastAsia="Arial" w:hAnsi="Arial"/>
          <w:sz w:val="17"/>
          <w:szCs w:val="17"/>
          <w:b w:val="1"/>
          <w:bCs w:val="1"/>
          <w:color w:val="auto"/>
        </w:rPr>
        <w:t xml:space="preserve"> </w:t>
      </w:r>
      <w:r>
        <w:rPr>
          <w:rFonts w:ascii="Arial" w:cs="Arial" w:eastAsia="Arial" w:hAnsi="Arial"/>
          <w:sz w:val="17"/>
          <w:szCs w:val="17"/>
          <w:color w:val="auto"/>
        </w:rPr>
        <w:t>Letters of Credit</w:t>
      </w:r>
      <w:r>
        <w:rPr>
          <w:rFonts w:ascii="Arial" w:cs="Arial" w:eastAsia="Arial" w:hAnsi="Arial"/>
          <w:sz w:val="17"/>
          <w:szCs w:val="17"/>
          <w:b w:val="1"/>
          <w:bCs w:val="1"/>
          <w:u w:val="single" w:color="auto"/>
          <w:color w:val="auto"/>
        </w:rPr>
        <w:t>, Canadian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Letters of Credit or Australian Letters of Credit,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and/or deposit an amount equal to the sum of the U.S. L/C Exposure, the Canadian 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Exposure or the Australian L/C Exposure, as applicable, in cash in a cash collateral account established with the U.S. Collateral Agent for the benefit of the U.S. Secured Parties, the Canadian Collateral Agent for the benefit of the Canadian Secured Parties or the Australian Collateral Agent for the benefit of the Australian Secured Parties. In the event of any partial reduction of the U.S. Revolving Commitments, the Canadian </w:t>
      </w:r>
      <w:r>
        <w:rPr>
          <w:rFonts w:ascii="Arial" w:cs="Arial" w:eastAsia="Arial" w:hAnsi="Arial"/>
          <w:sz w:val="17"/>
          <w:szCs w:val="17"/>
          <w:b w:val="1"/>
          <w:bCs w:val="1"/>
          <w:u w:val="single" w:color="auto"/>
          <w:color w:val="auto"/>
        </w:rPr>
        <w:t>Tranche A Revolving Commitments,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Commitments or the Australian Revolving Commitments, then (i) at or prior to the effective date of such reduction,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Administrative Agent shall notify </w:t>
      </w:r>
      <w:r>
        <w:rPr>
          <w:rFonts w:ascii="Arial" w:cs="Arial" w:eastAsia="Arial" w:hAnsi="Arial"/>
          <w:sz w:val="17"/>
          <w:szCs w:val="17"/>
          <w:b w:val="1"/>
          <w:bCs w:val="1"/>
          <w:u w:val="single" w:color="auto"/>
          <w:color w:val="auto"/>
        </w:rPr>
        <w:t>each of</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Borrowers and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Lenders of the aggregate U.S. Revolving Credit Exposure, the aggregate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w:t>
      </w:r>
      <w:r>
        <w:rPr>
          <w:rFonts w:ascii="Arial" w:cs="Arial" w:eastAsia="Arial" w:hAnsi="Arial"/>
          <w:sz w:val="17"/>
          <w:szCs w:val="17"/>
          <w:b w:val="1"/>
          <w:bCs w:val="1"/>
          <w:u w:val="single" w:color="auto"/>
          <w:color w:val="auto"/>
        </w:rPr>
        <w:t>Exposure, the aggregate Canadian Tranche B Revolving Credit</w:t>
      </w:r>
      <w:r>
        <w:rPr>
          <w:rFonts w:ascii="Arial" w:cs="Arial" w:eastAsia="Arial" w:hAnsi="Arial"/>
          <w:sz w:val="17"/>
          <w:szCs w:val="17"/>
          <w:color w:val="auto"/>
        </w:rPr>
        <w:t xml:space="preserve"> Exposure or the aggregate Australian Revolving Credit Exposure, as the case may be, after giving effect thereto, and (ii) if the aggregate U.S. Revolving Credit Exposure, the aggregate Canadian </w:t>
      </w:r>
      <w:r>
        <w:rPr>
          <w:rFonts w:ascii="Arial" w:cs="Arial" w:eastAsia="Arial" w:hAnsi="Arial"/>
          <w:sz w:val="17"/>
          <w:szCs w:val="17"/>
          <w:b w:val="1"/>
          <w:bCs w:val="1"/>
          <w:u w:val="single" w:color="auto"/>
          <w:color w:val="auto"/>
        </w:rPr>
        <w:t>Tranche A Revolving Credit Exposure, the aggregate Canadian Tranche B</w:t>
      </w:r>
      <w:r>
        <w:rPr>
          <w:rFonts w:ascii="Arial" w:cs="Arial" w:eastAsia="Arial" w:hAnsi="Arial"/>
          <w:sz w:val="17"/>
          <w:szCs w:val="17"/>
          <w:color w:val="auto"/>
        </w:rPr>
        <w:t xml:space="preserve"> Revolving Credit Exposure or the Australian Revolving Credit Exposure, as the case may be, would exceed the Total U.S. Revolving Commitment, Total Canadian </w:t>
      </w:r>
      <w:r>
        <w:rPr>
          <w:rFonts w:ascii="Arial" w:cs="Arial" w:eastAsia="Arial" w:hAnsi="Arial"/>
          <w:sz w:val="17"/>
          <w:szCs w:val="17"/>
          <w:b w:val="1"/>
          <w:bCs w:val="1"/>
          <w:u w:val="single" w:color="auto"/>
          <w:color w:val="auto"/>
        </w:rPr>
        <w:t>Tranche A Revolving Commitment, Total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 or Total Australian Revolving Commitment, respectively, after giving effect to such reduction, then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the Canadian Borrowers</w:t>
      </w:r>
      <w:r>
        <w:rPr>
          <w:rFonts w:ascii="Arial" w:cs="Arial" w:eastAsia="Arial" w:hAnsi="Arial"/>
          <w:sz w:val="17"/>
          <w:szCs w:val="17"/>
          <w:b w:val="1"/>
          <w:bCs w:val="1"/>
          <w:u w:val="single" w:color="auto"/>
          <w:color w:val="auto"/>
        </w:rPr>
        <w:t>, the Parent Borrower</w:t>
      </w:r>
      <w:r>
        <w:rPr>
          <w:rFonts w:ascii="Arial" w:cs="Arial" w:eastAsia="Arial" w:hAnsi="Arial"/>
          <w:sz w:val="17"/>
          <w:szCs w:val="17"/>
          <w:color w:val="auto"/>
        </w:rPr>
        <w:t xml:space="preserve"> or the Australian Borrower, as the case may be, shall, on the date of such reduction, repay or prepay </w:t>
      </w:r>
      <w:r>
        <w:rPr>
          <w:rFonts w:ascii="Arial" w:cs="Arial" w:eastAsia="Arial" w:hAnsi="Arial"/>
          <w:sz w:val="17"/>
          <w:szCs w:val="17"/>
          <w:b w:val="1"/>
          <w:bCs w:val="1"/>
          <w:color w:val="auto"/>
          <w:strike w:val="1"/>
        </w:rPr>
        <w:t>Revolving</w:t>
      </w:r>
      <w:r>
        <w:rPr>
          <w:rFonts w:ascii="Arial" w:cs="Arial" w:eastAsia="Arial" w:hAnsi="Arial"/>
          <w:sz w:val="17"/>
          <w:szCs w:val="17"/>
          <w:color w:val="auto"/>
        </w:rPr>
        <w:t xml:space="preserve"> Borrowings </w:t>
      </w:r>
      <w:r>
        <w:rPr>
          <w:rFonts w:ascii="Arial" w:cs="Arial" w:eastAsia="Arial" w:hAnsi="Arial"/>
          <w:sz w:val="17"/>
          <w:szCs w:val="17"/>
          <w:b w:val="1"/>
          <w:bCs w:val="1"/>
          <w:u w:val="single" w:color="auto"/>
          <w:color w:val="auto"/>
        </w:rPr>
        <w:t>of Revolving Credit Loans</w:t>
      </w:r>
      <w:r>
        <w:rPr>
          <w:rFonts w:ascii="Arial" w:cs="Arial" w:eastAsia="Arial" w:hAnsi="Arial"/>
          <w:sz w:val="17"/>
          <w:szCs w:val="17"/>
          <w:color w:val="auto"/>
        </w:rPr>
        <w:t xml:space="preserve"> (or defease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Exposure exceeds the Total Canadian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 then within two Business Days following such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Canadian Borrowers shall</w:t>
      </w:r>
      <w:r>
        <w:rPr>
          <w:rFonts w:ascii="Arial" w:cs="Arial" w:eastAsia="Arial" w:hAnsi="Arial"/>
          <w:sz w:val="17"/>
          <w:szCs w:val="17"/>
          <w:b w:val="1"/>
          <w:bCs w:val="1"/>
          <w:u w:val="single" w:color="auto"/>
          <w:color w:val="auto"/>
        </w:rPr>
        <w:t>, jointly and severally,</w:t>
      </w:r>
      <w:r>
        <w:rPr>
          <w:rFonts w:ascii="Arial" w:cs="Arial" w:eastAsia="Arial" w:hAnsi="Arial"/>
          <w:sz w:val="17"/>
          <w:szCs w:val="17"/>
          <w:color w:val="auto"/>
        </w:rPr>
        <w:t xml:space="preserve"> repay or prepay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Borrowings (or defease B/A Borrowings as described in Section 2.11(a)) and/or replace or cash collateralize outstanding Canadian Letters of Credit </w:t>
      </w:r>
      <w:r>
        <w:rPr>
          <w:rFonts w:ascii="Arial" w:cs="Arial" w:eastAsia="Arial" w:hAnsi="Arial"/>
          <w:sz w:val="17"/>
          <w:szCs w:val="17"/>
          <w:b w:val="1"/>
          <w:bCs w:val="1"/>
          <w:u w:val="single" w:color="auto"/>
          <w:color w:val="auto"/>
        </w:rPr>
        <w:t>in an amount sufficient to eliminate such excess. If on 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date, the aggregate Canadian Tranche B Revolving Credit Exposure exceeds the Total Canadian Tranche B Revolving Commitment, then within two Business Days following such date, the Parent Borrower shall repay or prepay Canadian Tranche B Revolving Borrowings (or defease B/A Borrowings as described in Section 2.11(a))</w:t>
      </w:r>
      <w:r>
        <w:rPr>
          <w:rFonts w:ascii="Arial" w:cs="Arial" w:eastAsia="Arial" w:hAnsi="Arial"/>
          <w:sz w:val="17"/>
          <w:szCs w:val="17"/>
          <w:b w:val="1"/>
          <w:bCs w:val="1"/>
          <w:color w:val="auto"/>
        </w:rPr>
        <w:t xml:space="preserve"> </w:t>
      </w:r>
      <w:r>
        <w:rPr>
          <w:rFonts w:ascii="Arial" w:cs="Arial" w:eastAsia="Arial" w:hAnsi="Arial"/>
          <w:sz w:val="17"/>
          <w:szCs w:val="17"/>
          <w:color w:val="auto"/>
        </w:rPr>
        <w:t>in an amount sufficient to eliminate such excess. If on any date, the aggregate Australian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Exposure exceeds the Total Australian Revolving Commitment, then within two Business Days following such date, the Australian Borrower shall repay or prepay Australian Revolving Borrowings and/or replace or cash collateralize outstanding Australian Letters of Credit in an amount sufficient to eliminate such excess.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jc w:val="both"/>
        <w:ind w:left="-20" w:firstLine="656"/>
        <w:spacing w:after="0" w:line="290"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on any date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shall receive Net Cash Proceeds from any Asset Sale and the aggregate amount of all such Net Cash Proceeds received since the later of the Closing Date and the date on which the last prepayment under this Section 2.12(b) was made exceeds $5,000,000, the </w:t>
      </w:r>
      <w:r>
        <w:rPr>
          <w:rFonts w:ascii="Arial" w:cs="Arial" w:eastAsia="Arial" w:hAnsi="Arial"/>
          <w:sz w:val="16"/>
          <w:szCs w:val="16"/>
          <w:b w:val="1"/>
          <w:bCs w:val="1"/>
          <w:color w:val="auto"/>
          <w:strike w:val="1"/>
        </w:rPr>
        <w:t>U.S.</w:t>
      </w:r>
      <w:r>
        <w:rPr>
          <w:rFonts w:ascii="Arial" w:cs="Arial" w:eastAsia="Arial" w:hAnsi="Arial"/>
          <w:sz w:val="16"/>
          <w:szCs w:val="16"/>
          <w:color w:val="auto"/>
        </w:rPr>
        <w:t xml:space="preserve"> Term Loans shall be prepaid </w:t>
      </w:r>
      <w:r>
        <w:rPr>
          <w:rFonts w:ascii="Arial" w:cs="Arial" w:eastAsia="Arial" w:hAnsi="Arial"/>
          <w:sz w:val="16"/>
          <w:szCs w:val="16"/>
          <w:b w:val="1"/>
          <w:bCs w:val="1"/>
          <w:color w:val="auto"/>
        </w:rPr>
        <w:t>on a pro rata basis</w:t>
      </w:r>
      <w:r>
        <w:rPr>
          <w:rFonts w:ascii="Arial" w:cs="Arial" w:eastAsia="Arial" w:hAnsi="Arial"/>
          <w:sz w:val="16"/>
          <w:szCs w:val="16"/>
          <w:color w:val="auto"/>
        </w:rPr>
        <w:t xml:space="preserve">, on or before the date which is not more than five (5) Business Days following the date of receipt of such Net Cash Proceeds by an amount equal to 100% of the amount of such Net Cash Proceeds;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prepayment shall be required under this Section 2.12(b) to the extent that, if no Event of Default has occurred and is then continuing,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delivers a certificate to the Administrative Agent prior to the date of any such required prepayment stating that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such Subsidiary intends to reinvest such Net Cash Proceeds in assets used or useful in the business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within twelve months after receipt of such Net Cash Proceeds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such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any Net Cash Proceeds not so reinvested within such twelve month period shall be immediately applied to the prepayment of the </w:t>
      </w:r>
      <w:r>
        <w:rPr>
          <w:rFonts w:ascii="Arial" w:cs="Arial" w:eastAsia="Arial" w:hAnsi="Arial"/>
          <w:sz w:val="16"/>
          <w:szCs w:val="16"/>
          <w:b w:val="1"/>
          <w:bCs w:val="1"/>
          <w:color w:val="auto"/>
          <w:strike w:val="1"/>
        </w:rPr>
        <w:t>U.S.</w:t>
      </w:r>
      <w:r>
        <w:rPr>
          <w:rFonts w:ascii="Arial" w:cs="Arial" w:eastAsia="Arial" w:hAnsi="Arial"/>
          <w:sz w:val="16"/>
          <w:szCs w:val="16"/>
          <w:color w:val="auto"/>
        </w:rPr>
        <w:t xml:space="preserve"> Term Loans </w:t>
      </w:r>
      <w:r>
        <w:rPr>
          <w:rFonts w:ascii="Arial" w:cs="Arial" w:eastAsia="Arial" w:hAnsi="Arial"/>
          <w:sz w:val="16"/>
          <w:szCs w:val="16"/>
          <w:b w:val="1"/>
          <w:bCs w:val="1"/>
          <w:u w:val="single" w:color="auto"/>
          <w:color w:val="auto"/>
        </w:rPr>
        <w:t>on a pro rata basis</w:t>
      </w:r>
      <w:r>
        <w:rPr>
          <w:rFonts w:ascii="Arial" w:cs="Arial" w:eastAsia="Arial" w:hAnsi="Arial"/>
          <w:sz w:val="16"/>
          <w:szCs w:val="16"/>
          <w:color w:val="auto"/>
        </w:rPr>
        <w:t xml:space="preserve"> as set forth in this Section 2.12(b).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-855345</wp:posOffset>
            </wp:positionV>
            <wp:extent cx="9779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-872490</wp:posOffset>
            </wp:positionV>
            <wp:extent cx="9772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0" w:right="239" w:bottom="1440" w:gutter="0" w:footer="0" w:header="0"/>
        </w:sectPr>
      </w:pPr>
    </w:p>
    <w:bookmarkStart w:id="117" w:name="page118"/>
    <w:bookmarkEnd w:id="117"/>
    <w:p>
      <w:pPr>
        <w:jc w:val="both"/>
        <w:ind w:firstLine="656"/>
        <w:spacing w:after="0" w:line="303" w:lineRule="auto"/>
        <w:tabs>
          <w:tab w:leader="none" w:pos="1173" w:val="left"/>
        </w:tabs>
        <w:numPr>
          <w:ilvl w:val="0"/>
          <w:numId w:val="4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the Term Loans shall be prepaid on a pro rata basis, substantially simultaneously with (and in any event not later than the third Business Day next following) the date of receipt of such Net Cash Proceeds by an amount equal to 100% of the amount of such Net Cash Proceeds.</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2.13 Increased Costs; Capital Requirements</w:t>
      </w:r>
      <w:r>
        <w:rPr>
          <w:rFonts w:ascii="Arial" w:cs="Arial" w:eastAsia="Arial" w:hAnsi="Arial"/>
          <w:sz w:val="16"/>
          <w:szCs w:val="16"/>
          <w:color w:val="auto"/>
        </w:rPr>
        <w:t>. (a) Notwithstanding any other provision of this Agreement, if any Change in Law shall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 the B/A Discount Rate or the BBSY Rate), (ii) subject any Lender or the Issuing Bank to any Taxes (other than (A) Indemnified Taxes, (B) Taxes described in clauses (b) through (</w:t>
      </w:r>
      <w:r>
        <w:rPr>
          <w:rFonts w:ascii="Arial" w:cs="Arial" w:eastAsia="Arial" w:hAnsi="Arial"/>
          <w:sz w:val="16"/>
          <w:szCs w:val="16"/>
          <w:b w:val="1"/>
          <w:bCs w:val="1"/>
          <w:color w:val="auto"/>
          <w:strike w:val="1"/>
        </w:rPr>
        <w:t>d</w:t>
      </w:r>
      <w:r>
        <w:rPr>
          <w:rFonts w:ascii="Arial" w:cs="Arial" w:eastAsia="Arial" w:hAnsi="Arial"/>
          <w:sz w:val="16"/>
          <w:szCs w:val="16"/>
          <w:b w:val="1"/>
          <w:bCs w:val="1"/>
          <w:u w:val="single" w:color="auto"/>
          <w:color w:val="auto"/>
        </w:rPr>
        <w:t>h</w:t>
      </w:r>
      <w:r>
        <w:rPr>
          <w:rFonts w:ascii="Arial" w:cs="Arial" w:eastAsia="Arial" w:hAnsi="Arial"/>
          <w:sz w:val="16"/>
          <w:szCs w:val="16"/>
          <w:color w:val="auto"/>
        </w:rPr>
        <w:t>)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 Loans, B/A Loans or BBSY Rate Loans made by such Lender or any Letter of Credit or participation therein, and the result of any of the foregoing shall be to increase the cost to such Lender or Issuing Bank of making or maintaining any Eurocurrency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72" w:lineRule="exact"/>
        <w:rPr>
          <w:sz w:val="20"/>
          <w:szCs w:val="20"/>
          <w:color w:val="auto"/>
        </w:rPr>
      </w:pPr>
    </w:p>
    <w:p>
      <w:pPr>
        <w:jc w:val="both"/>
        <w:ind w:firstLine="656"/>
        <w:spacing w:after="0" w:line="270" w:lineRule="auto"/>
        <w:tabs>
          <w:tab w:leader="none" w:pos="10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8" w:name="page119"/>
    <w:bookmarkEnd w:id="118"/>
    <w:p>
      <w:pPr>
        <w:jc w:val="both"/>
        <w:ind w:firstLine="656"/>
        <w:spacing w:after="0" w:line="259" w:lineRule="auto"/>
        <w:tabs>
          <w:tab w:leader="none" w:pos="1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86" w:lineRule="exact"/>
        <w:rPr>
          <w:rFonts w:ascii="Arial" w:cs="Arial" w:eastAsia="Arial" w:hAnsi="Arial"/>
          <w:sz w:val="18"/>
          <w:szCs w:val="18"/>
          <w:color w:val="auto"/>
        </w:rPr>
      </w:pPr>
    </w:p>
    <w:p>
      <w:pPr>
        <w:jc w:val="both"/>
        <w:ind w:firstLine="656"/>
        <w:spacing w:after="0" w:line="253" w:lineRule="auto"/>
        <w:tabs>
          <w:tab w:leader="none" w:pos="11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2.14 Change in Legality</w:t>
      </w:r>
      <w:r>
        <w:rPr>
          <w:rFonts w:ascii="Arial" w:cs="Arial" w:eastAsia="Arial" w:hAnsi="Arial"/>
          <w:sz w:val="18"/>
          <w:szCs w:val="18"/>
          <w:color w:val="auto"/>
        </w:rPr>
        <w:t>. (a) Notwithstanding any other provision of this Agreement, if any Change in Law shall make it unlawful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to make or maintain any Eurocurrency Loan (other than any Eurocurrency Loan under the Australian Revolving Credit Facility) or to give effect to its obligations as contemplated hereby with respect to any Eurocurrency Loan, then, by written notice to the Applicable Borrower and to the Applicable Administrative Agent:</w:t>
      </w:r>
    </w:p>
    <w:p>
      <w:pPr>
        <w:spacing w:after="0" w:line="187" w:lineRule="exact"/>
        <w:rPr>
          <w:sz w:val="20"/>
          <w:szCs w:val="20"/>
          <w:color w:val="auto"/>
        </w:rPr>
      </w:pPr>
    </w:p>
    <w:p>
      <w:pPr>
        <w:jc w:val="both"/>
        <w:ind w:left="660" w:firstLine="645"/>
        <w:spacing w:after="0" w:line="293" w:lineRule="auto"/>
        <w:tabs>
          <w:tab w:leader="none" w:pos="17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Lender may declare that Eurocurrency Loans, as the case may be, will not thereafter (for the duration of such unlawfulness) be made by such Lender hereunder (or be continued for additional Interest Periods and ABR Loans and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 ABR Loan or a U.S. Base Rate Loan (or a request to continue an ABR Loan or a U.S. Base Rate Loan as such or to convert a Eurocurrency Loan into an ABR Loan or a U.S. Base Rate Loan), unless such declaration shall be subsequently withdrawn; and</w:t>
      </w:r>
    </w:p>
    <w:p>
      <w:pPr>
        <w:spacing w:after="0" w:line="164" w:lineRule="exact"/>
        <w:rPr>
          <w:rFonts w:ascii="Arial" w:cs="Arial" w:eastAsia="Arial" w:hAnsi="Arial"/>
          <w:sz w:val="16"/>
          <w:szCs w:val="16"/>
          <w:color w:val="auto"/>
        </w:rPr>
      </w:pPr>
    </w:p>
    <w:p>
      <w:pPr>
        <w:jc w:val="both"/>
        <w:ind w:left="660" w:firstLine="645"/>
        <w:spacing w:after="0" w:line="264" w:lineRule="auto"/>
        <w:tabs>
          <w:tab w:leader="none" w:pos="17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Lender may require that all outstanding Eurocurrency Loans made by it be converted to ABR Loans or U.S. Base Rate Loans, as the case may be, in which event all such Eurocurrency Loans shall be automatically converted to ABR Loans or U.S. Base Rate Loans, as the case may be, as of the effective date of such notice as provided in paragraph (b)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jc w:val="both"/>
        <w:spacing w:after="0" w:line="312" w:lineRule="auto"/>
        <w:rPr>
          <w:sz w:val="20"/>
          <w:szCs w:val="20"/>
          <w:color w:val="auto"/>
        </w:rPr>
      </w:pPr>
      <w:r>
        <w:rPr>
          <w:rFonts w:ascii="Arial" w:cs="Arial" w:eastAsia="Arial" w:hAnsi="Arial"/>
          <w:sz w:val="16"/>
          <w:szCs w:val="16"/>
          <w:color w:val="auto"/>
        </w:rPr>
        <w:t>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w:t>
      </w:r>
    </w:p>
    <w:p>
      <w:pPr>
        <w:spacing w:after="0" w:line="143" w:lineRule="exact"/>
        <w:rPr>
          <w:sz w:val="20"/>
          <w:szCs w:val="20"/>
          <w:color w:val="auto"/>
        </w:rPr>
      </w:pPr>
    </w:p>
    <w:p>
      <w:pPr>
        <w:jc w:val="both"/>
        <w:ind w:firstLine="656"/>
        <w:spacing w:after="0" w:line="266" w:lineRule="auto"/>
        <w:tabs>
          <w:tab w:leader="none" w:pos="11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For purposes of this Section 2.14, a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2.15 Breakage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Borrowers hereby severally indemnify each Lender against any loss or expense that such Lender may sustain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 as a consequence of (a) any event, other than a default by such Lender in the performance of its obligations hereunder, which results in (i) such Lender receiving or being deemed to receive any amount on account of the principal of any Eurocurrency Loan or BBSY Rate Loan prior to the end of the Interest Period in effect therefor, including, without limitation, as a result of any prepayment, the acceleration of the maturity of the Obligations or for any other reason, (ii) the conversion of any Eurocurrency Loan to an ABR Loan or U.S. Base Rate Loans or the conversion of the Interest Period with respect to any Eurocurrency Loan or BBSY Rate Loan, in each case other than on the last day of the Interest Period in effect therefor, (iii) any Eurocurrency Loan, B/A Loan or BBSY Rate Loan to be made by such Lender (including any Eurocurrency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 Loan or BBSY Rate Loan is made other than on the last day of the Interest Period for such Loan as a result of a request by the Applicable Borrower pursuant to Section 2.20 (any of the events referred to in this clause (a) being called a “</w:t>
      </w:r>
      <w:r>
        <w:rPr>
          <w:rFonts w:ascii="Arial" w:cs="Arial" w:eastAsia="Arial" w:hAnsi="Arial"/>
          <w:sz w:val="16"/>
          <w:szCs w:val="16"/>
          <w:i w:val="1"/>
          <w:iCs w:val="1"/>
          <w:color w:val="auto"/>
        </w:rPr>
        <w:t>Breakage Event</w:t>
      </w:r>
      <w:r>
        <w:rPr>
          <w:rFonts w:ascii="Arial" w:cs="Arial" w:eastAsia="Arial" w:hAnsi="Arial"/>
          <w:sz w:val="16"/>
          <w:szCs w:val="16"/>
          <w:color w:val="auto"/>
        </w:rPr>
        <w:t>”) or (b) any default in the making of any payment or prepayment required to be made hereunder. In the case of any Breakage Event, such loss shall include an amount equal to the excess, as reasonably determined by such Lender, of (i) its cost of obtaining funds for the Eurocurrency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2.16 Pro Rata Treatment</w:t>
      </w:r>
      <w:r>
        <w:rPr>
          <w:rFonts w:ascii="Arial" w:cs="Arial" w:eastAsia="Arial" w:hAnsi="Arial"/>
          <w:sz w:val="18"/>
          <w:szCs w:val="18"/>
          <w:color w:val="auto"/>
        </w:rPr>
        <w:t>. Except as required under Section 2.14, each Borrowing, each payment or prepayment of principal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0" w:name="page121"/>
    <w:bookmarkEnd w:id="120"/>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2.17 Sharing of Setoffs</w:t>
      </w:r>
      <w:r>
        <w:rPr>
          <w:rFonts w:ascii="Arial" w:cs="Arial" w:eastAsia="Arial" w:hAnsi="Arial"/>
          <w:sz w:val="17"/>
          <w:szCs w:val="17"/>
          <w:color w:val="auto"/>
        </w:rPr>
        <w:t>. (a) Each Canadian Lender agrees that if it shall, through the exercise of a right of banker’s lien, setoff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 as a result of which the unpaid portion of its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shall be proportionately less than the unpaid portion of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and participations in Canadian </w:t>
      </w:r>
      <w:r>
        <w:rPr>
          <w:rFonts w:ascii="Arial" w:cs="Arial" w:eastAsia="Arial" w:hAnsi="Arial"/>
          <w:sz w:val="17"/>
          <w:szCs w:val="17"/>
          <w:b w:val="1"/>
          <w:bCs w:val="1"/>
          <w:color w:val="auto"/>
          <w:strike w:val="1"/>
        </w:rPr>
        <w:t>Revolving Credit Loans, Canadian</w:t>
      </w:r>
      <w:r>
        <w:rPr>
          <w:rFonts w:ascii="Arial" w:cs="Arial" w:eastAsia="Arial" w:hAnsi="Arial"/>
          <w:sz w:val="17"/>
          <w:szCs w:val="17"/>
          <w:b w:val="1"/>
          <w:bCs w:val="1"/>
          <w:color w:val="auto"/>
        </w:rPr>
        <w:t xml:space="preserve"> </w:t>
      </w:r>
      <w:r>
        <w:rPr>
          <w:rFonts w:ascii="Arial" w:cs="Arial" w:eastAsia="Arial" w:hAnsi="Arial"/>
          <w:sz w:val="17"/>
          <w:szCs w:val="17"/>
          <w:color w:val="auto"/>
        </w:rPr>
        <w:t>L/C Exposure and Canadian Swing Line Loans held by each Canadian Lender shall be in the same proportion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aggregate unpaid amount of all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then outstanding of the same Class as the amount of its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prior to such exercise of banker’s lien, setoff or counterclaim or other event was to the amount of all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outstanding prior to such exercise of banker’s lien, setoff or counterclaim or other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93" w:lineRule="exact"/>
        <w:rPr>
          <w:sz w:val="20"/>
          <w:szCs w:val="20"/>
          <w:color w:val="auto"/>
        </w:rPr>
      </w:pPr>
    </w:p>
    <w:p>
      <w:pPr>
        <w:jc w:val="both"/>
        <w:ind w:firstLine="656"/>
        <w:spacing w:after="0" w:line="286" w:lineRule="auto"/>
        <w:tabs>
          <w:tab w:leader="none" w:pos="110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w:t>
      </w:r>
    </w:p>
    <w:p>
      <w:pPr>
        <w:spacing w:after="0" w:line="1" w:lineRule="exact"/>
        <w:rPr>
          <w:rFonts w:ascii="Arial" w:cs="Arial" w:eastAsia="Arial" w:hAnsi="Arial"/>
          <w:sz w:val="16"/>
          <w:szCs w:val="16"/>
          <w:color w:val="auto"/>
        </w:rPr>
      </w:pPr>
    </w:p>
    <w:p>
      <w:pPr>
        <w:jc w:val="both"/>
        <w:ind w:firstLine="8"/>
        <w:spacing w:after="0" w:line="286" w:lineRule="auto"/>
        <w:tabs>
          <w:tab w:leader="none" w:pos="2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jc w:val="both"/>
        <w:ind w:firstLine="656"/>
        <w:spacing w:after="0" w:line="286" w:lineRule="auto"/>
        <w:tabs>
          <w:tab w:leader="none" w:pos="10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64" w:lineRule="exact"/>
        <w:rPr>
          <w:rFonts w:ascii="Arial" w:cs="Arial" w:eastAsia="Arial" w:hAnsi="Arial"/>
          <w:sz w:val="16"/>
          <w:szCs w:val="16"/>
          <w:color w:val="auto"/>
        </w:rPr>
      </w:pPr>
    </w:p>
    <w:p>
      <w:pPr>
        <w:jc w:val="both"/>
        <w:ind w:firstLine="656"/>
        <w:spacing w:after="0" w:line="266" w:lineRule="auto"/>
        <w:tabs>
          <w:tab w:leader="none" w:pos="11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Whenever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(in such capacity as the lender under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Agreement and not in its capacity as a Lender under this Agreement) receives or recovers any money in respect of any sum due from an Australian Loan Party and applies such amounts against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(including recoveries by way of set off) (“</w:t>
      </w:r>
      <w:r>
        <w:rPr>
          <w:rFonts w:ascii="Arial" w:cs="Arial" w:eastAsia="Arial" w:hAnsi="Arial"/>
          <w:sz w:val="18"/>
          <w:szCs w:val="18"/>
          <w:i w:val="1"/>
          <w:iCs w:val="1"/>
          <w:color w:val="auto"/>
        </w:rPr>
        <w:t>Turnover Money</w:t>
      </w:r>
      <w:r>
        <w:rPr>
          <w:rFonts w:ascii="Arial" w:cs="Arial" w:eastAsia="Arial" w:hAnsi="Arial"/>
          <w:sz w:val="18"/>
          <w:szCs w:val="18"/>
          <w:color w:val="auto"/>
        </w:rPr>
        <w:t>”) and:</w:t>
      </w:r>
    </w:p>
    <w:p>
      <w:pPr>
        <w:spacing w:after="0" w:line="180" w:lineRule="exact"/>
        <w:rPr>
          <w:rFonts w:ascii="Arial" w:cs="Arial" w:eastAsia="Arial" w:hAnsi="Arial"/>
          <w:sz w:val="18"/>
          <w:szCs w:val="18"/>
          <w:color w:val="auto"/>
        </w:rPr>
      </w:pPr>
    </w:p>
    <w:p>
      <w:pPr>
        <w:ind w:left="660" w:firstLine="645"/>
        <w:spacing w:after="0" w:line="277" w:lineRule="auto"/>
        <w:tabs>
          <w:tab w:leader="none" w:pos="17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paragraph (i) above does not apply, but an Event of Default has occurred and is continuing under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18"/>
          <w:szCs w:val="18"/>
          <w:color w:val="auto"/>
        </w:rPr>
        <w:t>then:</w:t>
      </w:r>
    </w:p>
    <w:p>
      <w:pPr>
        <w:spacing w:after="0" w:line="225" w:lineRule="exact"/>
        <w:rPr>
          <w:sz w:val="20"/>
          <w:szCs w:val="20"/>
          <w:color w:val="auto"/>
        </w:rPr>
      </w:pPr>
    </w:p>
    <w:p>
      <w:pPr>
        <w:ind w:left="1800" w:hanging="495"/>
        <w:spacing w:after="0"/>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paragraph (i) above:</w:t>
      </w:r>
    </w:p>
    <w:p>
      <w:pPr>
        <w:sectPr>
          <w:pgSz w:w="11900" w:h="16838" w:orient="portrait"/>
          <w:cols w:equalWidth="0" w:num="1">
            <w:col w:w="11420"/>
          </w:cols>
          <w:pgMar w:left="240" w:top="584" w:right="239" w:bottom="1440" w:gutter="0" w:footer="0" w:header="0"/>
        </w:sectPr>
      </w:pPr>
    </w:p>
    <w:p>
      <w:pPr>
        <w:spacing w:after="0" w:line="285" w:lineRule="exact"/>
        <w:rPr>
          <w:sz w:val="20"/>
          <w:szCs w:val="20"/>
          <w:color w:val="auto"/>
        </w:rPr>
      </w:pPr>
    </w:p>
    <w:p>
      <w:pPr>
        <w:jc w:val="both"/>
        <w:ind w:left="1300" w:firstLine="653"/>
        <w:spacing w:after="0" w:line="266" w:lineRule="auto"/>
        <w:tabs>
          <w:tab w:leader="none" w:pos="2559" w:val="left"/>
        </w:tabs>
        <w:numPr>
          <w:ilvl w:val="0"/>
          <w:numId w:val="57"/>
        </w:numPr>
        <w:rPr>
          <w:rFonts w:ascii="Arial" w:cs="Arial" w:eastAsia="Arial" w:hAnsi="Arial"/>
          <w:sz w:val="21"/>
          <w:szCs w:val="21"/>
          <w:b w:val="1"/>
          <w:bCs w:val="1"/>
          <w:color w:val="auto"/>
        </w:rPr>
      </w:pP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strike w:val="1"/>
        </w:rPr>
        <w:t>the Bilateral</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Money to the Australian Collateral Required Lenders); and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firstLine="3"/>
        <w:spacing w:after="0" w:line="324" w:lineRule="auto"/>
        <w:rPr>
          <w:sz w:val="20"/>
          <w:szCs w:val="20"/>
          <w:color w:val="auto"/>
        </w:rPr>
      </w:pPr>
      <w:r>
        <w:rPr>
          <w:rFonts w:ascii="Arial" w:cs="Arial" w:eastAsia="Arial" w:hAnsi="Arial"/>
          <w:sz w:val="17"/>
          <w:szCs w:val="17"/>
          <w:color w:val="auto"/>
        </w:rPr>
        <w:t>Lender will promptly notify the Australian Collateral Agent and pay an amount equal to the Turnover Agent (unless the Australian Collateral Agent directs otherwise on the instructions of the Applicable</w:t>
      </w:r>
    </w:p>
    <w:p>
      <w:pPr>
        <w:spacing w:after="0" w:line="350" w:lineRule="exact"/>
        <w:rPr>
          <w:sz w:val="20"/>
          <w:szCs w:val="20"/>
          <w:color w:val="auto"/>
        </w:rPr>
      </w:pPr>
    </w:p>
    <w:p>
      <w:pPr>
        <w:sectPr>
          <w:pgSz w:w="11900" w:h="16838" w:orient="portrait"/>
          <w:cols w:equalWidth="0" w:num="2">
            <w:col w:w="3900" w:space="40"/>
            <w:col w:w="7480"/>
          </w:cols>
          <w:pgMar w:left="240" w:top="584" w:right="239" w:bottom="1440" w:gutter="0" w:footer="0" w:header="0"/>
          <w:type w:val="continuous"/>
        </w:sectPr>
      </w:pPr>
    </w:p>
    <w:p>
      <w:pPr>
        <w:ind w:left="1300" w:firstLine="653"/>
        <w:spacing w:after="0" w:line="277" w:lineRule="auto"/>
        <w:tabs>
          <w:tab w:leader="none" w:pos="24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Australian Collateral Agent will deal with the Turnover Money as if it were a payment by the Australian Loan Parties under this Agreement; and</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paragraph (ii) above:</w:t>
      </w:r>
    </w:p>
    <w:p>
      <w:pPr>
        <w:spacing w:after="0" w:line="261" w:lineRule="exact"/>
        <w:rPr>
          <w:rFonts w:ascii="Arial" w:cs="Arial" w:eastAsia="Arial" w:hAnsi="Arial"/>
          <w:sz w:val="18"/>
          <w:szCs w:val="18"/>
          <w:color w:val="auto"/>
        </w:rPr>
      </w:pPr>
    </w:p>
    <w:p>
      <w:pPr>
        <w:jc w:val="both"/>
        <w:ind w:left="1300" w:right="20" w:firstLine="653"/>
        <w:spacing w:after="0" w:line="246" w:lineRule="auto"/>
        <w:tabs>
          <w:tab w:leader="none" w:pos="2640" w:val="left"/>
        </w:tabs>
        <w:numPr>
          <w:ilvl w:val="1"/>
          <w:numId w:val="59"/>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Lender will promptly notify the Australian Administrative Agent and pay an amount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Turnover Money to the Australian Administrative Agent (unless the Australian Administrative Agent directs otherwise on the instructions of the Applicable Required Lenders); and</w:t>
      </w:r>
    </w:p>
    <w:p>
      <w:pPr>
        <w:spacing w:after="0" w:line="198" w:lineRule="exact"/>
        <w:rPr>
          <w:rFonts w:ascii="Arial" w:cs="Arial" w:eastAsia="Arial" w:hAnsi="Arial"/>
          <w:sz w:val="22"/>
          <w:szCs w:val="22"/>
          <w:b w:val="1"/>
          <w:bCs w:val="1"/>
          <w:color w:val="auto"/>
        </w:rPr>
      </w:pPr>
    </w:p>
    <w:p>
      <w:pPr>
        <w:ind w:left="1300" w:firstLine="653"/>
        <w:spacing w:after="0" w:line="277" w:lineRule="auto"/>
        <w:tabs>
          <w:tab w:leader="none" w:pos="24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Australian Administrative Agent will hold the Turnover Money paid to it under paragraph (A) for a period of no greater than 15 Business Days (“</w:t>
      </w:r>
      <w:r>
        <w:rPr>
          <w:rFonts w:ascii="Arial" w:cs="Arial" w:eastAsia="Arial" w:hAnsi="Arial"/>
          <w:sz w:val="18"/>
          <w:szCs w:val="18"/>
          <w:i w:val="1"/>
          <w:iCs w:val="1"/>
          <w:color w:val="auto"/>
        </w:rPr>
        <w:t>Decision Period</w:t>
      </w:r>
      <w:r>
        <w:rPr>
          <w:rFonts w:ascii="Arial" w:cs="Arial" w:eastAsia="Arial" w:hAnsi="Arial"/>
          <w:sz w:val="18"/>
          <w:szCs w:val="18"/>
          <w:color w:val="auto"/>
        </w:rPr>
        <w:t>”) to be applied by the Australian Administrative Agent as follows:</w:t>
      </w:r>
    </w:p>
    <w:p>
      <w:pPr>
        <w:spacing w:after="0" w:line="170" w:lineRule="exact"/>
        <w:rPr>
          <w:rFonts w:ascii="Arial" w:cs="Arial" w:eastAsia="Arial" w:hAnsi="Arial"/>
          <w:sz w:val="18"/>
          <w:szCs w:val="18"/>
          <w:color w:val="auto"/>
        </w:rPr>
      </w:pPr>
    </w:p>
    <w:p>
      <w:pPr>
        <w:jc w:val="both"/>
        <w:ind w:left="1960" w:firstLine="641"/>
        <w:spacing w:after="0" w:line="276" w:lineRule="auto"/>
        <w:tabs>
          <w:tab w:leader="none" w:pos="3090" w:val="left"/>
        </w:tabs>
        <w:numPr>
          <w:ilvl w:val="2"/>
          <w:numId w:val="59"/>
        </w:numPr>
        <w:rPr>
          <w:rFonts w:ascii="Arial" w:cs="Arial" w:eastAsia="Arial" w:hAnsi="Arial"/>
          <w:sz w:val="17"/>
          <w:szCs w:val="17"/>
          <w:color w:val="auto"/>
        </w:rPr>
      </w:pPr>
      <w:r>
        <w:rPr>
          <w:rFonts w:ascii="Arial" w:cs="Arial" w:eastAsia="Arial" w:hAnsi="Arial"/>
          <w:sz w:val="17"/>
          <w:szCs w:val="17"/>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68" w:lineRule="exact"/>
        <w:rPr>
          <w:rFonts w:ascii="Arial" w:cs="Arial" w:eastAsia="Arial" w:hAnsi="Arial"/>
          <w:sz w:val="17"/>
          <w:szCs w:val="17"/>
          <w:color w:val="auto"/>
        </w:rPr>
      </w:pPr>
    </w:p>
    <w:p>
      <w:pPr>
        <w:ind w:left="1960" w:firstLine="641"/>
        <w:spacing w:after="0" w:line="282" w:lineRule="auto"/>
        <w:tabs>
          <w:tab w:leader="none" w:pos="3077"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in all other circumstances, it will return an amount equal to the Turnover Moneys to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for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to apply to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NAB</w:t>
      </w:r>
      <w:r>
        <w:rPr>
          <w:rFonts w:ascii="Arial" w:cs="Arial" w:eastAsia="Arial" w:hAnsi="Arial"/>
          <w:sz w:val="18"/>
          <w:szCs w:val="18"/>
          <w:b w:val="1"/>
          <w:bCs w:val="1"/>
          <w:color w:val="auto"/>
        </w:rPr>
        <w:t xml:space="preserve"> </w:t>
      </w:r>
      <w:r>
        <w:rPr>
          <w:rFonts w:ascii="Arial" w:cs="Arial" w:eastAsia="Arial" w:hAnsi="Arial"/>
          <w:sz w:val="18"/>
          <w:szCs w:val="18"/>
          <w:color w:val="auto"/>
        </w:rPr>
        <w:t>Bilateral Obligations.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parties agree that the Turnover Money recovered by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that is ultimately distributed by the Australian Collateral Agent to the relevant Secured Parties will be taken to have been a payment for the account of the Australian Collateral Agent and not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for its own account (and the liability of an Australian Loan Party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will only be reduced to the extent the Turnover Money is returned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as contemplated by Section 2.17(d)(iv)(B)(2)). Without limiting this paragraph, the relevant Australian Loan Party shall indemnify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against a recovery by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of the Turnover Money to the extent that (despite this paragraph), the relevant Australian Loan Party’s liability has been discharged by the recovery or payment. For the avoidance of doubt,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23" w:name="page124"/>
    <w:bookmarkEnd w:id="123"/>
    <w:p>
      <w:pPr>
        <w:jc w:val="both"/>
        <w:ind w:firstLine="656"/>
        <w:spacing w:after="0" w:line="259"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(c) and (d) shall apply).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Loan Party expressly consents to the arrangements set forth in Section 2.17(a), (b), (c) and (d)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2.18 Payments</w:t>
      </w:r>
      <w:r>
        <w:rPr>
          <w:rFonts w:ascii="Arial" w:cs="Arial" w:eastAsia="Arial" w:hAnsi="Arial"/>
          <w:sz w:val="17"/>
          <w:szCs w:val="17"/>
          <w:color w:val="auto"/>
        </w:rPr>
        <w:t>. (a) The Borrowers shall make each payment (including principal of or interest on any Borrowing or any 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80" w:lineRule="exact"/>
        <w:rPr>
          <w:sz w:val="20"/>
          <w:szCs w:val="20"/>
          <w:color w:val="auto"/>
        </w:rPr>
      </w:pPr>
    </w:p>
    <w:p>
      <w:pPr>
        <w:jc w:val="both"/>
        <w:ind w:firstLine="656"/>
        <w:spacing w:after="0" w:line="259" w:lineRule="auto"/>
        <w:tabs>
          <w:tab w:leader="none" w:pos="11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2.19</w:t>
      </w:r>
      <w:r>
        <w:rPr>
          <w:sz w:val="20"/>
          <w:szCs w:val="20"/>
          <w:color w:val="auto"/>
        </w:rPr>
        <w:tab/>
      </w:r>
      <w:r>
        <w:rPr>
          <w:rFonts w:ascii="Arial" w:cs="Arial" w:eastAsia="Arial" w:hAnsi="Arial"/>
          <w:sz w:val="14"/>
          <w:szCs w:val="14"/>
          <w:b w:val="1"/>
          <w:bCs w:val="1"/>
          <w:i w:val="1"/>
          <w:iCs w:val="1"/>
          <w:color w:val="auto"/>
        </w:rPr>
        <w:t>Taxes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purposes of this Section 2.19, the term “Lender” includes any Issuing Bank and the term “applicable law” includes FATCA.</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62"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ind w:right="20" w:firstLine="656"/>
        <w:spacing w:after="0" w:line="277" w:lineRule="auto"/>
        <w:tabs>
          <w:tab w:leader="none" w:pos="11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66" w:lineRule="exact"/>
        <w:rPr>
          <w:rFonts w:ascii="Arial" w:cs="Arial" w:eastAsia="Arial" w:hAnsi="Arial"/>
          <w:sz w:val="18"/>
          <w:szCs w:val="18"/>
          <w:color w:val="auto"/>
        </w:rPr>
      </w:pPr>
    </w:p>
    <w:p>
      <w:pPr>
        <w:jc w:val="both"/>
        <w:ind w:firstLine="656"/>
        <w:spacing w:after="0" w:line="295" w:lineRule="auto"/>
        <w:tabs>
          <w:tab w:leader="none" w:pos="108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Borrowers shall </w:t>
      </w:r>
      <w:r>
        <w:rPr>
          <w:rFonts w:ascii="Arial" w:cs="Arial" w:eastAsia="Arial" w:hAnsi="Arial"/>
          <w:sz w:val="16"/>
          <w:szCs w:val="16"/>
          <w:b w:val="1"/>
          <w:bCs w:val="1"/>
          <w:u w:val="single" w:color="auto"/>
          <w:color w:val="auto"/>
        </w:rPr>
        <w:t>severally</w:t>
      </w:r>
      <w:r>
        <w:rPr>
          <w:rFonts w:ascii="Arial" w:cs="Arial" w:eastAsia="Arial" w:hAnsi="Arial"/>
          <w:sz w:val="16"/>
          <w:szCs w:val="16"/>
          <w:color w:val="auto"/>
        </w:rPr>
        <w:t xml:space="preserve">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59" w:lineRule="exact"/>
        <w:rPr>
          <w:rFonts w:ascii="Arial" w:cs="Arial" w:eastAsia="Arial" w:hAnsi="Arial"/>
          <w:sz w:val="16"/>
          <w:szCs w:val="16"/>
          <w:color w:val="auto"/>
        </w:rPr>
      </w:pPr>
    </w:p>
    <w:p>
      <w:pPr>
        <w:jc w:val="both"/>
        <w:ind w:firstLine="656"/>
        <w:spacing w:after="0" w:line="270" w:lineRule="auto"/>
        <w:tabs>
          <w:tab w:leader="none" w:pos="1149"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jc w:val="both"/>
        <w:ind w:firstLine="656"/>
        <w:spacing w:after="0" w:line="259" w:lineRule="auto"/>
        <w:tabs>
          <w:tab w:leader="none" w:pos="11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Arial" w:cs="Arial" w:eastAsia="Arial" w:hAnsi="Arial"/>
          <w:sz w:val="17"/>
          <w:szCs w:val="17"/>
          <w:color w:val="auto"/>
        </w:rPr>
      </w:pPr>
    </w:p>
    <w:p>
      <w:pPr>
        <w:ind w:left="1840" w:hanging="535"/>
        <w:spacing w:after="0"/>
        <w:tabs>
          <w:tab w:leader="none" w:pos="18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the Applicable Borrower with respect to such Lender is a U.S.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206" w:lineRule="exact"/>
        <w:rPr>
          <w:rFonts w:ascii="Arial" w:cs="Arial" w:eastAsia="Arial" w:hAnsi="Arial"/>
          <w:sz w:val="17"/>
          <w:szCs w:val="17"/>
          <w:color w:val="auto"/>
        </w:rPr>
      </w:pPr>
    </w:p>
    <w:p>
      <w:pPr>
        <w:jc w:val="both"/>
        <w:ind w:left="1300" w:firstLine="653"/>
        <w:spacing w:after="0" w:line="261" w:lineRule="auto"/>
        <w:tabs>
          <w:tab w:leader="none" w:pos="2586"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any Lender with respect to such Borrower that is a U.S. Person shall deliver to such Borrower and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on or prior to the date on which such Lender becomes a Lender under this Agreement (and from time to time thereafter upon the reasonable request of such Borrower or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executed originals of IRS Form W-9 certifying that such Lender is exempt from U.S. federal backup withholding tax;</w:t>
      </w:r>
    </w:p>
    <w:p>
      <w:pPr>
        <w:spacing w:after="0" w:line="180" w:lineRule="exact"/>
        <w:rPr>
          <w:rFonts w:ascii="Arial" w:cs="Arial" w:eastAsia="Arial" w:hAnsi="Arial"/>
          <w:sz w:val="18"/>
          <w:szCs w:val="18"/>
          <w:color w:val="auto"/>
        </w:rPr>
      </w:pPr>
    </w:p>
    <w:p>
      <w:pPr>
        <w:jc w:val="both"/>
        <w:ind w:left="1300" w:firstLine="653"/>
        <w:spacing w:after="0" w:line="281" w:lineRule="auto"/>
        <w:tabs>
          <w:tab w:leader="none" w:pos="2423"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any Foreign Lender with respect to such Borrower shall deliver to such Borrower and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in such number of copies as shall be requested by the recipient, (on or prior to the date on which such Foreign Lender becomes a Lender under this Agreement and from time to time thereafter upon the request of such Borrower or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but only if such Foreign Lender is legally entitled to do so,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ind w:left="1880" w:hanging="479"/>
        <w:spacing w:after="0"/>
        <w:tabs>
          <w:tab w:leader="none" w:pos="18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760" w:hanging="7"/>
        <w:spacing w:after="0" w:line="253"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91" w:lineRule="exact"/>
        <w:rPr>
          <w:rFonts w:ascii="Arial" w:cs="Arial" w:eastAsia="Arial" w:hAnsi="Arial"/>
          <w:sz w:val="18"/>
          <w:szCs w:val="18"/>
          <w:color w:val="auto"/>
        </w:rPr>
      </w:pPr>
    </w:p>
    <w:p>
      <w:pPr>
        <w:ind w:left="1840" w:hanging="439"/>
        <w:spacing w:after="0"/>
        <w:tabs>
          <w:tab w:leader="none" w:pos="1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duly completed copies of IRS Form W-8ECI,</w:t>
      </w:r>
    </w:p>
    <w:p>
      <w:pPr>
        <w:spacing w:after="0" w:line="225" w:lineRule="exact"/>
        <w:rPr>
          <w:rFonts w:ascii="Arial" w:cs="Arial" w:eastAsia="Arial" w:hAnsi="Arial"/>
          <w:sz w:val="18"/>
          <w:szCs w:val="18"/>
          <w:color w:val="auto"/>
        </w:rPr>
      </w:pPr>
    </w:p>
    <w:p>
      <w:pPr>
        <w:jc w:val="both"/>
        <w:ind w:left="760" w:firstLine="641"/>
        <w:spacing w:after="0" w:line="297" w:lineRule="auto"/>
        <w:tabs>
          <w:tab w:leader="none" w:pos="18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Code, or (C) a “controlled foreign corporation” described in Section 881(c)(3)(C) of the Code (a “U.S. Tax Compliance Certificate”) and (y) duly completed copies of an applicable IRS Form W-8BEN or W-8BEN-E, or</w:t>
      </w:r>
    </w:p>
    <w:p>
      <w:pPr>
        <w:spacing w:after="0" w:line="158" w:lineRule="exact"/>
        <w:rPr>
          <w:rFonts w:ascii="Arial" w:cs="Arial" w:eastAsia="Arial" w:hAnsi="Arial"/>
          <w:sz w:val="16"/>
          <w:szCs w:val="16"/>
          <w:color w:val="auto"/>
        </w:rPr>
      </w:pPr>
    </w:p>
    <w:p>
      <w:pPr>
        <w:jc w:val="both"/>
        <w:ind w:left="760" w:firstLine="641"/>
        <w:spacing w:after="0" w:line="273" w:lineRule="auto"/>
        <w:tabs>
          <w:tab w:leader="none" w:pos="20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4" w:lineRule="exact"/>
        <w:rPr>
          <w:sz w:val="20"/>
          <w:szCs w:val="20"/>
          <w:color w:val="auto"/>
        </w:rPr>
      </w:pPr>
    </w:p>
    <w:p>
      <w:pPr>
        <w:jc w:val="both"/>
        <w:ind w:left="100" w:firstLine="653"/>
        <w:spacing w:after="0" w:line="255" w:lineRule="auto"/>
        <w:tabs>
          <w:tab w:leader="none" w:pos="12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Lender shall, to the extent it is legally entitled to do so, deliver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Borrower and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(in such copies as shall be requested by the recipient) on or prior to the date on which such Lender becomes a Lender under this Agreement (and from time to time thereafter upon the reasonable request of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Borrower or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7" w:name="page128"/>
    <w:bookmarkEnd w:id="127"/>
    <w:p>
      <w:pPr>
        <w:jc w:val="both"/>
        <w:ind w:left="1300" w:firstLine="653"/>
        <w:spacing w:after="0" w:line="288" w:lineRule="auto"/>
        <w:tabs>
          <w:tab w:leader="none" w:pos="25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at the time or times prescribed by law and at such time or times reasonably requested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such documentation prescribed by applicable law (including as prescribed by Section 1471(b)(3)(C)(i) of the Code) and such additional documentation reasonably requested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as may be necessary for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to comply with its obligations under FATCA, to determine that such Agent, Lender or Issuing Bank has</w:t>
      </w:r>
      <w:r>
        <w:rPr>
          <w:rFonts w:ascii="Arial" w:cs="Arial" w:eastAsia="Arial" w:hAnsi="Arial"/>
          <w:sz w:val="16"/>
          <w:szCs w:val="16"/>
          <w:b w:val="1"/>
          <w:bCs w:val="1"/>
          <w:color w:val="auto"/>
        </w:rPr>
        <w:t xml:space="preserve"> </w:t>
      </w:r>
      <w:r>
        <w:rPr>
          <w:rFonts w:ascii="Arial" w:cs="Arial" w:eastAsia="Arial" w:hAnsi="Arial"/>
          <w:sz w:val="16"/>
          <w:szCs w:val="16"/>
          <w:color w:val="auto"/>
        </w:rPr>
        <w:t>complied with its obligations under FATCA or to determine the amount to deduct and withhold from any such payments. Solely for purposes of this paragraph (i), “</w:t>
      </w:r>
      <w:r>
        <w:rPr>
          <w:rFonts w:ascii="Arial" w:cs="Arial" w:eastAsia="Arial" w:hAnsi="Arial"/>
          <w:sz w:val="16"/>
          <w:szCs w:val="16"/>
          <w:i w:val="1"/>
          <w:iCs w:val="1"/>
          <w:color w:val="auto"/>
        </w:rPr>
        <w:t>FATCA</w:t>
      </w:r>
      <w:r>
        <w:rPr>
          <w:rFonts w:ascii="Arial" w:cs="Arial" w:eastAsia="Arial" w:hAnsi="Arial"/>
          <w:sz w:val="16"/>
          <w:szCs w:val="16"/>
          <w:color w:val="auto"/>
        </w:rPr>
        <w:t>” shall include any amendments made to FATCA after the date of this Agreement.</w:t>
      </w:r>
    </w:p>
    <w:p>
      <w:pPr>
        <w:spacing w:after="0" w:line="165" w:lineRule="exact"/>
        <w:rPr>
          <w:rFonts w:ascii="Arial" w:cs="Arial" w:eastAsia="Arial" w:hAnsi="Arial"/>
          <w:sz w:val="16"/>
          <w:szCs w:val="16"/>
          <w:color w:val="auto"/>
        </w:rPr>
      </w:pPr>
    </w:p>
    <w:p>
      <w:pPr>
        <w:jc w:val="both"/>
        <w:ind w:left="1300" w:firstLine="653"/>
        <w:spacing w:after="0" w:line="261" w:lineRule="auto"/>
        <w:tabs>
          <w:tab w:leader="none" w:pos="2454" w:val="left"/>
        </w:tabs>
        <w:numPr>
          <w:ilvl w:val="0"/>
          <w:numId w:val="6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Solely for purposes of determining withholding Taxes imposed under FATCA, from and after the First Amendment Effective Date,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Each Lender agrees that if any form or certification it previously delivered expires or becomes obsolete or inaccurate in any respect, it shall update such form or certification or promptly notify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Applicable Administrative Agent in writing of its legal inability to do so.</w:t>
      </w:r>
    </w:p>
    <w:p>
      <w:pPr>
        <w:spacing w:after="0" w:line="124" w:lineRule="exact"/>
        <w:rPr>
          <w:sz w:val="20"/>
          <w:szCs w:val="20"/>
          <w:color w:val="auto"/>
        </w:rPr>
      </w:pPr>
    </w:p>
    <w:p>
      <w:pPr>
        <w:jc w:val="both"/>
        <w:ind w:firstLine="656"/>
        <w:spacing w:after="0" w:line="270" w:lineRule="auto"/>
        <w:tabs>
          <w:tab w:leader="none" w:pos="12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RBC, as Administrative Agent, shall deliver, on or before the date it becomes a party to this Agreement, to the U.S. Borrower a duly completed copy of IRS Form W-8IMY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have the right to require the appointment of an agent that is a U.S. Person solely for the purposes of receiving U.S. tax forms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administering any required withholding for U.S. Taxes under this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appointment shall not otherwise affect the rights and obligations of the Administrative Agent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8" w:name="page129"/>
    <w:bookmarkEnd w:id="128"/>
    <w:p>
      <w:pPr>
        <w:jc w:val="both"/>
        <w:ind w:firstLine="656"/>
        <w:spacing w:after="0" w:line="287" w:lineRule="auto"/>
        <w:tabs>
          <w:tab w:leader="none" w:pos="116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64" w:lineRule="exact"/>
        <w:rPr>
          <w:rFonts w:ascii="Arial" w:cs="Arial" w:eastAsia="Arial" w:hAnsi="Arial"/>
          <w:sz w:val="16"/>
          <w:szCs w:val="16"/>
          <w:color w:val="auto"/>
        </w:rPr>
      </w:pPr>
    </w:p>
    <w:p>
      <w:pPr>
        <w:ind w:left="880" w:hanging="224"/>
        <w:spacing w:after="0"/>
        <w:tabs>
          <w:tab w:leader="none" w:pos="880" w:val="left"/>
        </w:tabs>
        <w:numPr>
          <w:ilvl w:val="0"/>
          <w:numId w:val="69"/>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Australian GST.</w:t>
      </w:r>
    </w:p>
    <w:p>
      <w:pPr>
        <w:spacing w:after="0" w:line="266" w:lineRule="exact"/>
        <w:rPr>
          <w:sz w:val="20"/>
          <w:szCs w:val="20"/>
          <w:color w:val="auto"/>
        </w:rPr>
      </w:pPr>
    </w:p>
    <w:p>
      <w:pPr>
        <w:ind w:firstLine="656"/>
        <w:spacing w:after="0" w:line="244" w:lineRule="auto"/>
        <w:tabs>
          <w:tab w:leader="none" w:pos="1188" w:val="left"/>
        </w:tabs>
        <w:numPr>
          <w:ilvl w:val="0"/>
          <w:numId w:val="70"/>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expressly stated otherwise in the relevant Loan Document, the consideration payable for any supply made by or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Issuing Bank under or in connection with any Loan Document does not include Australian GST.</w:t>
      </w:r>
    </w:p>
    <w:p>
      <w:pPr>
        <w:spacing w:after="0" w:line="194" w:lineRule="exact"/>
        <w:rPr>
          <w:rFonts w:ascii="Arial" w:cs="Arial" w:eastAsia="Arial" w:hAnsi="Arial"/>
          <w:sz w:val="22"/>
          <w:szCs w:val="22"/>
          <w:b w:val="1"/>
          <w:bCs w:val="1"/>
          <w:color w:val="auto"/>
        </w:rPr>
      </w:pPr>
    </w:p>
    <w:p>
      <w:pPr>
        <w:ind w:left="1300" w:firstLine="5"/>
        <w:spacing w:after="0" w:line="282" w:lineRule="auto"/>
        <w:tabs>
          <w:tab w:leader="none" w:pos="1565" w:val="left"/>
        </w:tabs>
        <w:numPr>
          <w:ilvl w:val="1"/>
          <w:numId w:val="70"/>
        </w:numPr>
        <w:rPr>
          <w:rFonts w:ascii="Arial" w:cs="Arial" w:eastAsia="Arial" w:hAnsi="Arial"/>
          <w:sz w:val="18"/>
          <w:szCs w:val="18"/>
          <w:b w:val="1"/>
          <w:bCs w:val="1"/>
          <w:color w:val="auto"/>
          <w:strike w:val="1"/>
        </w:rPr>
      </w:pPr>
      <w:r>
        <w:rPr>
          <w:rFonts w:ascii="Arial" w:cs="Arial" w:eastAsia="Arial" w:hAnsi="Arial"/>
          <w:sz w:val="18"/>
          <w:szCs w:val="18"/>
          <w:b w:val="1"/>
          <w:bCs w:val="1"/>
          <w:u w:val="single" w:color="auto"/>
          <w:color w:val="auto"/>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If Australian GST is payable in respect of any supply made by or through a Lender or Issuing Bank (a “</w:t>
      </w:r>
      <w:r>
        <w:rPr>
          <w:rFonts w:ascii="Arial" w:cs="Arial" w:eastAsia="Arial" w:hAnsi="Arial"/>
          <w:sz w:val="18"/>
          <w:szCs w:val="18"/>
          <w:i w:val="1"/>
          <w:iCs w:val="1"/>
          <w:color w:val="auto"/>
        </w:rPr>
        <w:t>Supplier</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Loan Document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Australian GST Liability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then:</w:t>
      </w:r>
    </w:p>
    <w:p>
      <w:pPr>
        <w:spacing w:after="0" w:line="165" w:lineRule="exact"/>
        <w:rPr>
          <w:rFonts w:ascii="Arial" w:cs="Arial" w:eastAsia="Arial" w:hAnsi="Arial"/>
          <w:sz w:val="18"/>
          <w:szCs w:val="18"/>
          <w:b w:val="1"/>
          <w:bCs w:val="1"/>
          <w:color w:val="auto"/>
          <w:strike w:val="1"/>
        </w:rPr>
      </w:pPr>
    </w:p>
    <w:p>
      <w:pPr>
        <w:ind w:left="1300" w:firstLine="653"/>
        <w:spacing w:after="0" w:line="277" w:lineRule="auto"/>
        <w:tabs>
          <w:tab w:leader="none" w:pos="249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where consideration is provided by a party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 relation to that supply, the Recipient Party will pay an additional amount to the Supplier equal to the full amount of the Australian GST Liability;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465" w:val="left"/>
        </w:tabs>
        <w:numPr>
          <w:ilvl w:val="2"/>
          <w:numId w:val="70"/>
        </w:numPr>
        <w:rPr>
          <w:rFonts w:ascii="Arial" w:cs="Arial" w:eastAsia="Arial" w:hAnsi="Arial"/>
          <w:sz w:val="18"/>
          <w:szCs w:val="18"/>
          <w:color w:val="auto"/>
        </w:rPr>
      </w:pPr>
      <w:r>
        <w:rPr>
          <w:rFonts w:ascii="Arial" w:cs="Arial" w:eastAsia="Arial" w:hAnsi="Arial"/>
          <w:sz w:val="18"/>
          <w:szCs w:val="18"/>
          <w:color w:val="auto"/>
        </w:rPr>
        <w:t>except where the foregoing clause (A) applies, the Australian Borrower will indemnify and keep the Supplier indemnified for the full amount of the Australian GST Liability.</w:t>
      </w:r>
    </w:p>
    <w:p>
      <w:pPr>
        <w:spacing w:after="0" w:line="170"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Arial" w:cs="Arial" w:eastAsia="Arial" w:hAnsi="Arial"/>
          <w:sz w:val="16"/>
          <w:szCs w:val="16"/>
          <w:i w:val="1"/>
          <w:iCs w:val="1"/>
          <w:color w:val="auto"/>
        </w:rPr>
        <w:t>Goods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Tax</w:t>
      </w:r>
      <w:r>
        <w:rPr>
          <w:rFonts w:ascii="Arial" w:cs="Arial" w:eastAsia="Arial" w:hAnsi="Arial"/>
          <w:sz w:val="16"/>
          <w:szCs w:val="16"/>
          <w:color w:val="auto"/>
        </w:rPr>
        <w:t>) Act 1999 (</w:t>
      </w:r>
      <w:r>
        <w:rPr>
          <w:rFonts w:ascii="Arial" w:cs="Arial" w:eastAsia="Arial" w:hAnsi="Arial"/>
          <w:sz w:val="16"/>
          <w:szCs w:val="16"/>
          <w:i w:val="1"/>
          <w:iCs w:val="1"/>
          <w:color w:val="auto"/>
        </w:rPr>
        <w:t>Cth</w:t>
      </w:r>
      <w:r>
        <w:rPr>
          <w:rFonts w:ascii="Arial" w:cs="Arial" w:eastAsia="Arial" w:hAnsi="Arial"/>
          <w:sz w:val="16"/>
          <w:szCs w:val="16"/>
          <w:color w:val="auto"/>
        </w:rPr>
        <w:t>) and the Lender or Issuing Bank has no liability at all in relation to that payment.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jc w:val="both"/>
        <w:ind w:left="1300" w:firstLine="5"/>
        <w:spacing w:after="0" w:line="303" w:lineRule="auto"/>
        <w:tabs>
          <w:tab w:leader="none" w:pos="1615" w:val="left"/>
        </w:tabs>
        <w:numPr>
          <w:ilvl w:val="0"/>
          <w:numId w:val="71"/>
        </w:numPr>
        <w:rPr>
          <w:rFonts w:ascii="Arial" w:cs="Arial" w:eastAsia="Arial" w:hAnsi="Arial"/>
          <w:sz w:val="16"/>
          <w:szCs w:val="16"/>
          <w:b w:val="1"/>
          <w:bCs w:val="1"/>
          <w:color w:val="auto"/>
          <w:strike w:val="1"/>
        </w:rPr>
      </w:pPr>
      <w:r>
        <w:rPr>
          <w:rFonts w:ascii="Arial" w:cs="Arial" w:eastAsia="Arial" w:hAnsi="Arial"/>
          <w:sz w:val="16"/>
          <w:szCs w:val="16"/>
          <w:b w:val="1"/>
          <w:bCs w:val="1"/>
          <w:u w:val="single" w:color="auto"/>
          <w:color w:val="auto"/>
        </w:rPr>
        <w:t>(iii)</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or reimbursement required to be made to a Lender or Issuing Bank under any Loan Document that is calculated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reference to a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paid or incurred will be limited to the total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less the amount of any input tax credit or other credit to which the relevant Lender or Issuing Bank (or the representative member for a Australian GST group of which the relevant Lender or Issuing Bank is a member) is entitled for the acquisition to which the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relates.</w:t>
      </w:r>
    </w:p>
    <w:p>
      <w:pPr>
        <w:spacing w:after="0" w:line="151" w:lineRule="exact"/>
        <w:rPr>
          <w:rFonts w:ascii="Arial" w:cs="Arial" w:eastAsia="Arial" w:hAnsi="Arial"/>
          <w:sz w:val="16"/>
          <w:szCs w:val="16"/>
          <w:b w:val="1"/>
          <w:bCs w:val="1"/>
          <w:color w:val="auto"/>
          <w:strike w:val="1"/>
        </w:rPr>
      </w:pPr>
    </w:p>
    <w:p>
      <w:pPr>
        <w:ind w:left="1300" w:firstLine="5"/>
        <w:spacing w:after="0" w:line="282" w:lineRule="auto"/>
        <w:tabs>
          <w:tab w:leader="none" w:pos="1605" w:val="left"/>
        </w:tabs>
        <w:numPr>
          <w:ilvl w:val="0"/>
          <w:numId w:val="71"/>
        </w:numPr>
        <w:rPr>
          <w:rFonts w:ascii="Arial" w:cs="Arial" w:eastAsia="Arial" w:hAnsi="Arial"/>
          <w:sz w:val="18"/>
          <w:szCs w:val="18"/>
          <w:b w:val="1"/>
          <w:bCs w:val="1"/>
          <w:color w:val="auto"/>
          <w:strike w:val="1"/>
        </w:rPr>
      </w:pPr>
      <w:r>
        <w:rPr>
          <w:rFonts w:ascii="Arial" w:cs="Arial" w:eastAsia="Arial" w:hAnsi="Arial"/>
          <w:sz w:val="18"/>
          <w:szCs w:val="18"/>
          <w:b w:val="1"/>
          <w:bCs w:val="1"/>
          <w:u w:val="single" w:color="auto"/>
          <w:color w:val="auto"/>
        </w:rPr>
        <w:t>(iv)</w:t>
      </w:r>
      <w:r>
        <w:rPr>
          <w:rFonts w:ascii="Arial" w:cs="Arial" w:eastAsia="Arial" w:hAnsi="Arial"/>
          <w:sz w:val="18"/>
          <w:szCs w:val="18"/>
          <w:b w:val="1"/>
          <w:bCs w:val="1"/>
          <w:color w:val="auto"/>
        </w:rPr>
        <w:t xml:space="preserve"> </w:t>
      </w:r>
      <w:r>
        <w:rPr>
          <w:rFonts w:ascii="Arial" w:cs="Arial" w:eastAsia="Arial" w:hAnsi="Arial"/>
          <w:sz w:val="18"/>
          <w:szCs w:val="18"/>
          <w:color w:val="auto"/>
        </w:rPr>
        <w:t>Words used in this Section 2.19(j) which are not defined in this agreement but which have a defined meaning in the GST Law</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same meaning as in the GST Law unless the contrary intention appears.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2.20 Assignment of Commitments Under Certain Circumstances; Duty to Mitigate</w:t>
      </w:r>
      <w:r>
        <w:rPr>
          <w:rFonts w:ascii="Arial" w:cs="Arial" w:eastAsia="Arial" w:hAnsi="Arial"/>
          <w:sz w:val="17"/>
          <w:szCs w:val="17"/>
          <w:color w:val="auto"/>
        </w:rPr>
        <w:t>. (a) In the event (i) any Lender or Issuing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jc w:val="both"/>
        <w:ind w:firstLine="656"/>
        <w:spacing w:after="0" w:line="270" w:lineRule="auto"/>
        <w:tabs>
          <w:tab w:leader="none" w:pos="10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8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2.21</w:t>
      </w:r>
      <w:r>
        <w:rPr>
          <w:sz w:val="20"/>
          <w:szCs w:val="20"/>
          <w:color w:val="auto"/>
        </w:rPr>
        <w:tab/>
      </w:r>
      <w:r>
        <w:rPr>
          <w:rFonts w:ascii="Arial" w:cs="Arial" w:eastAsia="Arial" w:hAnsi="Arial"/>
          <w:sz w:val="15"/>
          <w:szCs w:val="15"/>
          <w:b w:val="1"/>
          <w:bCs w:val="1"/>
          <w:i w:val="1"/>
          <w:iCs w:val="1"/>
          <w:color w:val="auto"/>
        </w:rPr>
        <w:t>Letters of Credit</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97" w:lineRule="auto"/>
        <w:tabs>
          <w:tab w:leader="none" w:pos="1097" w:val="left"/>
        </w:tabs>
        <w:numPr>
          <w:ilvl w:val="1"/>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Each Borrower may request the issuance of a Letter of Credit denominated in U.S. dollars, Canadian dollars, Australian dollars or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58" w:lineRule="exact"/>
        <w:rPr>
          <w:rFonts w:ascii="Arial" w:cs="Arial" w:eastAsia="Arial" w:hAnsi="Arial"/>
          <w:sz w:val="16"/>
          <w:szCs w:val="16"/>
          <w:i w:val="1"/>
          <w:iCs w:val="1"/>
          <w:color w:val="auto"/>
        </w:rPr>
      </w:pPr>
    </w:p>
    <w:p>
      <w:pPr>
        <w:jc w:val="both"/>
        <w:ind w:firstLine="656"/>
        <w:spacing w:after="0" w:line="284" w:lineRule="auto"/>
        <w:tabs>
          <w:tab w:leader="none" w:pos="1094" w:val="left"/>
        </w:tabs>
        <w:numPr>
          <w:ilvl w:val="1"/>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Notice of Issuance, Amendment, Renewal, Extension; Certain Conditions</w:t>
      </w:r>
      <w:r>
        <w:rPr>
          <w:rFonts w:ascii="Arial" w:cs="Arial" w:eastAsia="Arial" w:hAnsi="Arial"/>
          <w:sz w:val="16"/>
          <w:szCs w:val="16"/>
          <w:color w:val="auto"/>
        </w:rPr>
        <w:t>. In order to request the issuance of a Letter of Credit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w:t>
      </w:r>
    </w:p>
    <w:p>
      <w:pPr>
        <w:spacing w:after="0" w:line="4" w:lineRule="exact"/>
        <w:rPr>
          <w:rFonts w:ascii="Arial" w:cs="Arial" w:eastAsia="Arial" w:hAnsi="Arial"/>
          <w:sz w:val="16"/>
          <w:szCs w:val="16"/>
          <w:i w:val="1"/>
          <w:iCs w:val="1"/>
          <w:color w:val="auto"/>
        </w:rPr>
      </w:pPr>
    </w:p>
    <w:p>
      <w:pPr>
        <w:jc w:val="both"/>
        <w:ind w:firstLine="8"/>
        <w:spacing w:after="0" w:line="281" w:lineRule="auto"/>
        <w:tabs>
          <w:tab w:leader="none" w:pos="269"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whether the Letter of Credit is to be a U.S. Letter of Credit, a Canadian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Letter of Credit or an Australian Letter of Credit,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and address of the beneficiary thereof and such other information as shall be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w:t>
      </w:r>
      <w:r>
        <w:rPr>
          <w:rFonts w:ascii="Arial" w:cs="Arial" w:eastAsia="Arial" w:hAnsi="Arial"/>
          <w:sz w:val="16"/>
          <w:szCs w:val="16"/>
          <w:b w:val="1"/>
          <w:bCs w:val="1"/>
          <w:u w:val="single" w:color="auto"/>
          <w:color w:val="auto"/>
        </w:rPr>
        <w:t>denominated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 U.S. dollars or an Alternative Currency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amended, renewed or extended only if, and upon issuance, amendment, renewal or</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of each Letter of Credit the U.S. Borrower shall be deemed to represent and warrant that, after giving effect to such issuance, amendment, renewal or extension (i) the U.S. L/C Exposure shall not exceed U.S.$</w:t>
      </w:r>
      <w:r>
        <w:rPr>
          <w:rFonts w:ascii="Arial" w:cs="Arial" w:eastAsia="Arial" w:hAnsi="Arial"/>
          <w:sz w:val="16"/>
          <w:szCs w:val="16"/>
          <w:b w:val="1"/>
          <w:bCs w:val="1"/>
          <w:color w:val="auto"/>
          <w:strike w:val="1"/>
        </w:rPr>
        <w:t>50,000,000</w:t>
      </w:r>
      <w:r>
        <w:rPr>
          <w:rFonts w:ascii="Arial" w:cs="Arial" w:eastAsia="Arial" w:hAnsi="Arial"/>
          <w:sz w:val="16"/>
          <w:szCs w:val="16"/>
          <w:b w:val="1"/>
          <w:bCs w:val="1"/>
          <w:u w:val="single" w:color="auto"/>
          <w:color w:val="auto"/>
        </w:rPr>
        <w:t>30,000,000</w:t>
      </w:r>
      <w:r>
        <w:rPr>
          <w:rFonts w:ascii="Arial" w:cs="Arial" w:eastAsia="Arial" w:hAnsi="Arial"/>
          <w:sz w:val="16"/>
          <w:szCs w:val="16"/>
          <w:color w:val="auto"/>
        </w:rPr>
        <w:t xml:space="preserve">,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w:t>
      </w:r>
      <w:r>
        <w:rPr>
          <w:rFonts w:ascii="Arial" w:cs="Arial" w:eastAsia="Arial" w:hAnsi="Arial"/>
          <w:sz w:val="16"/>
          <w:szCs w:val="16"/>
          <w:b w:val="1"/>
          <w:bCs w:val="1"/>
          <w:u w:val="single" w:color="auto"/>
          <w:color w:val="auto"/>
        </w:rPr>
        <w:t>denominated in Canadian dollars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amended, renewed or extended only if, and upon issuance, amendment, renewal or extension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Letter of Credit, such Canadian Borrower shall be deemed to represent and warrant that after giving effect to such issuance, amendment, renewal or extension (i) the Canadian L/C Exposure shall not exceed the Canadian Dollar Equivalent of U.S.$</w:t>
      </w:r>
      <w:r>
        <w:rPr>
          <w:rFonts w:ascii="Arial" w:cs="Arial" w:eastAsia="Arial" w:hAnsi="Arial"/>
          <w:sz w:val="16"/>
          <w:szCs w:val="16"/>
          <w:b w:val="1"/>
          <w:bCs w:val="1"/>
          <w:color w:val="auto"/>
          <w:strike w:val="1"/>
        </w:rPr>
        <w:t>10,000,000</w:t>
      </w:r>
      <w:r>
        <w:rPr>
          <w:rFonts w:ascii="Arial" w:cs="Arial" w:eastAsia="Arial" w:hAnsi="Arial"/>
          <w:sz w:val="16"/>
          <w:szCs w:val="16"/>
          <w:b w:val="1"/>
          <w:bCs w:val="1"/>
          <w:u w:val="single" w:color="auto"/>
          <w:color w:val="auto"/>
        </w:rPr>
        <w:t>40,000,000</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(ii) the aggregate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Exposure shall not exceed the Total Canadian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r>
        <w:rPr>
          <w:rFonts w:ascii="Arial" w:cs="Arial" w:eastAsia="Arial" w:hAnsi="Arial"/>
          <w:sz w:val="16"/>
          <w:szCs w:val="16"/>
          <w:b w:val="1"/>
          <w:bCs w:val="1"/>
          <w:color w:val="auto"/>
        </w:rPr>
        <w:t xml:space="preserve"> and (iii) the portion of the Canadian L/C</w:t>
      </w:r>
    </w:p>
    <w:p>
      <w:pPr>
        <w:spacing w:after="0" w:line="10"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b w:val="1"/>
          <w:bCs w:val="1"/>
          <w:u w:val="single" w:color="auto"/>
          <w:color w:val="auto"/>
        </w:rPr>
        <w:t>Exposure attributable to Letters of Credit issued by such Applicable Issuing Bank will not, unless such Applicable Issuing Bank shall so agree in its sole discretion, exceed the L/C Issuance Limit of such Applicable Issuing Bank</w:t>
      </w:r>
      <w:r>
        <w:rPr>
          <w:rFonts w:ascii="Arial" w:cs="Arial" w:eastAsia="Arial" w:hAnsi="Arial"/>
          <w:sz w:val="18"/>
          <w:szCs w:val="18"/>
          <w:color w:val="auto"/>
        </w:rPr>
        <w:t>. An Australian Letter of Credit shall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 denominated in Australian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dollars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amended, renewed or extended only if, and upon issuance, amendment, renewal or extension of each Australian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-835660</wp:posOffset>
            </wp:positionV>
            <wp:extent cx="20669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66925" cy="8890"/>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-852805</wp:posOffset>
            </wp:positionV>
            <wp:extent cx="20643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6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jc w:val="both"/>
        <w:ind w:firstLine="656"/>
        <w:spacing w:after="0" w:line="286" w:lineRule="auto"/>
        <w:tabs>
          <w:tab w:leader="none" w:pos="1118"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Expiration Date</w:t>
      </w:r>
      <w:r>
        <w:rPr>
          <w:rFonts w:ascii="Arial" w:cs="Arial" w:eastAsia="Arial" w:hAnsi="Arial"/>
          <w:sz w:val="16"/>
          <w:szCs w:val="16"/>
          <w:color w:val="auto"/>
        </w:rPr>
        <w:t>. Each U.S. Letter of Credit and Canadian Letter of Credit shall have an expiration date not later than the earlier of (y)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after the date of the issuance of such Letter of Credit and (z) the date that is 24 months after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60 days prior to the Maturity Date the Borrowers shall deposit in an account with the U.S. Collateral Agent or the Canadian Collateral Agent, as the case may be, for the benefit of the U.S. Revolving Lenders or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as the case may be, an amount in cash equal to 105% of the U.S. L/C Exposure or </w:t>
      </w:r>
      <w:r>
        <w:rPr>
          <w:rFonts w:ascii="Arial" w:cs="Arial" w:eastAsia="Arial" w:hAnsi="Arial"/>
          <w:sz w:val="16"/>
          <w:szCs w:val="16"/>
          <w:b w:val="1"/>
          <w:bCs w:val="1"/>
          <w:color w:val="auto"/>
          <w:strike w:val="1"/>
        </w:rPr>
        <w:t>the</w:t>
      </w:r>
      <w:r>
        <w:rPr>
          <w:rFonts w:ascii="Arial" w:cs="Arial" w:eastAsia="Arial" w:hAnsi="Arial"/>
          <w:sz w:val="16"/>
          <w:szCs w:val="16"/>
          <w:color w:val="auto"/>
        </w:rPr>
        <w:t xml:space="preserve">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Event of Default has occurred and is continuing, be released to the Borrowers to the extent that the funds on deposit exceed 105%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L/C Exposure or the Canadian L/C Exposure, respectively. Each Australian Letter of Credit shall have an expiration date not later than the Maturity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jc w:val="both"/>
        <w:ind w:firstLine="656"/>
        <w:spacing w:after="0" w:line="286" w:lineRule="auto"/>
        <w:tabs>
          <w:tab w:leader="none" w:pos="1205"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By the issuance of a Letter of Credit and without any further action on the part of an Issuing Bank or the Lenders,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Issuing Bank hereby grants to each U.S. Revolving Lender,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or Australian Lender, as the case may be, and each such Revolving Lender hereby acquires from the Applicable Issuing Bank, a participation in such Letter of Credit equal to such Lender’s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w:t>
      </w:r>
      <w:r>
        <w:rPr>
          <w:rFonts w:ascii="Arial" w:cs="Arial" w:eastAsia="Arial" w:hAnsi="Arial"/>
          <w:sz w:val="16"/>
          <w:szCs w:val="16"/>
          <w:b w:val="1"/>
          <w:bCs w:val="1"/>
          <w:u w:val="single" w:color="auto"/>
          <w:color w:val="auto"/>
        </w:rPr>
        <w:t>Tranche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of the U.S. Dollar Equivalent of each L/C Disbursement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strike w:val="1"/>
        </w:rPr>
        <w:t>unless (i) such Letter of Credit is a</w:t>
      </w:r>
      <w:r>
        <w:rPr>
          <w:rFonts w:ascii="Arial" w:cs="Arial" w:eastAsia="Arial" w:hAnsi="Arial"/>
          <w:sz w:val="16"/>
          <w:szCs w:val="16"/>
          <w:b w:val="1"/>
          <w:bCs w:val="1"/>
          <w:u w:val="single" w:color="auto"/>
          <w:color w:val="auto"/>
        </w:rPr>
        <w:t>except (i) in the case of</w:t>
      </w:r>
      <w:r>
        <w:rPr>
          <w:rFonts w:ascii="Arial" w:cs="Arial" w:eastAsia="Arial" w:hAnsi="Arial"/>
          <w:sz w:val="16"/>
          <w:szCs w:val="16"/>
          <w:color w:val="auto"/>
        </w:rPr>
        <w:t xml:space="preserve"> Canadian Letter of Credit </w:t>
      </w:r>
      <w:r>
        <w:rPr>
          <w:rFonts w:ascii="Arial" w:cs="Arial" w:eastAsia="Arial" w:hAnsi="Arial"/>
          <w:sz w:val="16"/>
          <w:szCs w:val="16"/>
          <w:b w:val="1"/>
          <w:bCs w:val="1"/>
          <w:color w:val="auto"/>
          <w:strike w:val="1"/>
        </w:rPr>
        <w:t>denominated in Canadian dollars</w:t>
      </w:r>
      <w:r>
        <w:rPr>
          <w:rFonts w:ascii="Arial" w:cs="Arial" w:eastAsia="Arial" w:hAnsi="Arial"/>
          <w:sz w:val="16"/>
          <w:szCs w:val="16"/>
          <w:color w:val="auto"/>
        </w:rPr>
        <w:t xml:space="preserve">, in which case such payment shall be made in Canadian dollars or (ii) </w:t>
      </w:r>
      <w:r>
        <w:rPr>
          <w:rFonts w:ascii="Arial" w:cs="Arial" w:eastAsia="Arial" w:hAnsi="Arial"/>
          <w:sz w:val="16"/>
          <w:szCs w:val="16"/>
          <w:b w:val="1"/>
          <w:bCs w:val="1"/>
          <w:color w:val="auto"/>
          <w:strike w:val="1"/>
        </w:rPr>
        <w:t>such Letter of Credit is</w:t>
      </w:r>
      <w:r>
        <w:rPr>
          <w:rFonts w:ascii="Arial" w:cs="Arial" w:eastAsia="Arial" w:hAnsi="Arial"/>
          <w:sz w:val="16"/>
          <w:szCs w:val="16"/>
          <w:b w:val="1"/>
          <w:bCs w:val="1"/>
          <w:u w:val="single" w:color="auto"/>
          <w:color w:val="auto"/>
        </w:rPr>
        <w:t>in the case of</w:t>
      </w:r>
      <w:r>
        <w:rPr>
          <w:rFonts w:ascii="Arial" w:cs="Arial" w:eastAsia="Arial" w:hAnsi="Arial"/>
          <w:sz w:val="16"/>
          <w:szCs w:val="16"/>
          <w:color w:val="auto"/>
        </w:rPr>
        <w:t xml:space="preserve"> an Australian Letter of Credit </w:t>
      </w:r>
      <w:r>
        <w:rPr>
          <w:rFonts w:ascii="Arial" w:cs="Arial" w:eastAsia="Arial" w:hAnsi="Arial"/>
          <w:sz w:val="16"/>
          <w:szCs w:val="16"/>
          <w:b w:val="1"/>
          <w:bCs w:val="1"/>
          <w:color w:val="auto"/>
          <w:strike w:val="1"/>
        </w:rPr>
        <w:t>denominated in Australian dollars</w:t>
      </w:r>
      <w:r>
        <w:rPr>
          <w:rFonts w:ascii="Arial" w:cs="Arial" w:eastAsia="Arial" w:hAnsi="Arial"/>
          <w:sz w:val="16"/>
          <w:szCs w:val="16"/>
          <w:color w:val="auto"/>
        </w:rPr>
        <w: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68" w:lineRule="exact"/>
        <w:rPr>
          <w:rFonts w:ascii="Arial" w:cs="Arial" w:eastAsia="Arial" w:hAnsi="Arial"/>
          <w:sz w:val="16"/>
          <w:szCs w:val="16"/>
          <w:i w:val="1"/>
          <w:iCs w:val="1"/>
          <w:color w:val="auto"/>
        </w:rPr>
      </w:pPr>
    </w:p>
    <w:p>
      <w:pPr>
        <w:jc w:val="both"/>
        <w:ind w:firstLine="656"/>
        <w:spacing w:after="0" w:line="255" w:lineRule="auto"/>
        <w:tabs>
          <w:tab w:leader="none" w:pos="1073"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Reimbursement</w:t>
      </w:r>
      <w:r>
        <w:rPr>
          <w:rFonts w:ascii="Arial" w:cs="Arial" w:eastAsia="Arial" w:hAnsi="Arial"/>
          <w:sz w:val="18"/>
          <w:szCs w:val="18"/>
          <w:color w:val="auto"/>
        </w:rPr>
        <w:t>. If an Issuing Bank shall make any L/C Disbursement in respect of a Letter of Credit, the Applicable Borrower shall pay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jc w:val="both"/>
        <w:ind w:firstLine="656"/>
        <w:spacing w:after="0" w:line="264" w:lineRule="auto"/>
        <w:tabs>
          <w:tab w:leader="none" w:pos="1144"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Each Borrower’s obligations to reimburse L/C Disbursements as provided in paragraph (e) above shall be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and irrevocable, and shall be performed strictly in accordance with the terms of this Agreement, under any and all circumstances whatsoever, and irrespective of:</w:t>
      </w:r>
    </w:p>
    <w:p>
      <w:pPr>
        <w:spacing w:after="0" w:line="181" w:lineRule="exact"/>
        <w:rPr>
          <w:rFonts w:ascii="Arial" w:cs="Arial" w:eastAsia="Arial" w:hAnsi="Arial"/>
          <w:sz w:val="18"/>
          <w:szCs w:val="18"/>
          <w:i w:val="1"/>
          <w:iCs w:val="1"/>
          <w:color w:val="auto"/>
        </w:rPr>
      </w:pPr>
    </w:p>
    <w:p>
      <w:pPr>
        <w:ind w:left="1700" w:hanging="395"/>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any Loan Document, or any term or provision therein;</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amendment or waiver of or any consent to departure from all or any of the provisions of any Letter of Credit or any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80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existence of any claim, counterclaim, setoff, defense or other right that such Borrower, any other party guaranteeing, or otherwise obligated with, such Borrower, any </w:t>
      </w:r>
      <w:r>
        <w:rPr>
          <w:rFonts w:ascii="Arial" w:cs="Arial" w:eastAsia="Arial" w:hAnsi="Arial"/>
          <w:sz w:val="18"/>
          <w:szCs w:val="18"/>
          <w:b w:val="1"/>
          <w:bCs w:val="1"/>
          <w:color w:val="auto"/>
          <w:strike w:val="1"/>
        </w:rPr>
        <w:t>Subsidiary or</w:t>
      </w:r>
      <w:r>
        <w:rPr>
          <w:rFonts w:ascii="Arial" w:cs="Arial" w:eastAsia="Arial" w:hAnsi="Arial"/>
          <w:sz w:val="18"/>
          <w:szCs w:val="18"/>
          <w:b w:val="1"/>
          <w:bCs w:val="1"/>
          <w:u w:val="single" w:color="auto"/>
          <w:color w:val="auto"/>
        </w:rPr>
        <w:t>subsidiary or</w:t>
      </w:r>
      <w:r>
        <w:rPr>
          <w:rFonts w:ascii="Arial" w:cs="Arial" w:eastAsia="Arial" w:hAnsi="Arial"/>
          <w:sz w:val="18"/>
          <w:szCs w:val="18"/>
          <w:color w:val="auto"/>
        </w:rPr>
        <w:t xml:space="preserve">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81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77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88" w:lineRule="exact"/>
        <w:rPr>
          <w:rFonts w:ascii="Arial" w:cs="Arial" w:eastAsia="Arial" w:hAnsi="Arial"/>
          <w:sz w:val="18"/>
          <w:szCs w:val="18"/>
          <w:color w:val="auto"/>
        </w:rPr>
      </w:pPr>
    </w:p>
    <w:p>
      <w:pPr>
        <w:ind w:left="660" w:firstLine="645"/>
        <w:spacing w:after="0" w:line="277" w:lineRule="auto"/>
        <w:tabs>
          <w:tab w:leader="none" w:pos="18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any Borrower, any Subsidiary or any other person, or in the relevant currency markets generally;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jc w:val="both"/>
        <w:ind w:firstLine="648"/>
        <w:spacing w:after="0" w:line="264" w:lineRule="auto"/>
        <w:rPr>
          <w:sz w:val="20"/>
          <w:szCs w:val="20"/>
          <w:color w:val="auto"/>
        </w:rPr>
      </w:pPr>
      <w:r>
        <w:rPr>
          <w:rFonts w:ascii="Arial" w:cs="Arial" w:eastAsia="Arial" w:hAnsi="Arial"/>
          <w:sz w:val="18"/>
          <w:szCs w:val="18"/>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81" w:lineRule="exact"/>
        <w:rPr>
          <w:sz w:val="20"/>
          <w:szCs w:val="20"/>
          <w:color w:val="auto"/>
        </w:rPr>
      </w:pPr>
    </w:p>
    <w:p>
      <w:pPr>
        <w:jc w:val="both"/>
        <w:ind w:firstLine="656"/>
        <w:spacing w:after="0" w:line="264" w:lineRule="auto"/>
        <w:tabs>
          <w:tab w:leader="none" w:pos="1134"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Role of Issuing Bank</w:t>
      </w:r>
      <w:r>
        <w:rPr>
          <w:rFonts w:ascii="Arial" w:cs="Arial" w:eastAsia="Arial" w:hAnsi="Arial"/>
          <w:sz w:val="18"/>
          <w:szCs w:val="18"/>
          <w:color w:val="auto"/>
        </w:rPr>
        <w:t>. Each Borrower assumes all risks of the acts or omissions of any beneficiary or transferee of any Letter of Credit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its use of such Letter of Credit. None of the Issuing Banks, the Agents, any of their respective Related Parties or any correspondent, participant or assignee of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Issuing Bank shall be liable or responsible for:</w:t>
      </w:r>
    </w:p>
    <w:p>
      <w:pPr>
        <w:spacing w:after="0" w:line="181" w:lineRule="exact"/>
        <w:rPr>
          <w:rFonts w:ascii="Arial" w:cs="Arial" w:eastAsia="Arial" w:hAnsi="Arial"/>
          <w:sz w:val="18"/>
          <w:szCs w:val="18"/>
          <w:i w:val="1"/>
          <w:iCs w:val="1"/>
          <w:color w:val="auto"/>
        </w:rPr>
      </w:pPr>
    </w:p>
    <w:p>
      <w:pPr>
        <w:ind w:left="1700" w:hanging="395"/>
        <w:spacing w:after="0"/>
        <w:tabs>
          <w:tab w:leader="none" w:pos="17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use which may be made of any Letter of Credit or any acts or omissions of any beneficiary or transferee in connection therewith;</w:t>
      </w:r>
    </w:p>
    <w:p>
      <w:pPr>
        <w:spacing w:after="0" w:line="248" w:lineRule="exact"/>
        <w:rPr>
          <w:rFonts w:ascii="Arial" w:cs="Arial" w:eastAsia="Arial" w:hAnsi="Arial"/>
          <w:sz w:val="16"/>
          <w:szCs w:val="16"/>
          <w:color w:val="auto"/>
        </w:rPr>
      </w:pPr>
    </w:p>
    <w:p>
      <w:pPr>
        <w:ind w:left="660" w:firstLine="645"/>
        <w:spacing w:after="0" w:line="277" w:lineRule="auto"/>
        <w:tabs>
          <w:tab w:leader="none" w:pos="179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 thereon, even if such documents should prove to be in any or all respects invalid, insufficient, fraudulent or forged; or</w:t>
      </w:r>
    </w:p>
    <w:p>
      <w:pPr>
        <w:spacing w:after="0" w:line="170" w:lineRule="exact"/>
        <w:rPr>
          <w:rFonts w:ascii="Arial" w:cs="Arial" w:eastAsia="Arial" w:hAnsi="Arial"/>
          <w:sz w:val="18"/>
          <w:szCs w:val="18"/>
          <w:color w:val="auto"/>
        </w:rPr>
      </w:pPr>
    </w:p>
    <w:p>
      <w:pPr>
        <w:ind w:left="660" w:firstLine="645"/>
        <w:spacing w:after="0" w:line="277" w:lineRule="auto"/>
        <w:tabs>
          <w:tab w:leader="none" w:pos="18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other circumstances whatsoever in making or failing to make payment under any Letter of Credit (including the Issuing Bank’s own negligence),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Borrower shall have a claim against the</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such</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shall be liable to, and shall promptly</w:t>
      </w:r>
      <w:r>
        <w:rPr>
          <w:rFonts w:ascii="Arial" w:cs="Arial" w:eastAsia="Arial" w:hAnsi="Arial"/>
          <w:sz w:val="16"/>
          <w:szCs w:val="16"/>
          <w:i w:val="1"/>
          <w:iCs w:val="1"/>
          <w:color w:val="auto"/>
        </w:rPr>
        <w:t xml:space="preserve"> </w:t>
      </w:r>
      <w:r>
        <w:rPr>
          <w:rFonts w:ascii="Arial" w:cs="Arial" w:eastAsia="Arial" w:hAnsi="Arial"/>
          <w:sz w:val="16"/>
          <w:szCs w:val="16"/>
          <w:color w:val="auto"/>
        </w:rPr>
        <w:t>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jc w:val="both"/>
        <w:ind w:firstLine="656"/>
        <w:spacing w:after="0" w:line="273" w:lineRule="auto"/>
        <w:tabs>
          <w:tab w:leader="none" w:pos="1162" w:val="left"/>
        </w:tabs>
        <w:numPr>
          <w:ilvl w:val="0"/>
          <w:numId w:val="79"/>
        </w:numPr>
        <w:rPr>
          <w:rFonts w:ascii="Arial" w:cs="Arial" w:eastAsia="Arial" w:hAnsi="Arial"/>
          <w:sz w:val="17"/>
          <w:szCs w:val="17"/>
          <w:i w:val="1"/>
          <w:iCs w:val="1"/>
          <w:color w:val="auto"/>
        </w:rPr>
      </w:pPr>
      <w:r>
        <w:rPr>
          <w:rFonts w:ascii="Arial" w:cs="Arial" w:eastAsia="Arial" w:hAnsi="Arial"/>
          <w:sz w:val="17"/>
          <w:szCs w:val="17"/>
          <w:i w:val="1"/>
          <w:iCs w:val="1"/>
          <w:color w:val="auto"/>
        </w:rPr>
        <w:t>Disbursement Procedures</w:t>
      </w:r>
      <w:r>
        <w:rPr>
          <w:rFonts w:ascii="Arial" w:cs="Arial" w:eastAsia="Arial" w:hAnsi="Arial"/>
          <w:sz w:val="17"/>
          <w:szCs w:val="17"/>
          <w:color w:val="auto"/>
        </w:rPr>
        <w:t>. The Applicable Issuing Bank shall, promptly following its receipt thereof, examine all documents purporting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78" w:lineRule="exact"/>
        <w:rPr>
          <w:rFonts w:ascii="Arial" w:cs="Arial" w:eastAsia="Arial" w:hAnsi="Arial"/>
          <w:sz w:val="17"/>
          <w:szCs w:val="17"/>
          <w:i w:val="1"/>
          <w:iCs w:val="1"/>
          <w:color w:val="auto"/>
        </w:rPr>
      </w:pPr>
    </w:p>
    <w:p>
      <w:pPr>
        <w:jc w:val="both"/>
        <w:ind w:firstLine="656"/>
        <w:spacing w:after="0" w:line="255" w:lineRule="auto"/>
        <w:tabs>
          <w:tab w:leader="none" w:pos="1099"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Interim Interest</w:t>
      </w:r>
      <w:r>
        <w:rPr>
          <w:rFonts w:ascii="Arial" w:cs="Arial" w:eastAsia="Arial" w:hAnsi="Arial"/>
          <w:sz w:val="18"/>
          <w:szCs w:val="18"/>
          <w:color w:val="auto"/>
        </w:rPr>
        <w:t>. If an Issuing Bank shall make any L/C Disbursement in respect of a Letter of Credit, then, unless the Applicable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w:t>
      </w:r>
      <w:r>
        <w:rPr>
          <w:rFonts w:ascii="Arial" w:cs="Arial" w:eastAsia="Arial" w:hAnsi="Arial"/>
          <w:sz w:val="18"/>
          <w:szCs w:val="18"/>
          <w:b w:val="1"/>
          <w:bCs w:val="1"/>
          <w:color w:val="auto"/>
          <w:strike w:val="1"/>
        </w:rPr>
        <w:t>denominated in Canadian dollars), a U.S. Base Rate Loan (for Canadian Letters of</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Credit denominated in U.S. dollars</w:t>
      </w:r>
      <w:r>
        <w:rPr>
          <w:rFonts w:ascii="Arial" w:cs="Arial" w:eastAsia="Arial" w:hAnsi="Arial"/>
          <w:sz w:val="18"/>
          <w:szCs w:val="18"/>
          <w:color w:val="auto"/>
        </w:rPr>
        <w:t>) or, in the case of any L/C Disbursement with respect to an Australian Letter of Credit, a BBSY Rate Loan,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w:t>
      </w:r>
    </w:p>
    <w:p>
      <w:pPr>
        <w:spacing w:after="0" w:line="189" w:lineRule="exact"/>
        <w:rPr>
          <w:rFonts w:ascii="Arial" w:cs="Arial" w:eastAsia="Arial" w:hAnsi="Arial"/>
          <w:sz w:val="18"/>
          <w:szCs w:val="18"/>
          <w:i w:val="1"/>
          <w:iCs w:val="1"/>
          <w:color w:val="auto"/>
        </w:rPr>
      </w:pPr>
    </w:p>
    <w:p>
      <w:pPr>
        <w:jc w:val="both"/>
        <w:ind w:firstLine="656"/>
        <w:spacing w:after="0" w:line="286" w:lineRule="auto"/>
        <w:tabs>
          <w:tab w:leader="none" w:pos="1068"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Resignation or Removal of an Issuing Bank</w:t>
      </w:r>
      <w:r>
        <w:rPr>
          <w:rFonts w:ascii="Arial" w:cs="Arial" w:eastAsia="Arial" w:hAnsi="Arial"/>
          <w:sz w:val="16"/>
          <w:szCs w:val="16"/>
          <w:color w:val="auto"/>
        </w:rPr>
        <w:t>. An Issuing Bank may resign at any time by giving 30 days’ prior written notice to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the Applicable Lenders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may be removed at any time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w:t>
      </w:r>
      <w:r>
        <w:rPr>
          <w:rFonts w:ascii="Arial" w:cs="Arial" w:eastAsia="Arial" w:hAnsi="Arial"/>
          <w:sz w:val="16"/>
          <w:szCs w:val="16"/>
          <w:b w:val="1"/>
          <w:bCs w:val="1"/>
          <w:color w:val="auto"/>
          <w:strike w:val="1"/>
        </w:rPr>
        <w:t>the Borrowers</w:t>
      </w:r>
      <w:r>
        <w:rPr>
          <w:rFonts w:ascii="Arial" w:cs="Arial" w:eastAsia="Arial" w:hAnsi="Arial"/>
          <w:sz w:val="16"/>
          <w:szCs w:val="16"/>
          <w:b w:val="1"/>
          <w:bCs w:val="1"/>
          <w:u w:val="single" w:color="auto"/>
          <w:color w:val="auto"/>
        </w:rPr>
        <w:t>each Applicable Borrower</w:t>
      </w:r>
      <w:r>
        <w:rPr>
          <w:rFonts w:ascii="Arial" w:cs="Arial" w:eastAsia="Arial" w:hAnsi="Arial"/>
          <w:sz w:val="16"/>
          <w:szCs w:val="16"/>
          <w:color w:val="auto"/>
        </w:rPr>
        <w:t xml:space="preserve">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6" w:name="page137"/>
    <w:bookmarkEnd w:id="136"/>
    <w:p>
      <w:pPr>
        <w:jc w:val="both"/>
        <w:ind w:firstLine="656"/>
        <w:spacing w:after="0" w:line="283" w:lineRule="auto"/>
        <w:tabs>
          <w:tab w:leader="none" w:pos="1107"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Cash Collateralization</w:t>
      </w:r>
      <w:r>
        <w:rPr>
          <w:rFonts w:ascii="Arial" w:cs="Arial" w:eastAsia="Arial" w:hAnsi="Arial"/>
          <w:sz w:val="16"/>
          <w:szCs w:val="16"/>
          <w:color w:val="auto"/>
        </w:rPr>
        <w:t>. If (i) any Event of Default shall occur and be continuing, other than an event with respect to a Borrower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7.01(g) or (h) and a Borrower shall receive notice from Applicable Administrative Agent or the Required U.S. Revolving Lenders, the Required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condition to </w:t>
      </w:r>
      <w:r>
        <w:rPr>
          <w:rFonts w:ascii="Arial" w:cs="Arial" w:eastAsia="Arial" w:hAnsi="Arial"/>
          <w:sz w:val="16"/>
          <w:szCs w:val="16"/>
          <w:b w:val="1"/>
          <w:bCs w:val="1"/>
          <w:u w:val="single" w:color="auto"/>
          <w:color w:val="auto"/>
        </w:rPr>
        <w:t>the</w:t>
      </w:r>
      <w:r>
        <w:rPr>
          <w:rFonts w:ascii="Arial" w:cs="Arial" w:eastAsia="Arial" w:hAnsi="Arial"/>
          <w:sz w:val="16"/>
          <w:szCs w:val="16"/>
          <w:color w:val="auto"/>
        </w:rPr>
        <w:t xml:space="preserve"> issuance amendment, renewal or extension of a Letter of Credit), the Applicable Borrower shall deliver to the U.S. Collateral Agent, the Canadian Collateral Agent or the Australian Collateral Agent, as the case may be, for the benefit of the U.S. Revolving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w:t>
      </w:r>
      <w:r>
        <w:rPr>
          <w:rFonts w:ascii="Arial" w:cs="Arial" w:eastAsia="Arial" w:hAnsi="Arial"/>
          <w:sz w:val="16"/>
          <w:szCs w:val="16"/>
          <w:b w:val="1"/>
          <w:bCs w:val="1"/>
          <w:u w:val="single" w:color="auto"/>
          <w:color w:val="auto"/>
        </w:rPr>
        <w:t>the Applicable</w:t>
      </w:r>
      <w:r>
        <w:rPr>
          <w:rFonts w:ascii="Arial" w:cs="Arial" w:eastAsia="Arial" w:hAnsi="Arial"/>
          <w:sz w:val="16"/>
          <w:szCs w:val="16"/>
          <w:color w:val="auto"/>
        </w:rPr>
        <w:t xml:space="preserve"> Collateral Agent shall establish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cash collateral account (an “</w:t>
      </w:r>
      <w:r>
        <w:rPr>
          <w:rFonts w:ascii="Arial" w:cs="Arial" w:eastAsia="Arial" w:hAnsi="Arial"/>
          <w:sz w:val="16"/>
          <w:szCs w:val="16"/>
          <w:i w:val="1"/>
          <w:iCs w:val="1"/>
          <w:color w:val="auto"/>
        </w:rPr>
        <w:t>L/C Cash Collateral Account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w:t>
      </w:r>
      <w:r>
        <w:rPr>
          <w:rFonts w:ascii="Arial" w:cs="Arial" w:eastAsia="Arial" w:hAnsi="Arial"/>
          <w:sz w:val="16"/>
          <w:szCs w:val="16"/>
          <w:b w:val="1"/>
          <w:bCs w:val="1"/>
          <w:color w:val="auto"/>
          <w:strike w:val="1"/>
        </w:rPr>
        <w:t>cash</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collateral</w:t>
      </w:r>
      <w:r>
        <w:rPr>
          <w:rFonts w:ascii="Arial" w:cs="Arial" w:eastAsia="Arial" w:hAnsi="Arial"/>
          <w:sz w:val="16"/>
          <w:szCs w:val="16"/>
          <w:b w:val="1"/>
          <w:bCs w:val="1"/>
          <w:u w:val="single" w:color="auto"/>
          <w:color w:val="auto"/>
        </w:rPr>
        <w:t>Cash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as a result of the occurrence of an Event of Default, such amount (to the extent not applied as aforesaid)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Cash Collateral furnished by or on behalf of a Loan Party shall not be released during the continuance of an Event of Default and may be otherwise applied in accordance with Section 7.06.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jc w:val="both"/>
        <w:ind w:firstLine="656"/>
        <w:spacing w:after="0" w:line="254" w:lineRule="auto"/>
        <w:tabs>
          <w:tab w:leader="none" w:pos="105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Issuing Banks</w:t>
      </w:r>
      <w:r>
        <w:rPr>
          <w:rFonts w:ascii="Arial" w:cs="Arial" w:eastAsia="Arial" w:hAnsi="Arial"/>
          <w:sz w:val="18"/>
          <w:szCs w:val="18"/>
          <w:color w:val="auto"/>
        </w:rPr>
        <w:t>. A Borrower may, at any time and from time to time with the consent of the Applicable Administrative Agent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consent shall not be unreasonably withheld or delayed) and such Revolving Lender, designate one or more additional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to act as an issuing bank under the terms of this Agreement. The acceptance of any appointment as an Issuing Bank hereunder by a Revolving Lender shall be evidenced by an agreement entered into by such Revolving Lender, in a form satisfactory to </w:t>
      </w:r>
      <w:r>
        <w:rPr>
          <w:rFonts w:ascii="Arial" w:cs="Arial" w:eastAsia="Arial" w:hAnsi="Arial"/>
          <w:sz w:val="18"/>
          <w:szCs w:val="18"/>
          <w:b w:val="1"/>
          <w:bCs w:val="1"/>
          <w:color w:val="auto"/>
          <w:strike w:val="1"/>
        </w:rPr>
        <w:t>the Borrowers</w:t>
      </w:r>
      <w:r>
        <w:rPr>
          <w:rFonts w:ascii="Arial" w:cs="Arial" w:eastAsia="Arial" w:hAnsi="Arial"/>
          <w:sz w:val="18"/>
          <w:szCs w:val="18"/>
          <w:b w:val="1"/>
          <w:bCs w:val="1"/>
          <w:u w:val="single" w:color="auto"/>
          <w:color w:val="auto"/>
        </w:rPr>
        <w:t>each Applicable Borrower</w:t>
      </w:r>
      <w:r>
        <w:rPr>
          <w:rFonts w:ascii="Arial" w:cs="Arial" w:eastAsia="Arial" w:hAnsi="Arial"/>
          <w:sz w:val="18"/>
          <w:szCs w:val="18"/>
          <w:color w:val="auto"/>
        </w:rPr>
        <w:t xml:space="preserve">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92" w:lineRule="exact"/>
        <w:rPr>
          <w:rFonts w:ascii="Arial" w:cs="Arial" w:eastAsia="Arial" w:hAnsi="Arial"/>
          <w:sz w:val="18"/>
          <w:szCs w:val="18"/>
          <w:i w:val="1"/>
          <w:iCs w:val="1"/>
          <w:color w:val="auto"/>
        </w:rPr>
      </w:pPr>
    </w:p>
    <w:p>
      <w:pPr>
        <w:ind w:left="1140" w:hanging="484"/>
        <w:spacing w:after="0"/>
        <w:tabs>
          <w:tab w:leader="none" w:pos="11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event of any conflict between the terms hereof and the terms of any Letter of Credit Document, the terms hereof shall control.</w:t>
      </w:r>
    </w:p>
    <w:p>
      <w:pPr>
        <w:spacing w:after="0" w:line="236" w:lineRule="exact"/>
        <w:rPr>
          <w:rFonts w:ascii="Arial" w:cs="Arial" w:eastAsia="Arial" w:hAnsi="Arial"/>
          <w:sz w:val="17"/>
          <w:szCs w:val="17"/>
          <w:color w:val="auto"/>
        </w:rPr>
      </w:pPr>
    </w:p>
    <w:p>
      <w:pPr>
        <w:jc w:val="both"/>
        <w:ind w:firstLine="656"/>
        <w:spacing w:after="0" w:line="273" w:lineRule="auto"/>
        <w:tabs>
          <w:tab w:leader="none" w:pos="1097"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a Canadian Borrower or any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the Australian Borrower or any Subsidiary thereof) inures to the benefit of such Borrower, and that such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derives substantial benefits from the businesses of such Borrower’s Subsidiaries.</w:t>
      </w:r>
    </w:p>
    <w:p>
      <w:pPr>
        <w:spacing w:after="0" w:line="178" w:lineRule="exact"/>
        <w:rPr>
          <w:rFonts w:ascii="Arial" w:cs="Arial" w:eastAsia="Arial" w:hAnsi="Arial"/>
          <w:sz w:val="17"/>
          <w:szCs w:val="17"/>
          <w:color w:val="auto"/>
        </w:rPr>
      </w:pPr>
    </w:p>
    <w:p>
      <w:pPr>
        <w:ind w:firstLine="656"/>
        <w:spacing w:after="0" w:line="277" w:lineRule="auto"/>
        <w:tabs>
          <w:tab w:leader="none" w:pos="11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Section 2.22 Bankers’ Acceptances</w:t>
      </w:r>
      <w:r>
        <w:rPr>
          <w:rFonts w:ascii="Arial" w:cs="Arial" w:eastAsia="Arial" w:hAnsi="Arial"/>
          <w:sz w:val="16"/>
          <w:szCs w:val="16"/>
          <w:color w:val="auto"/>
        </w:rPr>
        <w:t>. (a) Subject to the terms and conditions of this Agreement, each Canadian Borrower may request a Borrowing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denominated in Canadian dollars by presenting drafts for acceptance and, if applicable, purchase as B/As by the Canadian </w:t>
      </w:r>
      <w:r>
        <w:rPr>
          <w:rFonts w:ascii="Arial" w:cs="Arial" w:eastAsia="Arial" w:hAnsi="Arial"/>
          <w:sz w:val="16"/>
          <w:szCs w:val="16"/>
          <w:b w:val="1"/>
          <w:bCs w:val="1"/>
          <w:u w:val="single" w:color="auto"/>
          <w:color w:val="auto"/>
        </w:rPr>
        <w:t>Tranche A Lenders and the</w:t>
      </w:r>
    </w:p>
    <w:p>
      <w:pPr>
        <w:spacing w:after="0" w:line="261" w:lineRule="auto"/>
        <w:rPr>
          <w:sz w:val="20"/>
          <w:szCs w:val="20"/>
          <w:color w:val="auto"/>
        </w:rPr>
      </w:pPr>
      <w:r>
        <w:rPr>
          <w:rFonts w:ascii="Arial" w:cs="Arial" w:eastAsia="Arial" w:hAnsi="Arial"/>
          <w:sz w:val="18"/>
          <w:szCs w:val="18"/>
          <w:b w:val="1"/>
          <w:bCs w:val="1"/>
          <w:u w:val="single" w:color="auto"/>
          <w:color w:val="auto"/>
        </w:rPr>
        <w:t>Parent Borrower may request a Borrowing denominated in Canadian dollars by presenting drafts for acceptance and, if applicable, purchase as B/As by the 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ind w:firstLine="656"/>
        <w:spacing w:after="0" w:line="277" w:lineRule="auto"/>
        <w:tabs>
          <w:tab w:leader="none" w:pos="11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Contract Period with respect to a B/A to be accepted and, if applicable, purchased as a Loan shall extend beyond the Maturity Date. All B/A Loans shall be denominated in Canadian dollars.</w:t>
      </w:r>
    </w:p>
    <w:p>
      <w:pPr>
        <w:spacing w:after="0" w:line="166" w:lineRule="exact"/>
        <w:rPr>
          <w:rFonts w:ascii="Arial" w:cs="Arial" w:eastAsia="Arial" w:hAnsi="Arial"/>
          <w:sz w:val="18"/>
          <w:szCs w:val="18"/>
          <w:color w:val="auto"/>
        </w:rPr>
      </w:pPr>
    </w:p>
    <w:p>
      <w:pPr>
        <w:jc w:val="both"/>
        <w:ind w:firstLine="656"/>
        <w:spacing w:after="0" w:line="285" w:lineRule="auto"/>
        <w:tabs>
          <w:tab w:leader="none" w:pos="112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To facilitate availment of the B/A Loans, each Canadian Borrower hereby appoints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as its attorney to sign and endorse on its behalf, in handwriting or by facsimile or mechanical signature as and when deemed necessary by such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blank forms of B/As in the form requested by such Canadian </w:t>
      </w:r>
      <w:r>
        <w:rPr>
          <w:rFonts w:ascii="Arial" w:cs="Arial" w:eastAsia="Arial" w:hAnsi="Arial"/>
          <w:sz w:val="16"/>
          <w:szCs w:val="16"/>
          <w:b w:val="1"/>
          <w:bCs w:val="1"/>
          <w:u w:val="single" w:color="auto"/>
          <w:color w:val="auto"/>
        </w:rPr>
        <w:t>Tranche A Lender and the Parent Borrower hereby appoints each Canadian Tranche B Lender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as its attorney to sign and endorse on its behalf, in handwriting or by facsimile or mechanical signature as and when deemed necessary by such Canadian Tranche B Lender, blank forms of B/As in the form requested by such 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Lender. Each Canadian Borrower recognizes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agrees that all B/As signed and/or endorsed on its behalf by a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bind such Canadian Borrower as fully and effectually as if signed in the handwriting of and duly issued by the proper signing officers of such Canadian Borrower</w:t>
      </w:r>
      <w:r>
        <w:rPr>
          <w:rFonts w:ascii="Arial" w:cs="Arial" w:eastAsia="Arial" w:hAnsi="Arial"/>
          <w:sz w:val="16"/>
          <w:szCs w:val="16"/>
          <w:b w:val="1"/>
          <w:bCs w:val="1"/>
          <w:u w:val="single" w:color="auto"/>
          <w:color w:val="auto"/>
        </w:rPr>
        <w:t>, and the Parent Borrower recognizes and agrees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that all B/As signed and/or endorsed on its behalf by a Canadian Tranche B Lender shall bind the Parent Borrower as fully and effectually as if signed in the handwriting of and duly issued by the proper signing officers of the Parent Borrower</w:t>
      </w:r>
      <w:r>
        <w:rPr>
          <w:rFonts w:ascii="Arial" w:cs="Arial" w:eastAsia="Arial" w:hAnsi="Arial"/>
          <w:sz w:val="16"/>
          <w:szCs w:val="16"/>
          <w:color w:val="auto"/>
        </w:rPr>
        <w:t>. Each Canadian Lender is hereby authorized to issue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B/As endorsed in blank in such face amounts as may be determined by such Canadian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w:t>
      </w:r>
      <w:r>
        <w:rPr>
          <w:rFonts w:ascii="Arial" w:cs="Arial" w:eastAsia="Arial" w:hAnsi="Arial"/>
          <w:sz w:val="16"/>
          <w:szCs w:val="16"/>
          <w:b w:val="1"/>
          <w:bCs w:val="1"/>
          <w:color w:val="auto"/>
        </w:rPr>
        <w:t>or its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officers, employees, agents or representatives. Each</w:t>
      </w:r>
      <w:r>
        <w:rPr>
          <w:rFonts w:ascii="Arial" w:cs="Arial" w:eastAsia="Arial" w:hAnsi="Arial"/>
          <w:sz w:val="16"/>
          <w:szCs w:val="16"/>
          <w:b w:val="1"/>
          <w:bCs w:val="1"/>
          <w:u w:val="single" w:color="auto"/>
          <w:color w:val="auto"/>
        </w:rPr>
        <w:t>. Each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Lender shall maintain a record with respect to B/As (i) voided by it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Borrower, a Canadian Lender shall cancel all forms of B/A which have been pre-signed or pre-endorsed on behalf of </w:t>
      </w:r>
      <w:r>
        <w:rPr>
          <w:rFonts w:ascii="Arial" w:cs="Arial" w:eastAsia="Arial" w:hAnsi="Arial"/>
          <w:sz w:val="16"/>
          <w:szCs w:val="16"/>
          <w:b w:val="1"/>
          <w:bCs w:val="1"/>
          <w:color w:val="auto"/>
          <w:strike w:val="1"/>
        </w:rPr>
        <w:t>a</w:t>
      </w:r>
      <w:r>
        <w:rPr>
          <w:rFonts w:ascii="Arial" w:cs="Arial" w:eastAsia="Arial" w:hAnsi="Arial"/>
          <w:sz w:val="16"/>
          <w:szCs w:val="16"/>
          <w:b w:val="1"/>
          <w:bCs w:val="1"/>
          <w:u w:val="single" w:color="auto"/>
          <w:color w:val="auto"/>
        </w:rPr>
        <w:t>such</w:t>
      </w:r>
      <w:r>
        <w:rPr>
          <w:rFonts w:ascii="Arial" w:cs="Arial" w:eastAsia="Arial" w:hAnsi="Arial"/>
          <w:sz w:val="16"/>
          <w:szCs w:val="16"/>
          <w:color w:val="auto"/>
        </w:rPr>
        <w:t xml:space="preserve"> Canadian Borrower and which are held by such Canadian Lender and are not required to be issued in accordance with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such</w:t>
      </w:r>
      <w:r>
        <w:rPr>
          <w:rFonts w:ascii="Arial" w:cs="Arial" w:eastAsia="Arial" w:hAnsi="Arial"/>
          <w:sz w:val="16"/>
          <w:szCs w:val="16"/>
          <w:color w:val="auto"/>
        </w:rPr>
        <w:t xml:space="preserve"> Canadian Borrower’s irrevocable notice. At the discretion of a Lender, Bankers’ Acceptances to be accepted by such Lender may be issued in the form of “Depository Bills” within the meaning of the </w:t>
      </w:r>
      <w:r>
        <w:rPr>
          <w:rFonts w:ascii="Arial" w:cs="Arial" w:eastAsia="Arial" w:hAnsi="Arial"/>
          <w:sz w:val="16"/>
          <w:szCs w:val="16"/>
          <w:i w:val="1"/>
          <w:iCs w:val="1"/>
          <w:color w:val="auto"/>
        </w:rPr>
        <w:t>Depository Bills and Notes Act</w:t>
      </w:r>
      <w:r>
        <w:rPr>
          <w:rFonts w:ascii="Arial" w:cs="Arial" w:eastAsia="Arial" w:hAnsi="Arial"/>
          <w:sz w:val="16"/>
          <w:szCs w:val="16"/>
          <w:color w:val="auto"/>
        </w:rPr>
        <w:t xml:space="preserve"> (Canada) and deposited with the Canadian Depository for Securities Limited (“</w:t>
      </w:r>
      <w:r>
        <w:rPr>
          <w:rFonts w:ascii="Arial" w:cs="Arial" w:eastAsia="Arial" w:hAnsi="Arial"/>
          <w:sz w:val="16"/>
          <w:szCs w:val="16"/>
          <w:i w:val="1"/>
          <w:iCs w:val="1"/>
          <w:color w:val="auto"/>
        </w:rPr>
        <w:t>CDS</w:t>
      </w:r>
      <w:r>
        <w:rPr>
          <w:rFonts w:ascii="Arial" w:cs="Arial" w:eastAsia="Arial" w:hAnsi="Arial"/>
          <w:sz w:val="16"/>
          <w:szCs w:val="16"/>
          <w:color w:val="auto"/>
        </w:rPr>
        <w:t>”)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w:t>
      </w:r>
    </w:p>
    <w:p>
      <w:pPr>
        <w:spacing w:after="0" w:line="169" w:lineRule="exact"/>
        <w:rPr>
          <w:rFonts w:ascii="Arial" w:cs="Arial" w:eastAsia="Arial" w:hAnsi="Arial"/>
          <w:sz w:val="16"/>
          <w:szCs w:val="16"/>
          <w:color w:val="auto"/>
        </w:rPr>
      </w:pPr>
    </w:p>
    <w:p>
      <w:pPr>
        <w:jc w:val="both"/>
        <w:ind w:firstLine="656"/>
        <w:spacing w:after="0" w:line="279" w:lineRule="auto"/>
        <w:tabs>
          <w:tab w:leader="none" w:pos="11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Drafts of a Canadian Borrower to be accepted as B/As hereunder shall be signed as set forth in this Section 2.22. Notwithstanding that any person whose signature appears on any B/A may no longer be an authorized signatory for any of the Canadian Lenders or the applicable Canadian Borrower at the date of issuance of a B/A, such signature shall nevertheless be valid and sufficient for all purposes as if such authority had remained in force at the time of such issuance and any such B/A so signed shall be binding on such Canadian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6961505</wp:posOffset>
            </wp:positionH>
            <wp:positionV relativeFrom="paragraph">
              <wp:posOffset>-2007870</wp:posOffset>
            </wp:positionV>
            <wp:extent cx="2876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9" w:name="page140"/>
    <w:bookmarkEnd w:id="139"/>
    <w:p>
      <w:pPr>
        <w:jc w:val="both"/>
        <w:ind w:firstLine="656"/>
        <w:spacing w:after="0" w:line="273" w:lineRule="auto"/>
        <w:tabs>
          <w:tab w:leader="none" w:pos="111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Promptly following receipt of a notice of borrowing, continuation or conversion of B/As, the Canadian Administrative Agent shall so advise the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w:t>
      </w:r>
      <w:r>
        <w:rPr>
          <w:rFonts w:ascii="Arial" w:cs="Arial" w:eastAsia="Arial" w:hAnsi="Arial"/>
          <w:sz w:val="17"/>
          <w:szCs w:val="17"/>
          <w:b w:val="1"/>
          <w:bCs w:val="1"/>
          <w:u w:val="single" w:color="auto"/>
          <w:color w:val="auto"/>
        </w:rPr>
        <w:t>or Canadian Tranche B Lenders, as applicable,</w:t>
      </w:r>
      <w:r>
        <w:rPr>
          <w:rFonts w:ascii="Arial" w:cs="Arial" w:eastAsia="Arial" w:hAnsi="Arial"/>
          <w:sz w:val="17"/>
          <w:szCs w:val="17"/>
          <w:color w:val="auto"/>
        </w:rPr>
        <w:t xml:space="preserve"> and shall advise each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w:t>
      </w:r>
      <w:r>
        <w:rPr>
          <w:rFonts w:ascii="Arial" w:cs="Arial" w:eastAsia="Arial" w:hAnsi="Arial"/>
          <w:sz w:val="17"/>
          <w:szCs w:val="17"/>
          <w:b w:val="1"/>
          <w:bCs w:val="1"/>
          <w:u w:val="single" w:color="auto"/>
          <w:color w:val="auto"/>
        </w:rPr>
        <w:t>or Canadian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Tranche B Lender,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aggregate face amount of the B/As to be accepted by it and the applicable Contract Period (which shall be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all Canadian Lenders). The aggregate face amount of the B/As to be accepted by a Canadian Lender shall be in an integral multiple of C$100,000 and such face amount shall be in each Canadian Lender’s pro rata portion of such Canadian Borrowing; </w:t>
      </w:r>
      <w:r>
        <w:rPr>
          <w:rFonts w:ascii="Arial" w:cs="Arial" w:eastAsia="Arial" w:hAnsi="Arial"/>
          <w:sz w:val="17"/>
          <w:szCs w:val="17"/>
          <w:i w:val="1"/>
          <w:iCs w:val="1"/>
          <w:color w:val="auto"/>
        </w:rPr>
        <w:t>provided</w:t>
      </w:r>
      <w:r>
        <w:rPr>
          <w:rFonts w:ascii="Arial" w:cs="Arial" w:eastAsia="Arial" w:hAnsi="Arial"/>
          <w:sz w:val="17"/>
          <w:szCs w:val="17"/>
          <w:color w:val="auto"/>
        </w:rPr>
        <w:t>, that the Canadian Administrative Agent may, in its sole discretion, increase or reduce any Canadian Lender’s portion of such B/A to the nearest C$100,000.</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252"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applicable Canadian Borrower may specify in a notice of borrowing or conversion or continuation pursuant to Section 2.03 or Section 2.10, respectively, that it desires that any B/As requested by such notice be purchased by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Canadian Lenders, in which case the </w:t>
      </w:r>
      <w:r>
        <w:rPr>
          <w:rFonts w:ascii="Arial" w:cs="Arial" w:eastAsia="Arial" w:hAnsi="Arial"/>
          <w:sz w:val="17"/>
          <w:szCs w:val="17"/>
          <w:b w:val="1"/>
          <w:bCs w:val="1"/>
          <w:u w:val="single" w:color="auto"/>
          <w:color w:val="auto"/>
        </w:rPr>
        <w:t>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Lenders shall purchase, or arrange the purchase of, each B/A from such Canadian Borrower at the B/A Discount Rate for such Canadian</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applicable to such B/A accepted by it and provide to the Canadian Administrative Agent the Discount Proceeds for the account of such Canadian Borrower. The Acceptance Fee payable by such Canadian Borrower to a Canadian Lender under Section 2.06 in respect of each B/A accepted by such Canadian Lender shall be set off against the Discount Proceeds payable by such Canadian Lender under this Section 2.22.</w:t>
      </w:r>
    </w:p>
    <w:p>
      <w:pPr>
        <w:spacing w:after="0" w:line="178" w:lineRule="exact"/>
        <w:rPr>
          <w:rFonts w:ascii="Arial" w:cs="Arial" w:eastAsia="Arial" w:hAnsi="Arial"/>
          <w:sz w:val="17"/>
          <w:szCs w:val="17"/>
          <w:color w:val="auto"/>
        </w:rPr>
      </w:pPr>
    </w:p>
    <w:p>
      <w:pPr>
        <w:ind w:left="1180" w:hanging="524"/>
        <w:spacing w:after="0"/>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Canadian Lender may at any time and from time to time hold, sell, rediscount or otherwise dispose of any or all B/As accepted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purchased by it.</w:t>
      </w:r>
    </w:p>
    <w:p>
      <w:pPr>
        <w:spacing w:after="0" w:line="210" w:lineRule="exact"/>
        <w:rPr>
          <w:rFonts w:ascii="Arial" w:cs="Arial" w:eastAsia="Arial" w:hAnsi="Arial"/>
          <w:sz w:val="17"/>
          <w:szCs w:val="17"/>
          <w:color w:val="auto"/>
        </w:rPr>
      </w:pPr>
    </w:p>
    <w:p>
      <w:pPr>
        <w:jc w:val="both"/>
        <w:ind w:firstLine="656"/>
        <w:spacing w:after="0" w:line="287" w:lineRule="auto"/>
        <w:tabs>
          <w:tab w:leader="none" w:pos="10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Arial" w:cs="Arial" w:eastAsia="Arial" w:hAnsi="Arial"/>
          <w:sz w:val="16"/>
          <w:szCs w:val="16"/>
          <w:i w:val="1"/>
          <w:iCs w:val="1"/>
          <w:color w:val="auto"/>
        </w:rPr>
        <w:t>B/A Equivalent Loan</w:t>
      </w:r>
      <w:r>
        <w:rPr>
          <w:rFonts w:ascii="Arial" w:cs="Arial" w:eastAsia="Arial" w:hAnsi="Arial"/>
          <w:sz w:val="16"/>
          <w:szCs w:val="16"/>
          <w:color w:val="auto"/>
        </w:rPr>
        <w:t>”) to the applicable Canadian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Canadian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Canadian Borrowers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w:t>
      </w:r>
      <w:r>
        <w:rPr>
          <w:rFonts w:ascii="Arial" w:cs="Arial" w:eastAsia="Arial" w:hAnsi="Arial"/>
          <w:sz w:val="16"/>
          <w:szCs w:val="16"/>
          <w:i w:val="1"/>
          <w:iCs w:val="1"/>
          <w:color w:val="auto"/>
        </w:rPr>
        <w:t>Discount Note</w:t>
      </w:r>
      <w:r>
        <w:rPr>
          <w:rFonts w:ascii="Arial" w:cs="Arial" w:eastAsia="Arial" w:hAnsi="Arial"/>
          <w:sz w:val="16"/>
          <w:szCs w:val="16"/>
          <w:color w:val="auto"/>
        </w:rPr>
        <w:t xml:space="preserve">”)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Borrower, denominated in Canadian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executed and delivered by the applicable Canadian Borrower to such Canadian Lender, substantially in the form of Exhibit 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jc w:val="both"/>
        <w:ind w:firstLine="656"/>
        <w:spacing w:after="0" w:line="254" w:lineRule="auto"/>
        <w:tabs>
          <w:tab w:leader="none" w:pos="1129"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Canadian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each Canadian Borrower agrees not to claim any days of grace if such Canadian Lender as holder sues such Canadian Borrower on the B/A for payment of the amount payable by such Canadian Borrower thereunder. On the last day of the Contract Period of a B/A, or such earlier date as may be required or permitted pursuant to the provisions of this Agreement, the applicable Canadian Borrower shall pay the Canadian Lender that has accepted and purchased such B/A the full face amount of such B/A and after such payment, such Canadian Borrower shall have no further liability in respect of such B/A and such Canadian Lender shall be entitled to all benefits of, and be responsible for all payments due to third parties under, such B/A.</w:t>
      </w:r>
    </w:p>
    <w:p>
      <w:pPr>
        <w:spacing w:after="0" w:line="192" w:lineRule="exact"/>
        <w:rPr>
          <w:rFonts w:ascii="Arial" w:cs="Arial" w:eastAsia="Arial" w:hAnsi="Arial"/>
          <w:sz w:val="18"/>
          <w:szCs w:val="18"/>
          <w:color w:val="auto"/>
        </w:rPr>
      </w:pPr>
    </w:p>
    <w:p>
      <w:pPr>
        <w:jc w:val="both"/>
        <w:ind w:firstLine="656"/>
        <w:spacing w:after="0" w:line="264" w:lineRule="auto"/>
        <w:tabs>
          <w:tab w:leader="none" w:pos="10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Lender upon the occurrence of an Event of Default, no B/A Loan may be repaid by a Canadian Borrower prior to the expiry date of the Contract Period applicable to such B/A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B/A Loan may be defeased as provided in the proviso to Section 2.11(a).</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17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any repayment of unmatured B/A’s pursuant to the proviso to Section 2.11(a) or otherwise hereunder, it is agreed that the applicable Canadian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Arial" w:cs="Arial" w:eastAsia="Arial" w:hAnsi="Arial"/>
          <w:sz w:val="16"/>
          <w:szCs w:val="16"/>
          <w:i w:val="1"/>
          <w:iCs w:val="1"/>
          <w:color w:val="auto"/>
        </w:rPr>
        <w:t>Outstanding BAs Collateral</w:t>
      </w:r>
      <w:r>
        <w:rPr>
          <w:rFonts w:ascii="Arial" w:cs="Arial" w:eastAsia="Arial" w:hAnsi="Arial"/>
          <w:sz w:val="16"/>
          <w:szCs w:val="16"/>
          <w:color w:val="auto"/>
        </w:rPr>
        <w:t xml:space="preserve">”) shall be assigned to the Canadian Administrative Agent as security for the obligations of the applicable Canadian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applicable Canadian Borrower for such B/A’s as they mature and the Canadian Administrative Agent is hereby irrevocably directed by the applicable Canadian Borrower to apply any such Outstanding BAs Collateral to such maturing B/A’s. The Outstanding BAs Collateral created herein shall not be released to the applicable Canadian Borrower prior to the maturity of the applicable B/As without the consent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Lenders; however, interest on such deposited amounts shall be for the account of the applicable Canadian Borrower and may be withdrawn by the applicable Canadian Borrower so long as no Default or Event of Default is then continuing. If, after maturity of the B/A’s for which such Outstanding BAs Collateral is held and application by the Canadian Administrative Agent of the Outstanding BAs Collateral to satisfy the obligations of the applicable Canadian Borrower hereunder with respect to the B/A’s being repaid, any interest or other proceeds of the Outstanding BAs Collateral remains, such interest or other proceeds shall be promptly paid and transferred by the Canadian Administrative Agent to the applicable Canadian Borrower so long as no Default or Event of Default is then continuing.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ind w:left="4"/>
        <w:spacing w:after="0"/>
        <w:tabs>
          <w:tab w:leader="none" w:pos="1123" w:val="left"/>
        </w:tabs>
        <w:rPr>
          <w:sz w:val="20"/>
          <w:szCs w:val="20"/>
          <w:color w:val="auto"/>
        </w:rPr>
      </w:pPr>
      <w:r>
        <w:rPr>
          <w:rFonts w:ascii="Arial" w:cs="Arial" w:eastAsia="Arial" w:hAnsi="Arial"/>
          <w:sz w:val="18"/>
          <w:szCs w:val="18"/>
          <w:b w:val="1"/>
          <w:bCs w:val="1"/>
          <w:i w:val="1"/>
          <w:iCs w:val="1"/>
          <w:color w:val="auto"/>
        </w:rPr>
        <w:t>Section 2.23</w:t>
      </w:r>
      <w:r>
        <w:rPr>
          <w:sz w:val="20"/>
          <w:szCs w:val="20"/>
          <w:color w:val="auto"/>
        </w:rPr>
        <w:tab/>
      </w:r>
      <w:r>
        <w:rPr>
          <w:rFonts w:ascii="Arial" w:cs="Arial" w:eastAsia="Arial" w:hAnsi="Arial"/>
          <w:sz w:val="15"/>
          <w:szCs w:val="15"/>
          <w:b w:val="1"/>
          <w:bCs w:val="1"/>
          <w:i w:val="1"/>
          <w:iCs w:val="1"/>
          <w:color w:val="auto"/>
        </w:rPr>
        <w:t>Swing Line Loans</w:t>
      </w:r>
      <w:r>
        <w:rPr>
          <w:rFonts w:ascii="Arial" w:cs="Arial" w:eastAsia="Arial" w:hAnsi="Arial"/>
          <w:sz w:val="15"/>
          <w:szCs w:val="15"/>
          <w:color w:val="auto"/>
        </w:rPr>
        <w:t>.</w:t>
      </w:r>
    </w:p>
    <w:p>
      <w:pPr>
        <w:spacing w:after="0" w:line="225"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Generally.</w:t>
      </w:r>
    </w:p>
    <w:p>
      <w:pPr>
        <w:spacing w:after="0" w:line="225" w:lineRule="exact"/>
        <w:rPr>
          <w:rFonts w:ascii="Arial" w:cs="Arial" w:eastAsia="Arial" w:hAnsi="Arial"/>
          <w:sz w:val="18"/>
          <w:szCs w:val="18"/>
          <w:color w:val="auto"/>
        </w:rPr>
      </w:pPr>
    </w:p>
    <w:p>
      <w:pPr>
        <w:jc w:val="both"/>
        <w:ind w:left="4" w:firstLine="645"/>
        <w:spacing w:after="0" w:line="268" w:lineRule="auto"/>
        <w:tabs>
          <w:tab w:leader="none" w:pos="1064" w:val="left"/>
        </w:tabs>
        <w:numPr>
          <w:ilvl w:val="1"/>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The U.S. Swing Line</w:t>
      </w:r>
      <w:r>
        <w:rPr>
          <w:rFonts w:ascii="Arial" w:cs="Arial" w:eastAsia="Arial" w:hAnsi="Arial"/>
          <w:sz w:val="17"/>
          <w:szCs w:val="17"/>
          <w:color w:val="auto"/>
        </w:rPr>
        <w:t>. Subject to the terms and conditions set forth herein, and if an AutoBorrow Agreement is in effect,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terms and conditions of such AutoBorrow Agreement, the U.S. Swing Line Lender may in its sole and absolute discretion, in reliance upon the agreements of the other U.S. Revolving Lenders set forth in this Section 2.23, make loans in U.S. </w:t>
      </w:r>
      <w:r>
        <w:rPr>
          <w:rFonts w:ascii="Arial" w:cs="Arial" w:eastAsia="Arial" w:hAnsi="Arial"/>
          <w:sz w:val="17"/>
          <w:szCs w:val="17"/>
          <w:b w:val="1"/>
          <w:bCs w:val="1"/>
          <w:color w:val="auto"/>
          <w:strike w:val="1"/>
        </w:rPr>
        <w:t>Dollars</w:t>
      </w:r>
      <w:r>
        <w:rPr>
          <w:rFonts w:ascii="Arial" w:cs="Arial" w:eastAsia="Arial" w:hAnsi="Arial"/>
          <w:sz w:val="17"/>
          <w:szCs w:val="17"/>
          <w:b w:val="1"/>
          <w:bCs w:val="1"/>
          <w:u w:val="single" w:color="auto"/>
          <w:color w:val="auto"/>
        </w:rPr>
        <w:t>dollars</w:t>
      </w:r>
      <w:r>
        <w:rPr>
          <w:rFonts w:ascii="Arial" w:cs="Arial" w:eastAsia="Arial" w:hAnsi="Arial"/>
          <w:sz w:val="17"/>
          <w:szCs w:val="17"/>
          <w:color w:val="auto"/>
        </w:rPr>
        <w:t xml:space="preserve"> (each such loan, a “</w:t>
      </w:r>
      <w:r>
        <w:rPr>
          <w:rFonts w:ascii="Arial" w:cs="Arial" w:eastAsia="Arial" w:hAnsi="Arial"/>
          <w:sz w:val="17"/>
          <w:szCs w:val="17"/>
          <w:i w:val="1"/>
          <w:iCs w:val="1"/>
          <w:color w:val="auto"/>
        </w:rPr>
        <w:t>U.S. Swing Line</w:t>
      </w:r>
      <w:r>
        <w:rPr>
          <w:rFonts w:ascii="Arial" w:cs="Arial" w:eastAsia="Arial" w:hAnsi="Arial"/>
          <w:sz w:val="17"/>
          <w:szCs w:val="17"/>
          <w:color w:val="auto"/>
        </w:rPr>
        <w:t xml:space="preserve"> </w:t>
      </w:r>
      <w:r>
        <w:rPr>
          <w:rFonts w:ascii="Arial" w:cs="Arial" w:eastAsia="Arial" w:hAnsi="Arial"/>
          <w:sz w:val="17"/>
          <w:szCs w:val="17"/>
          <w:i w:val="1"/>
          <w:iCs w:val="1"/>
          <w:color w:val="auto"/>
        </w:rPr>
        <w:t>Loan</w:t>
      </w:r>
      <w:r>
        <w:rPr>
          <w:rFonts w:ascii="Arial" w:cs="Arial" w:eastAsia="Arial" w:hAnsi="Arial"/>
          <w:sz w:val="17"/>
          <w:szCs w:val="17"/>
          <w:color w:val="auto"/>
        </w:rPr>
        <w:t>”) to the U.S. Borrower from time to time on or after the Funding Date until the earlier of the Maturity Date and the termination of the Total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w:t>
      </w:r>
      <w:r>
        <w:rPr>
          <w:rFonts w:ascii="Arial" w:cs="Arial" w:eastAsia="Arial" w:hAnsi="Arial"/>
          <w:sz w:val="17"/>
          <w:szCs w:val="17"/>
          <w:b w:val="1"/>
          <w:bCs w:val="1"/>
          <w:u w:val="single" w:color="auto"/>
          <w:color w:val="auto"/>
        </w:rPr>
        <w:t>(expressed as a decimal)</w:t>
      </w:r>
      <w:r>
        <w:rPr>
          <w:rFonts w:ascii="Arial" w:cs="Arial" w:eastAsia="Arial" w:hAnsi="Arial"/>
          <w:sz w:val="17"/>
          <w:szCs w:val="17"/>
          <w:color w:val="auto"/>
        </w:rPr>
        <w:t xml:space="preserve"> times the amount of such U.S. Swing Line Loan. Each U.S. Revolving Lender shall have the obligation to purchase and fund risk participations in the U.S. Swing Line Loans and to refinance U.S. Swing Line Loans as provided in this Agreement.</w:t>
      </w:r>
    </w:p>
    <w:p>
      <w:pPr>
        <w:spacing w:after="0" w:line="180" w:lineRule="exact"/>
        <w:rPr>
          <w:rFonts w:ascii="Arial" w:cs="Arial" w:eastAsia="Arial" w:hAnsi="Arial"/>
          <w:sz w:val="17"/>
          <w:szCs w:val="17"/>
          <w:i w:val="1"/>
          <w:iCs w:val="1"/>
          <w:color w:val="auto"/>
        </w:rPr>
      </w:pPr>
    </w:p>
    <w:p>
      <w:pPr>
        <w:jc w:val="both"/>
        <w:ind w:left="4" w:firstLine="645"/>
        <w:spacing w:after="0" w:line="285" w:lineRule="auto"/>
        <w:tabs>
          <w:tab w:leader="none" w:pos="1114" w:val="left"/>
        </w:tabs>
        <w:numPr>
          <w:ilvl w:val="1"/>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The Canadian Swing Line</w:t>
      </w:r>
      <w:r>
        <w:rPr>
          <w:rFonts w:ascii="Arial" w:cs="Arial" w:eastAsia="Arial" w:hAnsi="Arial"/>
          <w:sz w:val="16"/>
          <w:szCs w:val="16"/>
          <w:color w:val="auto"/>
        </w:rPr>
        <w:t>. Subject to the terms and conditions set forth herein, and if an AutoBorrow Agreement is in effect,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terms and conditions of such AutoBorrow Agreement, the Canadian Swing Line Lender may in its sole and absolute discretion, in reliance upon the agreements of the other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set forth in this Section 2.23, make loans in Canadian dollars or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(each such loan, a “</w:t>
      </w:r>
      <w:r>
        <w:rPr>
          <w:rFonts w:ascii="Arial" w:cs="Arial" w:eastAsia="Arial" w:hAnsi="Arial"/>
          <w:sz w:val="16"/>
          <w:szCs w:val="16"/>
          <w:i w:val="1"/>
          <w:iCs w:val="1"/>
          <w:color w:val="auto"/>
        </w:rPr>
        <w:t>Canadian Swing Line Loan</w:t>
      </w:r>
      <w:r>
        <w:rPr>
          <w:rFonts w:ascii="Arial" w:cs="Arial" w:eastAsia="Arial" w:hAnsi="Arial"/>
          <w:sz w:val="16"/>
          <w:szCs w:val="16"/>
          <w:color w:val="auto"/>
        </w:rPr>
        <w:t xml:space="preserve">”) to </w:t>
      </w:r>
      <w:r>
        <w:rPr>
          <w:rFonts w:ascii="Arial" w:cs="Arial" w:eastAsia="Arial" w:hAnsi="Arial"/>
          <w:sz w:val="16"/>
          <w:szCs w:val="16"/>
          <w:b w:val="1"/>
          <w:bCs w:val="1"/>
          <w:color w:val="auto"/>
          <w:strike w:val="1"/>
        </w:rPr>
        <w:t>either</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Canadian Borrower from time to time on or after the Funding Date until the earlier of the Maturity Date and the termination of the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in an aggregate amount not to exceed at any time outstanding the amount of the Canadian Swing Line Sublimit, notwithstanding the fact that such Canadian Swing Line Loans, when aggregated with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the Lender acting as Canadian Swing Line Lender, may exceed the amount of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giving effect to any Canadian Swing Line Loan, (i) the aggregate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all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shall not exceed the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at such time, and (ii)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at such time shall not exceed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Canadian </w:t>
      </w:r>
      <w:r>
        <w:rPr>
          <w:rFonts w:ascii="Arial" w:cs="Arial" w:eastAsia="Arial" w:hAnsi="Arial"/>
          <w:sz w:val="16"/>
          <w:szCs w:val="16"/>
          <w:b w:val="1"/>
          <w:bCs w:val="1"/>
          <w:color w:val="auto"/>
          <w:strike w:val="1"/>
        </w:rPr>
        <w:t>Borrower</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shall not use the proceeds of any Canadian Swing Line Loan to refinance any outstanding Canadian Swing Line Loan. Within the foregoing limits, the Canadian </w:t>
      </w:r>
      <w:r>
        <w:rPr>
          <w:rFonts w:ascii="Arial" w:cs="Arial" w:eastAsia="Arial" w:hAnsi="Arial"/>
          <w:sz w:val="16"/>
          <w:szCs w:val="16"/>
          <w:b w:val="1"/>
          <w:bCs w:val="1"/>
          <w:color w:val="auto"/>
          <w:strike w:val="1"/>
        </w:rPr>
        <w:t>Borrower</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may borrow under this Section 2.23(a)</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prepay under Section 2.11, and reborrow under this Section 2.23(a</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upon the making of a Canadian Swing Line Loan,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be deemed to, and hereby irrevocably and unconditionally agrees to, purchase from the Canadian Swing Line Lender a risk participation in such Canadian Swing Line Loan in an amount equal to the product of such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w:t>
      </w:r>
      <w:r>
        <w:rPr>
          <w:rFonts w:ascii="Arial" w:cs="Arial" w:eastAsia="Arial" w:hAnsi="Arial"/>
          <w:sz w:val="16"/>
          <w:szCs w:val="16"/>
          <w:b w:val="1"/>
          <w:bCs w:val="1"/>
          <w:u w:val="single" w:color="auto"/>
          <w:color w:val="auto"/>
        </w:rPr>
        <w:t>(expressed as a decimal)</w:t>
      </w:r>
      <w:r>
        <w:rPr>
          <w:rFonts w:ascii="Arial" w:cs="Arial" w:eastAsia="Arial" w:hAnsi="Arial"/>
          <w:sz w:val="16"/>
          <w:szCs w:val="16"/>
          <w:color w:val="auto"/>
        </w:rPr>
        <w:t xml:space="preserve"> times the amount of such Canadian Swing Line Loan.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have the obligation to purchase and fund risk participations in the Canadian Swing Line Loans and to refinance Canadian Swing Line Loans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42" w:name="page143"/>
    <w:bookmarkEnd w:id="142"/>
    <w:p>
      <w:pPr>
        <w:jc w:val="both"/>
        <w:ind w:firstLine="656"/>
        <w:spacing w:after="0" w:line="284" w:lineRule="auto"/>
        <w:tabs>
          <w:tab w:leader="none" w:pos="1106"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Borrowing Procedures</w:t>
      </w:r>
      <w:r>
        <w:rPr>
          <w:rFonts w:ascii="Arial" w:cs="Arial" w:eastAsia="Arial" w:hAnsi="Arial"/>
          <w:sz w:val="16"/>
          <w:szCs w:val="16"/>
          <w:color w:val="auto"/>
        </w:rPr>
        <w:t>. If an AutoBorrow Agreement is in effect, each Swing Line Borrowing shall be made as provided in such AutoBorrow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(ii) </w:t>
      </w:r>
      <w:r>
        <w:rPr>
          <w:rFonts w:ascii="Arial" w:cs="Arial" w:eastAsia="Arial" w:hAnsi="Arial"/>
          <w:sz w:val="16"/>
          <w:szCs w:val="16"/>
          <w:b w:val="1"/>
          <w:bCs w:val="1"/>
          <w:u w:val="single" w:color="auto"/>
          <w:color w:val="auto"/>
        </w:rPr>
        <w:t>in the case of a Canadian Swing Line Borrowing,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whether such Canadian Swing Line Borrowing is to be denominated in Canadian dollars or U.S. dollars; and (iii)</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 of such Swing Line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jc w:val="both"/>
        <w:ind w:firstLine="656"/>
        <w:spacing w:after="0" w:line="285" w:lineRule="auto"/>
        <w:tabs>
          <w:tab w:leader="none" w:pos="1096"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Refinancing of Swing Line Loans</w:t>
      </w:r>
      <w:r>
        <w:rPr>
          <w:rFonts w:ascii="Arial" w:cs="Arial" w:eastAsia="Arial" w:hAnsi="Arial"/>
          <w:sz w:val="16"/>
          <w:szCs w:val="16"/>
          <w:color w:val="auto"/>
        </w:rPr>
        <w:t>. (i) The Applicable Swing Line Lender at any time in its sole and absolute discretion may request, on behalf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a U.S. Base Rate Loan, in each case in an amount equal to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71" w:lineRule="exact"/>
        <w:rPr>
          <w:rFonts w:ascii="Arial" w:cs="Arial" w:eastAsia="Arial" w:hAnsi="Arial"/>
          <w:sz w:val="16"/>
          <w:szCs w:val="16"/>
          <w:i w:val="1"/>
          <w:iCs w:val="1"/>
          <w:color w:val="auto"/>
        </w:rPr>
      </w:pPr>
    </w:p>
    <w:p>
      <w:pPr>
        <w:jc w:val="both"/>
        <w:ind w:left="660" w:firstLine="645"/>
        <w:spacing w:after="0" w:line="256" w:lineRule="auto"/>
        <w:tabs>
          <w:tab w:leader="none" w:pos="1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w:t>
      </w:r>
      <w:r>
        <w:rPr>
          <w:rFonts w:ascii="Arial" w:cs="Arial" w:eastAsia="Arial" w:hAnsi="Arial"/>
          <w:sz w:val="18"/>
          <w:szCs w:val="18"/>
          <w:b w:val="1"/>
          <w:bCs w:val="1"/>
          <w:color w:val="auto"/>
          <w:strike w:val="1"/>
        </w:rPr>
        <w:t>such</w:t>
      </w:r>
      <w:r>
        <w:rPr>
          <w:rFonts w:ascii="Arial" w:cs="Arial" w:eastAsia="Arial" w:hAnsi="Arial"/>
          <w:sz w:val="18"/>
          <w:szCs w:val="18"/>
          <w:color w:val="auto"/>
        </w:rPr>
        <w:t xml:space="preserve"> a U.S. Revolving Borrowing or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jc w:val="both"/>
        <w:ind w:left="660" w:firstLine="645"/>
        <w:spacing w:after="0" w:line="253" w:lineRule="auto"/>
        <w:tabs>
          <w:tab w:leader="none" w:pos="186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94" w:lineRule="exact"/>
        <w:rPr>
          <w:rFonts w:ascii="Arial" w:cs="Arial" w:eastAsia="Arial" w:hAnsi="Arial"/>
          <w:sz w:val="18"/>
          <w:szCs w:val="18"/>
          <w:color w:val="auto"/>
        </w:rPr>
      </w:pPr>
    </w:p>
    <w:p>
      <w:pPr>
        <w:jc w:val="both"/>
        <w:ind w:left="660" w:firstLine="645"/>
        <w:spacing w:after="0" w:line="291" w:lineRule="auto"/>
        <w:tabs>
          <w:tab w:leader="none" w:pos="18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093"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Repayment of Participations</w:t>
      </w:r>
      <w:r>
        <w:rPr>
          <w:rFonts w:ascii="Arial" w:cs="Arial" w:eastAsia="Arial" w:hAnsi="Arial"/>
          <w:sz w:val="17"/>
          <w:szCs w:val="17"/>
          <w:color w:val="auto"/>
        </w:rPr>
        <w:t>. (i) At any time after any Applicable Lender has purchased and funded a risk participation in a Swing Line Loan,</w:t>
      </w:r>
      <w:r>
        <w:rPr>
          <w:rFonts w:ascii="Arial" w:cs="Arial" w:eastAsia="Arial" w:hAnsi="Arial"/>
          <w:sz w:val="17"/>
          <w:szCs w:val="17"/>
          <w:i w:val="1"/>
          <w:iCs w:val="1"/>
          <w:color w:val="auto"/>
        </w:rPr>
        <w:t xml:space="preserve"> </w:t>
      </w:r>
      <w:r>
        <w:rPr>
          <w:rFonts w:ascii="Arial" w:cs="Arial" w:eastAsia="Arial" w:hAnsi="Arial"/>
          <w:sz w:val="17"/>
          <w:szCs w:val="17"/>
          <w:color w:val="auto"/>
        </w:rPr>
        <w:t>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65" w:lineRule="exact"/>
        <w:rPr>
          <w:rFonts w:ascii="Arial" w:cs="Arial" w:eastAsia="Arial" w:hAnsi="Arial"/>
          <w:sz w:val="17"/>
          <w:szCs w:val="17"/>
          <w:i w:val="1"/>
          <w:iCs w:val="1"/>
          <w:color w:val="auto"/>
        </w:rPr>
      </w:pPr>
    </w:p>
    <w:p>
      <w:pPr>
        <w:jc w:val="both"/>
        <w:ind w:left="660" w:firstLine="645"/>
        <w:spacing w:after="0" w:line="272" w:lineRule="auto"/>
        <w:tabs>
          <w:tab w:leader="none" w:pos="1778"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w:t>
      </w:r>
      <w:r>
        <w:rPr>
          <w:rFonts w:ascii="Arial" w:cs="Arial" w:eastAsia="Arial" w:hAnsi="Arial"/>
          <w:sz w:val="17"/>
          <w:szCs w:val="17"/>
          <w:b w:val="1"/>
          <w:bCs w:val="1"/>
          <w:color w:val="auto"/>
          <w:strike w:val="1"/>
        </w:rPr>
        <w:t>Revolving</w:t>
      </w:r>
      <w:r>
        <w:rPr>
          <w:rFonts w:ascii="Arial" w:cs="Arial" w:eastAsia="Arial" w:hAnsi="Arial"/>
          <w:sz w:val="17"/>
          <w:szCs w:val="17"/>
          <w:color w:val="auto"/>
        </w:rPr>
        <w:t xml:space="preserv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jc w:val="both"/>
        <w:ind w:firstLine="656"/>
        <w:spacing w:after="0" w:line="259" w:lineRule="auto"/>
        <w:tabs>
          <w:tab w:leader="none" w:pos="1098"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Applicable Swing Line Lender shall be responsible for invoicing the Applicable Borrower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on the Swing Line Loans. Until each Applicable Lender funds its Loan or risk participation pursuant to this Section 2.23 to refinance such Applicable Lender’s Applicable </w:t>
      </w:r>
      <w:r>
        <w:rPr>
          <w:rFonts w:ascii="Arial" w:cs="Arial" w:eastAsia="Arial" w:hAnsi="Arial"/>
          <w:sz w:val="18"/>
          <w:szCs w:val="18"/>
          <w:b w:val="1"/>
          <w:bCs w:val="1"/>
          <w:color w:val="auto"/>
          <w:strike w:val="1"/>
        </w:rPr>
        <w:t>Revolving</w:t>
      </w:r>
      <w:r>
        <w:rPr>
          <w:rFonts w:ascii="Arial" w:cs="Arial" w:eastAsia="Arial" w:hAnsi="Arial"/>
          <w:sz w:val="18"/>
          <w:szCs w:val="18"/>
          <w:color w:val="auto"/>
        </w:rPr>
        <w:t xml:space="preserve"> Pro Rata Percentage of any Swing Line Loan, interest in respect of such Applicable </w:t>
      </w:r>
      <w:r>
        <w:rPr>
          <w:rFonts w:ascii="Arial" w:cs="Arial" w:eastAsia="Arial" w:hAnsi="Arial"/>
          <w:sz w:val="18"/>
          <w:szCs w:val="18"/>
          <w:b w:val="1"/>
          <w:bCs w:val="1"/>
          <w:color w:val="auto"/>
          <w:strike w:val="1"/>
        </w:rPr>
        <w:t>Revolving</w:t>
      </w:r>
      <w:r>
        <w:rPr>
          <w:rFonts w:ascii="Arial" w:cs="Arial" w:eastAsia="Arial" w:hAnsi="Arial"/>
          <w:sz w:val="18"/>
          <w:szCs w:val="18"/>
          <w:color w:val="auto"/>
        </w:rPr>
        <w:t xml:space="preserve"> Pro Rata Percentage shall be solely for the account of the Applicable Swing Line Lender.</w:t>
      </w:r>
    </w:p>
    <w:p>
      <w:pPr>
        <w:spacing w:after="0" w:line="186" w:lineRule="exact"/>
        <w:rPr>
          <w:rFonts w:ascii="Arial" w:cs="Arial" w:eastAsia="Arial" w:hAnsi="Arial"/>
          <w:sz w:val="18"/>
          <w:szCs w:val="18"/>
          <w:i w:val="1"/>
          <w:iCs w:val="1"/>
          <w:color w:val="auto"/>
        </w:rPr>
      </w:pPr>
    </w:p>
    <w:p>
      <w:pPr>
        <w:jc w:val="both"/>
        <w:ind w:right="20" w:firstLine="656"/>
        <w:spacing w:after="0" w:line="264" w:lineRule="auto"/>
        <w:tabs>
          <w:tab w:leader="none" w:pos="1090"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Directly to Swing Line Lender</w:t>
      </w:r>
      <w:r>
        <w:rPr>
          <w:rFonts w:ascii="Arial" w:cs="Arial" w:eastAsia="Arial" w:hAnsi="Arial"/>
          <w:sz w:val="18"/>
          <w:szCs w:val="18"/>
          <w:color w:val="auto"/>
        </w:rPr>
        <w:t>. The Applicable Borrower shall make all payments of principal and interest in respect of the Swing</w:t>
      </w:r>
      <w:r>
        <w:rPr>
          <w:rFonts w:ascii="Arial" w:cs="Arial" w:eastAsia="Arial" w:hAnsi="Arial"/>
          <w:sz w:val="18"/>
          <w:szCs w:val="18"/>
          <w:i w:val="1"/>
          <w:iCs w:val="1"/>
          <w:color w:val="auto"/>
        </w:rPr>
        <w:t xml:space="preserve"> </w:t>
      </w:r>
      <w:r>
        <w:rPr>
          <w:rFonts w:ascii="Arial" w:cs="Arial" w:eastAsia="Arial" w:hAnsi="Arial"/>
          <w:sz w:val="18"/>
          <w:szCs w:val="18"/>
          <w:color w:val="auto"/>
        </w:rPr>
        <w:t>Line Loans directly to the Applicable Swing Line Lender, and, if an AutoBorrow Agreement is in effect, in accordance with the terms of such AutoBorrow Agreement.</w:t>
      </w:r>
    </w:p>
    <w:p>
      <w:pPr>
        <w:spacing w:after="0" w:line="181" w:lineRule="exact"/>
        <w:rPr>
          <w:rFonts w:ascii="Arial" w:cs="Arial" w:eastAsia="Arial" w:hAnsi="Arial"/>
          <w:sz w:val="18"/>
          <w:szCs w:val="18"/>
          <w:i w:val="1"/>
          <w:iCs w:val="1"/>
          <w:color w:val="auto"/>
        </w:rPr>
      </w:pPr>
    </w:p>
    <w:p>
      <w:pPr>
        <w:jc w:val="both"/>
        <w:ind w:firstLine="656"/>
        <w:spacing w:after="0" w:line="259" w:lineRule="auto"/>
        <w:tabs>
          <w:tab w:leader="none" w:pos="109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Nature of the Swing Line Facility</w:t>
      </w:r>
      <w:r>
        <w:rPr>
          <w:rFonts w:ascii="Arial" w:cs="Arial" w:eastAsia="Arial" w:hAnsi="Arial"/>
          <w:sz w:val="18"/>
          <w:szCs w:val="18"/>
          <w:color w:val="auto"/>
        </w:rPr>
        <w:t>. Notwithstanding any terms to the contrary contained herein, the swing line facilities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2.24</w:t>
      </w:r>
      <w:r>
        <w:rPr>
          <w:sz w:val="20"/>
          <w:szCs w:val="20"/>
          <w:color w:val="auto"/>
        </w:rPr>
        <w:tab/>
      </w:r>
      <w:r>
        <w:rPr>
          <w:rFonts w:ascii="Arial" w:cs="Arial" w:eastAsia="Arial" w:hAnsi="Arial"/>
          <w:sz w:val="15"/>
          <w:szCs w:val="15"/>
          <w:b w:val="1"/>
          <w:bCs w:val="1"/>
          <w:i w:val="1"/>
          <w:iCs w:val="1"/>
          <w:color w:val="auto"/>
        </w:rPr>
        <w:t>Defaulting Lenders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77" w:lineRule="auto"/>
        <w:tabs>
          <w:tab w:leader="none" w:pos="1134"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Revolving Lender becomes a Defaulting Lender,</w:t>
      </w:r>
      <w:r>
        <w:rPr>
          <w:rFonts w:ascii="Arial" w:cs="Arial" w:eastAsia="Arial" w:hAnsi="Arial"/>
          <w:sz w:val="18"/>
          <w:szCs w:val="18"/>
          <w:i w:val="1"/>
          <w:iCs w:val="1"/>
          <w:color w:val="auto"/>
        </w:rPr>
        <w:t xml:space="preserve"> </w:t>
      </w:r>
      <w:r>
        <w:rPr>
          <w:rFonts w:ascii="Arial" w:cs="Arial" w:eastAsia="Arial" w:hAnsi="Arial"/>
          <w:sz w:val="18"/>
          <w:szCs w:val="18"/>
          <w:color w:val="auto"/>
        </w:rPr>
        <w:t>then, until such time as that Lender is no longer a Defaulting Lender, to the extent permitted by applicable law:</w:t>
      </w:r>
    </w:p>
    <w:p>
      <w:pPr>
        <w:spacing w:after="0" w:line="170" w:lineRule="exact"/>
        <w:rPr>
          <w:rFonts w:ascii="Arial" w:cs="Arial" w:eastAsia="Arial" w:hAnsi="Arial"/>
          <w:sz w:val="18"/>
          <w:szCs w:val="18"/>
          <w:i w:val="1"/>
          <w:iCs w:val="1"/>
          <w:color w:val="auto"/>
        </w:rPr>
      </w:pPr>
    </w:p>
    <w:p>
      <w:pPr>
        <w:ind w:left="660" w:firstLine="645"/>
        <w:spacing w:after="0" w:line="277" w:lineRule="auto"/>
        <w:tabs>
          <w:tab w:leader="none" w:pos="1776"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or any other Loan Document shall be restricted as set forth in Section 9.08(b);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1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86" w:lineRule="exact"/>
        <w:rPr>
          <w:rFonts w:ascii="Arial" w:cs="Arial" w:eastAsia="Arial" w:hAnsi="Arial"/>
          <w:sz w:val="18"/>
          <w:szCs w:val="18"/>
          <w:color w:val="auto"/>
        </w:rPr>
      </w:pPr>
    </w:p>
    <w:p>
      <w:pPr>
        <w:ind w:left="2400" w:hanging="447"/>
        <w:spacing w:after="0"/>
        <w:tabs>
          <w:tab w:leader="none" w:pos="2400" w:val="left"/>
        </w:tabs>
        <w:numPr>
          <w:ilvl w:val="2"/>
          <w:numId w:val="91"/>
        </w:numPr>
        <w:rPr>
          <w:rFonts w:ascii="Arial" w:cs="Arial" w:eastAsia="Arial" w:hAnsi="Arial"/>
          <w:sz w:val="17"/>
          <w:szCs w:val="17"/>
          <w:i w:val="1"/>
          <w:iCs w:val="1"/>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any amounts owing by such Defaulting Lender to the Applicable Administrative Agent hereunder;</w:t>
      </w:r>
    </w:p>
    <w:p>
      <w:pPr>
        <w:spacing w:after="0" w:line="236" w:lineRule="exact"/>
        <w:rPr>
          <w:rFonts w:ascii="Arial" w:cs="Arial" w:eastAsia="Arial" w:hAnsi="Arial"/>
          <w:sz w:val="17"/>
          <w:szCs w:val="17"/>
          <w:i w:val="1"/>
          <w:iCs w:val="1"/>
          <w:color w:val="auto"/>
        </w:rPr>
      </w:pPr>
    </w:p>
    <w:p>
      <w:pPr>
        <w:ind w:left="1300" w:firstLine="653"/>
        <w:spacing w:after="0" w:line="277" w:lineRule="auto"/>
        <w:tabs>
          <w:tab w:leader="none" w:pos="2457"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Lenders hereunder;</w:t>
      </w:r>
    </w:p>
    <w:p>
      <w:pPr>
        <w:spacing w:after="0" w:line="170" w:lineRule="exact"/>
        <w:rPr>
          <w:rFonts w:ascii="Arial" w:cs="Arial" w:eastAsia="Arial" w:hAnsi="Arial"/>
          <w:sz w:val="18"/>
          <w:szCs w:val="18"/>
          <w:i w:val="1"/>
          <w:iCs w:val="1"/>
          <w:color w:val="auto"/>
        </w:rPr>
      </w:pPr>
    </w:p>
    <w:p>
      <w:pPr>
        <w:ind w:left="1300" w:firstLine="653"/>
        <w:spacing w:after="0" w:line="277" w:lineRule="auto"/>
        <w:tabs>
          <w:tab w:leader="none" w:pos="2413"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Cash Collateralize the Issuing Banks’ Fronting Exposure with respect to such Defaulting Lender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2.21(k);</w:t>
      </w:r>
      <w:r>
        <w:rPr>
          <w:rFonts w:ascii="Arial" w:cs="Arial" w:eastAsia="Arial" w:hAnsi="Arial"/>
          <w:sz w:val="18"/>
          <w:szCs w:val="18"/>
          <w:b w:val="1"/>
          <w:bCs w:val="1"/>
          <w:color w:val="auto"/>
          <w:strike w:val="1"/>
        </w:rPr>
        <w:t>;</w:t>
      </w:r>
    </w:p>
    <w:p>
      <w:pPr>
        <w:spacing w:after="0" w:line="170" w:lineRule="exact"/>
        <w:rPr>
          <w:rFonts w:ascii="Arial" w:cs="Arial" w:eastAsia="Arial" w:hAnsi="Arial"/>
          <w:sz w:val="18"/>
          <w:szCs w:val="18"/>
          <w:i w:val="1"/>
          <w:iCs w:val="1"/>
          <w:color w:val="auto"/>
        </w:rPr>
      </w:pPr>
    </w:p>
    <w:p>
      <w:pPr>
        <w:jc w:val="both"/>
        <w:ind w:left="1300" w:firstLine="653"/>
        <w:spacing w:after="0" w:line="264" w:lineRule="auto"/>
        <w:tabs>
          <w:tab w:leader="none" w:pos="2491"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as the Applicable Borrower may request (so long as no Default or Event of Default exists), to the funding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in respect of which such Defaulting Lender has failed to fund its portion thereof as required by this Agreement, as determined by the Applicable Administrative Agent;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jc w:val="both"/>
        <w:ind w:left="640" w:firstLine="653"/>
        <w:spacing w:after="0" w:line="291" w:lineRule="auto"/>
        <w:tabs>
          <w:tab w:leader="none" w:pos="1743" w:val="left"/>
        </w:tabs>
        <w:numPr>
          <w:ilvl w:val="1"/>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applicable Borrower, to be held in a deposit account and released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in order to (x) satisfy such Defaulting Lender’s potential future funding obligations with respect to Loans under this Agreement and</w:t>
      </w:r>
    </w:p>
    <w:p>
      <w:pPr>
        <w:ind w:left="640" w:right="20" w:firstLine="5"/>
        <w:spacing w:after="0" w:line="261"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Cash Collateralize the Issuing Banks’ future Fronting Exposure with respect to such Defaulting Lender with respect to future Letters of Credit issued under this Agreement, in accordance with Section 2.21(k);</w:t>
      </w:r>
    </w:p>
    <w:p>
      <w:pPr>
        <w:spacing w:after="0" w:line="183" w:lineRule="exact"/>
        <w:rPr>
          <w:rFonts w:ascii="Arial" w:cs="Arial" w:eastAsia="Arial" w:hAnsi="Arial"/>
          <w:sz w:val="18"/>
          <w:szCs w:val="18"/>
          <w:color w:val="auto"/>
        </w:rPr>
      </w:pPr>
    </w:p>
    <w:p>
      <w:pPr>
        <w:jc w:val="both"/>
        <w:ind w:left="640" w:firstLine="653"/>
        <w:spacing w:after="0" w:line="286" w:lineRule="auto"/>
        <w:tabs>
          <w:tab w:leader="none" w:pos="1743" w:val="left"/>
        </w:tabs>
        <w:numPr>
          <w:ilvl w:val="1"/>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Revolving Lenders, the Applicable Issuing Bank or the Applicable Swing</w:t>
      </w:r>
      <w:r>
        <w:rPr>
          <w:rFonts w:ascii="Arial" w:cs="Arial" w:eastAsia="Arial" w:hAnsi="Arial"/>
          <w:sz w:val="17"/>
          <w:szCs w:val="17"/>
          <w:i w:val="1"/>
          <w:iCs w:val="1"/>
          <w:color w:val="auto"/>
        </w:rPr>
        <w:t xml:space="preserve"> </w:t>
      </w:r>
      <w:r>
        <w:rPr>
          <w:rFonts w:ascii="Arial" w:cs="Arial" w:eastAsia="Arial" w:hAnsi="Arial"/>
          <w:sz w:val="17"/>
          <w:szCs w:val="17"/>
          <w:color w:val="auto"/>
        </w:rPr>
        <w:t>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165" w:lineRule="exact"/>
        <w:rPr>
          <w:rFonts w:ascii="Arial" w:cs="Arial" w:eastAsia="Arial" w:hAnsi="Arial"/>
          <w:sz w:val="17"/>
          <w:szCs w:val="17"/>
          <w:i w:val="1"/>
          <w:iCs w:val="1"/>
          <w:color w:val="auto"/>
        </w:rPr>
      </w:pPr>
    </w:p>
    <w:p>
      <w:pPr>
        <w:jc w:val="both"/>
        <w:ind w:left="640" w:firstLine="653"/>
        <w:spacing w:after="0" w:line="264" w:lineRule="auto"/>
        <w:tabs>
          <w:tab w:leader="none" w:pos="1777" w:val="left"/>
        </w:tabs>
        <w:numPr>
          <w:ilvl w:val="1"/>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the Applicable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any judgment of a court of competent jurisdiction obtained by the Applicable Borrower against such Defaulting Lender as a result of such Defaulting Lender’s breach of its obligations under this Agreement; and</w:t>
      </w:r>
    </w:p>
    <w:p>
      <w:pPr>
        <w:spacing w:after="0" w:line="181" w:lineRule="exact"/>
        <w:rPr>
          <w:rFonts w:ascii="Arial" w:cs="Arial" w:eastAsia="Arial" w:hAnsi="Arial"/>
          <w:sz w:val="18"/>
          <w:szCs w:val="18"/>
          <w:i w:val="1"/>
          <w:iCs w:val="1"/>
          <w:color w:val="auto"/>
        </w:rPr>
      </w:pPr>
    </w:p>
    <w:p>
      <w:pPr>
        <w:jc w:val="both"/>
        <w:ind w:left="640" w:firstLine="653"/>
        <w:spacing w:after="0" w:line="288" w:lineRule="auto"/>
        <w:tabs>
          <w:tab w:leader="none" w:pos="1831" w:val="left"/>
        </w:tabs>
        <w:numPr>
          <w:ilvl w:val="1"/>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(x)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is a payment of the principal amount of any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or L/C Disbursements in respect of which that Defaulting Lender has not fully funded its appropriate share and (y) such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were made or the related Letters of Credit were issued at a time when the conditions set forth in Section 4.01 were satisfied or waived, such payment shall be applied solely to pay the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of, and L/C Disbursements owed to, all Non-Defaulting Lenders on a pro rata basis prior to being applied to the payment of any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of, or L/C Disbursements owed to, such Defaulting Lender until such time as all Loans and funded and unfunded participations in </w:t>
      </w:r>
      <w:r>
        <w:rPr>
          <w:rFonts w:ascii="Arial" w:cs="Arial" w:eastAsia="Arial" w:hAnsi="Arial"/>
          <w:sz w:val="16"/>
          <w:szCs w:val="16"/>
          <w:b w:val="1"/>
          <w:bCs w:val="1"/>
          <w:color w:val="auto"/>
          <w:strike w:val="1"/>
        </w:rPr>
        <w:t>L/C Obligations</w:t>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 xml:space="preserve">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47" w:name="page148"/>
    <w:bookmarkEnd w:id="147"/>
    <w:p>
      <w:pPr>
        <w:jc w:val="both"/>
        <w:ind w:firstLine="656"/>
        <w:spacing w:after="0" w:line="264" w:lineRule="auto"/>
        <w:tabs>
          <w:tab w:leader="none" w:pos="1151"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(i) No Defaulting Lender shall be entitled to receive any Commitment Fee pursuant to Section 2.05(a) for any period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Lender is a Defaulting Lender (and, except as otherwise provided in Section 2.05(a), the Applicable Borrower shall not be required to pay any such fee that otherwise would have been required to have been paid to such Defaulting Lender).</w:t>
      </w:r>
    </w:p>
    <w:p>
      <w:pPr>
        <w:spacing w:after="0" w:line="181" w:lineRule="exact"/>
        <w:rPr>
          <w:rFonts w:ascii="Arial" w:cs="Arial" w:eastAsia="Arial" w:hAnsi="Arial"/>
          <w:sz w:val="18"/>
          <w:szCs w:val="18"/>
          <w:i w:val="1"/>
          <w:iCs w:val="1"/>
          <w:color w:val="auto"/>
        </w:rPr>
      </w:pPr>
    </w:p>
    <w:p>
      <w:pPr>
        <w:jc w:val="both"/>
        <w:ind w:left="660" w:firstLine="645"/>
        <w:spacing w:after="0" w:line="264" w:lineRule="auto"/>
        <w:tabs>
          <w:tab w:leader="none" w:pos="1813"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851"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With respect to any L/C Participation Fee not required to be paid to any Defaulting Lender pursuant to clause (i) or (ii) above, the </w:t>
      </w:r>
      <w:r>
        <w:rPr>
          <w:rFonts w:ascii="Arial" w:cs="Arial" w:eastAsia="Arial" w:hAnsi="Arial"/>
          <w:sz w:val="17"/>
          <w:szCs w:val="17"/>
          <w:color w:val="auto"/>
          <w:strike w:val="1"/>
        </w:rPr>
        <w:t>applicable</w:t>
      </w:r>
      <w:r>
        <w:rPr>
          <w:rFonts w:ascii="Arial" w:cs="Arial" w:eastAsia="Arial" w:hAnsi="Arial"/>
          <w:sz w:val="17"/>
          <w:szCs w:val="17"/>
          <w:color w:val="auto"/>
        </w:rPr>
        <w:t xml:space="preserve">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w:t>
      </w:r>
      <w:r>
        <w:rPr>
          <w:rFonts w:ascii="Arial" w:cs="Arial" w:eastAsia="Arial" w:hAnsi="Arial"/>
          <w:sz w:val="17"/>
          <w:szCs w:val="17"/>
          <w:color w:val="auto"/>
          <w:strike w:val="1"/>
        </w:rPr>
        <w:t>Lender</w:t>
      </w:r>
      <w:r>
        <w:rPr>
          <w:rFonts w:ascii="Arial" w:cs="Arial" w:eastAsia="Arial" w:hAnsi="Arial"/>
          <w:sz w:val="17"/>
          <w:szCs w:val="17"/>
          <w:color w:val="auto"/>
        </w:rPr>
        <w:t xml:space="preserve">Bank and Swing Line Lender, as applicable, the amount of any such fee otherwise payable to such Defaulting Lender to the extent allocable to such Issuing </w:t>
      </w:r>
      <w:r>
        <w:rPr>
          <w:rFonts w:ascii="Arial" w:cs="Arial" w:eastAsia="Arial" w:hAnsi="Arial"/>
          <w:sz w:val="17"/>
          <w:szCs w:val="17"/>
          <w:color w:val="auto"/>
          <w:strike w:val="1"/>
        </w:rPr>
        <w:t>Lender</w:t>
      </w:r>
      <w:r>
        <w:rPr>
          <w:rFonts w:ascii="Arial" w:cs="Arial" w:eastAsia="Arial" w:hAnsi="Arial"/>
          <w:sz w:val="17"/>
          <w:szCs w:val="17"/>
          <w:color w:val="auto"/>
        </w:rPr>
        <w:t>Bank’s or Swing Line Lender’s Fronting Exposure to such Defaulting Lender, and (z) not be required to pay the remaining amount of any such fee.</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073" w:val="left"/>
        </w:tabs>
        <w:numPr>
          <w:ilvl w:val="0"/>
          <w:numId w:val="94"/>
        </w:numPr>
        <w:rPr>
          <w:rFonts w:ascii="Arial" w:cs="Arial" w:eastAsia="Arial" w:hAnsi="Arial"/>
          <w:sz w:val="17"/>
          <w:szCs w:val="17"/>
          <w:i w:val="1"/>
          <w:iCs w:val="1"/>
          <w:color w:val="auto"/>
        </w:rPr>
      </w:pPr>
      <w:r>
        <w:rPr>
          <w:rFonts w:ascii="Arial" w:cs="Arial" w:eastAsia="Arial" w:hAnsi="Arial"/>
          <w:sz w:val="17"/>
          <w:szCs w:val="17"/>
          <w:i w:val="1"/>
          <w:iCs w:val="1"/>
          <w:color w:val="auto"/>
        </w:rPr>
        <w:t>Reallocation of Ratable Portions to Reduce Fronting Exposure</w:t>
      </w:r>
      <w:r>
        <w:rPr>
          <w:rFonts w:ascii="Arial" w:cs="Arial" w:eastAsia="Arial" w:hAnsi="Arial"/>
          <w:sz w:val="17"/>
          <w:szCs w:val="17"/>
          <w:color w:val="auto"/>
        </w:rPr>
        <w:t>. During any period in which there is a Defaulting Lender, solely for purposes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computing the amount of the obligation of each non-Defaulting Lender to acquire, refinance or fund participations in Letters of Credit and Swing Line Loans pursuant to Sections 2.21 and 2.23, the “U.S. Revolving Pro Rata Percentage”,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or “Australian Revolving Pro Rata Percentage”, as applicable, of each non-Defaulting Lender shall be computed without giving effect to the Revolving Commitment of such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78" w:lineRule="exact"/>
        <w:rPr>
          <w:rFonts w:ascii="Arial" w:cs="Arial" w:eastAsia="Arial" w:hAnsi="Arial"/>
          <w:sz w:val="17"/>
          <w:szCs w:val="17"/>
          <w:i w:val="1"/>
          <w:iCs w:val="1"/>
          <w:color w:val="auto"/>
        </w:rPr>
      </w:pPr>
    </w:p>
    <w:p>
      <w:pPr>
        <w:jc w:val="both"/>
        <w:ind w:firstLine="656"/>
        <w:spacing w:after="0" w:line="259" w:lineRule="auto"/>
        <w:tabs>
          <w:tab w:leader="none" w:pos="1083"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Cash Collateral, Repayment of Swing Line Loans</w:t>
      </w:r>
      <w:r>
        <w:rPr>
          <w:rFonts w:ascii="Arial" w:cs="Arial" w:eastAsia="Arial" w:hAnsi="Arial"/>
          <w:sz w:val="18"/>
          <w:szCs w:val="18"/>
          <w:color w:val="auto"/>
        </w:rPr>
        <w:t>. If the reallocation described in clause (c) above cannot, or can only partially, be effected,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Borrower shall, without prejudice to any right or remedy available to it hereunder or under law, (x) first, prepay Swing Line Loans in an amount equal to the applicable Swing Line Lender’s Fronting Exposure and (y) second, cash collateralize the applicable Issuing </w:t>
      </w:r>
      <w:r>
        <w:rPr>
          <w:rFonts w:ascii="Arial" w:cs="Arial" w:eastAsia="Arial" w:hAnsi="Arial"/>
          <w:sz w:val="18"/>
          <w:szCs w:val="18"/>
          <w:b w:val="1"/>
          <w:bCs w:val="1"/>
          <w:color w:val="auto"/>
          <w:strike w:val="1"/>
        </w:rPr>
        <w:t>Lenders</w:t>
      </w:r>
      <w:r>
        <w:rPr>
          <w:rFonts w:ascii="Arial" w:cs="Arial" w:eastAsia="Arial" w:hAnsi="Arial"/>
          <w:sz w:val="18"/>
          <w:szCs w:val="18"/>
          <w:color w:val="auto"/>
        </w:rPr>
        <w:t>Bank</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 Fronting Exposure in accordance with the procedures set forth in Section 2.21(k).</w:t>
      </w:r>
    </w:p>
    <w:p>
      <w:pPr>
        <w:spacing w:after="0" w:line="186" w:lineRule="exact"/>
        <w:rPr>
          <w:rFonts w:ascii="Arial" w:cs="Arial" w:eastAsia="Arial" w:hAnsi="Arial"/>
          <w:sz w:val="18"/>
          <w:szCs w:val="18"/>
          <w:i w:val="1"/>
          <w:iCs w:val="1"/>
          <w:color w:val="auto"/>
        </w:rPr>
      </w:pPr>
    </w:p>
    <w:p>
      <w:pPr>
        <w:jc w:val="both"/>
        <w:ind w:firstLine="656"/>
        <w:spacing w:after="0" w:line="287" w:lineRule="auto"/>
        <w:tabs>
          <w:tab w:leader="none" w:pos="1208"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Defaulting Lender Cure</w:t>
      </w:r>
      <w:r>
        <w:rPr>
          <w:rFonts w:ascii="Arial" w:cs="Arial" w:eastAsia="Arial" w:hAnsi="Arial"/>
          <w:sz w:val="16"/>
          <w:szCs w:val="16"/>
          <w:color w:val="auto"/>
        </w:rPr>
        <w:t>. If the Applicable Borrower, the Applicable Administrative Agent, the Applicable Swing Line Lenders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w:t>
      </w:r>
      <w:r>
        <w:rPr>
          <w:rFonts w:ascii="Arial" w:cs="Arial" w:eastAsia="Arial" w:hAnsi="Arial"/>
          <w:sz w:val="16"/>
          <w:szCs w:val="16"/>
          <w:b w:val="1"/>
          <w:bCs w:val="1"/>
          <w:u w:val="single" w:color="auto"/>
          <w:color w:val="auto"/>
        </w:rPr>
        <w:t>Tranche A Revolving Pro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Rata Percentage”, “Canadian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to clause (a)(ii) above), whereupon such Lender will cease to be a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jc w:val="both"/>
        <w:ind w:firstLine="656"/>
        <w:spacing w:after="0" w:line="261" w:lineRule="auto"/>
        <w:tabs>
          <w:tab w:leader="none" w:pos="1063"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New Swing Line Loans/Letters of Credit</w:t>
      </w:r>
      <w:r>
        <w:rPr>
          <w:rFonts w:ascii="Arial" w:cs="Arial" w:eastAsia="Arial" w:hAnsi="Arial"/>
          <w:sz w:val="18"/>
          <w:szCs w:val="18"/>
          <w:color w:val="auto"/>
        </w:rPr>
        <w:t>. So long as any Lender is a Defaulting Lender, (i)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applicable</w:t>
      </w:r>
      <w:r>
        <w:rPr>
          <w:rFonts w:ascii="Arial" w:cs="Arial" w:eastAsia="Arial" w:hAnsi="Arial"/>
          <w:sz w:val="18"/>
          <w:szCs w:val="18"/>
          <w:b w:val="1"/>
          <w:bCs w:val="1"/>
          <w:u w:val="single" w:color="auto"/>
          <w:color w:val="auto"/>
        </w:rPr>
        <w:t>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84" w:lineRule="exact"/>
        <w:rPr>
          <w:rFonts w:ascii="Arial" w:cs="Arial" w:eastAsia="Arial" w:hAnsi="Arial"/>
          <w:sz w:val="18"/>
          <w:szCs w:val="18"/>
          <w:i w:val="1"/>
          <w:iCs w:val="1"/>
          <w:color w:val="auto"/>
        </w:rPr>
      </w:pPr>
    </w:p>
    <w:p>
      <w:pPr>
        <w:jc w:val="both"/>
        <w:ind w:firstLine="656"/>
        <w:spacing w:after="0" w:line="259" w:lineRule="auto"/>
        <w:tabs>
          <w:tab w:leader="none" w:pos="1117"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Defaulting Lender Revolving Commitment</w:t>
      </w:r>
      <w:r>
        <w:rPr>
          <w:rFonts w:ascii="Arial" w:cs="Arial" w:eastAsia="Arial" w:hAnsi="Arial"/>
          <w:sz w:val="18"/>
          <w:szCs w:val="18"/>
          <w:color w:val="auto"/>
        </w:rPr>
        <w:t>. A Borrower may terminate the unused amount of the Revolving Commitment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Defaulting Lender upon not less than three (3) Business Days’ prior notice to the Applicable Administrative Agent (which will promptly notify the Revolving Lenders of the same Class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will not be deemed to be a waiver or release of any claim a Borrower, an Administrative Agent, an Issuing Bank or any Lender may have against such Defaulting Lender.</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2.25</w:t>
      </w:r>
      <w:r>
        <w:rPr>
          <w:sz w:val="20"/>
          <w:szCs w:val="20"/>
          <w:color w:val="auto"/>
        </w:rPr>
        <w:tab/>
      </w:r>
      <w:r>
        <w:rPr>
          <w:rFonts w:ascii="Arial" w:cs="Arial" w:eastAsia="Arial" w:hAnsi="Arial"/>
          <w:sz w:val="15"/>
          <w:szCs w:val="15"/>
          <w:b w:val="1"/>
          <w:bCs w:val="1"/>
          <w:i w:val="1"/>
          <w:iCs w:val="1"/>
          <w:color w:val="auto"/>
        </w:rPr>
        <w:t>Incremental Revolving Credit Increase</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9" w:lineRule="auto"/>
        <w:tabs>
          <w:tab w:leader="none" w:pos="122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any time after the Funding Date, any Borrower may by written notice to the Applicable Administrative Agent elect to request the establishment of one or more increases in one or more of the Revolving Commitments (an “</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to make incremental Revolving Credit Loans (any Revolving Credit Loans made pursuant to such Incremental Revolving Commitments, the “</w:t>
      </w:r>
      <w:r>
        <w:rPr>
          <w:rFonts w:ascii="Arial" w:cs="Arial" w:eastAsia="Arial" w:hAnsi="Arial"/>
          <w:sz w:val="18"/>
          <w:szCs w:val="18"/>
          <w:i w:val="1"/>
          <w:iCs w:val="1"/>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the aggregate amount for all such Incremental Revolving Commitments shall not exceed $200,000,000 and (2)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for each Incremental Revolving Commitment shall not be less than a minimum principal amount of $25,000,000 or, if less, the remaining amount permitted pursuant to the foregoing clause (1). Each such notice shall specify the date (each, an “</w:t>
      </w:r>
      <w:r>
        <w:rPr>
          <w:rFonts w:ascii="Arial" w:cs="Arial" w:eastAsia="Arial" w:hAnsi="Arial"/>
          <w:sz w:val="17"/>
          <w:szCs w:val="17"/>
          <w:i w:val="1"/>
          <w:iCs w:val="1"/>
          <w:color w:val="auto"/>
        </w:rPr>
        <w:t>Increased Amount Date</w:t>
      </w:r>
      <w:r>
        <w:rPr>
          <w:rFonts w:ascii="Arial" w:cs="Arial" w:eastAsia="Arial" w:hAnsi="Arial"/>
          <w:sz w:val="17"/>
          <w:szCs w:val="17"/>
          <w:color w:val="auto"/>
        </w:rPr>
        <w:t xml:space="preserve">”)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reasonably satisfactory to the Applicable Administrative Agent, the Applicable Issuing Bank and the Applicable Swing Line Lender, if any, to provide an Incremental Revolving Commitment (any such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that provides an Incremental Revolving Commitment, an “</w:t>
      </w:r>
      <w:r>
        <w:rPr>
          <w:rFonts w:ascii="Arial" w:cs="Arial" w:eastAsia="Arial" w:hAnsi="Arial"/>
          <w:sz w:val="17"/>
          <w:szCs w:val="17"/>
          <w:i w:val="1"/>
          <w:iCs w:val="1"/>
          <w:color w:val="auto"/>
        </w:rPr>
        <w:t>Incremental Lender</w:t>
      </w:r>
      <w:r>
        <w:rPr>
          <w:rFonts w:ascii="Arial" w:cs="Arial" w:eastAsia="Arial" w:hAnsi="Arial"/>
          <w:sz w:val="17"/>
          <w:szCs w:val="17"/>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9" w:name="page150"/>
    <w:bookmarkEnd w:id="149"/>
    <w:p>
      <w:pPr>
        <w:ind w:left="100" w:right="20" w:firstLine="653"/>
        <w:spacing w:after="0" w:line="277" w:lineRule="auto"/>
        <w:tabs>
          <w:tab w:leader="none" w:pos="1399"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70" w:lineRule="exact"/>
        <w:rPr>
          <w:rFonts w:ascii="Arial" w:cs="Arial" w:eastAsia="Arial" w:hAnsi="Arial"/>
          <w:sz w:val="18"/>
          <w:szCs w:val="18"/>
          <w:color w:val="auto"/>
        </w:rPr>
      </w:pPr>
    </w:p>
    <w:p>
      <w:pPr>
        <w:jc w:val="both"/>
        <w:ind w:left="100" w:firstLine="653"/>
        <w:spacing w:after="0" w:line="293" w:lineRule="auto"/>
        <w:tabs>
          <w:tab w:leader="none" w:pos="129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Applicable Borrower shall have delivered to the Administrative Agent (which shall promptly make such information available to the Lenders in accordance with its customary practice) a Compliance Certificate demonstrating that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will be in compliance on a pro forma basis (using the criteria therefor described in Section 6.04(i)) with the financial covenants set forth in Sections 6.10 and 6.11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64" w:lineRule="exact"/>
        <w:rPr>
          <w:rFonts w:ascii="Arial" w:cs="Arial" w:eastAsia="Arial" w:hAnsi="Arial"/>
          <w:sz w:val="16"/>
          <w:szCs w:val="16"/>
          <w:color w:val="auto"/>
        </w:rPr>
      </w:pPr>
    </w:p>
    <w:p>
      <w:pPr>
        <w:ind w:left="100" w:firstLine="653"/>
        <w:spacing w:after="0" w:line="308" w:lineRule="auto"/>
        <w:tabs>
          <w:tab w:leader="none" w:pos="121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46" w:lineRule="exact"/>
        <w:rPr>
          <w:rFonts w:ascii="Arial" w:cs="Arial" w:eastAsia="Arial" w:hAnsi="Arial"/>
          <w:sz w:val="17"/>
          <w:szCs w:val="17"/>
          <w:color w:val="auto"/>
        </w:rPr>
      </w:pPr>
    </w:p>
    <w:p>
      <w:pPr>
        <w:jc w:val="both"/>
        <w:ind w:left="100" w:firstLine="653"/>
        <w:spacing w:after="0" w:line="264" w:lineRule="auto"/>
        <w:tabs>
          <w:tab w:leader="none" w:pos="12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81" w:lineRule="exact"/>
        <w:rPr>
          <w:rFonts w:ascii="Arial" w:cs="Arial" w:eastAsia="Arial" w:hAnsi="Arial"/>
          <w:sz w:val="18"/>
          <w:szCs w:val="18"/>
          <w:color w:val="auto"/>
        </w:rPr>
      </w:pPr>
    </w:p>
    <w:p>
      <w:pPr>
        <w:ind w:left="1260" w:hanging="507"/>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case of each Incremental Revolving Commitment (the terms of which shall be set forth the relevant Lender Joinder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left="760" w:firstLine="641"/>
        <w:spacing w:after="0" w:line="257" w:lineRule="auto"/>
        <w:tabs>
          <w:tab w:leader="none" w:pos="1843"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50" w:name="page151"/>
    <w:bookmarkEnd w:id="150"/>
    <w:p>
      <w:pPr>
        <w:jc w:val="both"/>
        <w:ind w:left="1960" w:firstLine="641"/>
        <w:spacing w:after="0" w:line="255" w:lineRule="auto"/>
        <w:tabs>
          <w:tab w:leader="none" w:pos="3081"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Applicable Pro Rata Percentages of </w:t>
      </w:r>
      <w:r>
        <w:rPr>
          <w:rFonts w:ascii="Arial" w:cs="Arial" w:eastAsia="Arial" w:hAnsi="Arial"/>
          <w:sz w:val="18"/>
          <w:szCs w:val="18"/>
          <w:b w:val="1"/>
          <w:bCs w:val="1"/>
          <w:color w:val="auto"/>
          <w:strike w:val="1"/>
        </w:rPr>
        <w:t>Swingline</w:t>
      </w:r>
      <w:r>
        <w:rPr>
          <w:rFonts w:ascii="Arial" w:cs="Arial" w:eastAsia="Arial" w:hAnsi="Arial"/>
          <w:sz w:val="18"/>
          <w:szCs w:val="18"/>
          <w:b w:val="1"/>
          <w:bCs w:val="1"/>
          <w:u w:val="single" w:color="auto"/>
          <w:color w:val="auto"/>
        </w:rPr>
        <w:t>Swing Line</w:t>
      </w:r>
      <w:r>
        <w:rPr>
          <w:rFonts w:ascii="Arial" w:cs="Arial" w:eastAsia="Arial" w:hAnsi="Arial"/>
          <w:sz w:val="18"/>
          <w:szCs w:val="18"/>
          <w:color w:val="auto"/>
        </w:rPr>
        <w:t xml:space="preserve"> Loans and </w:t>
      </w:r>
      <w:r>
        <w:rPr>
          <w:rFonts w:ascii="Arial" w:cs="Arial" w:eastAsia="Arial" w:hAnsi="Arial"/>
          <w:sz w:val="18"/>
          <w:szCs w:val="18"/>
          <w:b w:val="1"/>
          <w:bCs w:val="1"/>
          <w:color w:val="auto"/>
          <w:strike w:val="1"/>
        </w:rPr>
        <w:t>L/C Obligations</w:t>
      </w:r>
      <w:r>
        <w:rPr>
          <w:rFonts w:ascii="Arial" w:cs="Arial" w:eastAsia="Arial" w:hAnsi="Arial"/>
          <w:sz w:val="18"/>
          <w:szCs w:val="18"/>
          <w:b w:val="1"/>
          <w:bCs w:val="1"/>
          <w:u w:val="single" w:color="auto"/>
          <w:color w:val="auto"/>
        </w:rPr>
        <w:t>the aggregate amount available to be drawn under all applicable Letters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Class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89" w:lineRule="exact"/>
        <w:rPr>
          <w:rFonts w:ascii="Arial" w:cs="Arial" w:eastAsia="Arial" w:hAnsi="Arial"/>
          <w:sz w:val="18"/>
          <w:szCs w:val="18"/>
          <w:color w:val="auto"/>
        </w:rPr>
      </w:pPr>
    </w:p>
    <w:p>
      <w:pPr>
        <w:jc w:val="both"/>
        <w:ind w:left="1960" w:firstLine="641"/>
        <w:spacing w:after="0" w:line="259" w:lineRule="auto"/>
        <w:tabs>
          <w:tab w:leader="none" w:pos="3127"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all of the other terms and conditions applicable to such Incremental Revolving Commitment shall, except to the extent otherwise provided in this Section 2.25, be identical to the terms and conditions applicable to the U.S. Revolving Credit Facility, the Canadian </w:t>
      </w:r>
      <w:r>
        <w:rPr>
          <w:rFonts w:ascii="Arial" w:cs="Arial" w:eastAsia="Arial" w:hAnsi="Arial"/>
          <w:sz w:val="18"/>
          <w:szCs w:val="18"/>
          <w:b w:val="1"/>
          <w:bCs w:val="1"/>
          <w:u w:val="single" w:color="auto"/>
          <w:color w:val="auto"/>
        </w:rPr>
        <w:t>Tranche A Revolving Credit Facility, the Canadian Tranche B</w:t>
      </w:r>
      <w:r>
        <w:rPr>
          <w:rFonts w:ascii="Arial" w:cs="Arial" w:eastAsia="Arial" w:hAnsi="Arial"/>
          <w:sz w:val="18"/>
          <w:szCs w:val="18"/>
          <w:color w:val="auto"/>
        </w:rPr>
        <w:t xml:space="preserve"> Revolving Credit Facility or the Australian Revolving Credit Facility, as the case may be;</w:t>
      </w:r>
    </w:p>
    <w:p>
      <w:pPr>
        <w:spacing w:after="0" w:line="186" w:lineRule="exact"/>
        <w:rPr>
          <w:rFonts w:ascii="Arial" w:cs="Arial" w:eastAsia="Arial" w:hAnsi="Arial"/>
          <w:sz w:val="18"/>
          <w:szCs w:val="18"/>
          <w:color w:val="auto"/>
        </w:rPr>
      </w:pPr>
    </w:p>
    <w:p>
      <w:pPr>
        <w:jc w:val="both"/>
        <w:ind w:left="1300" w:firstLine="653"/>
        <w:spacing w:after="0" w:line="257" w:lineRule="auto"/>
        <w:tabs>
          <w:tab w:leader="none" w:pos="2546"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any Incremental Lender shall be entitled to the same voting rights as the existing Revolving Lenders under the U.S. Revolving Credit Facility,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w:t>
      </w:r>
      <w:r>
        <w:rPr>
          <w:rFonts w:ascii="Arial" w:cs="Arial" w:eastAsia="Arial" w:hAnsi="Arial"/>
          <w:sz w:val="18"/>
          <w:szCs w:val="18"/>
          <w:b w:val="1"/>
          <w:bCs w:val="1"/>
          <w:u w:val="single" w:color="auto"/>
          <w:color w:val="auto"/>
        </w:rPr>
        <w:t>Facility, the Canadian Tranche B Revolving Credit</w:t>
      </w:r>
      <w:r>
        <w:rPr>
          <w:rFonts w:ascii="Arial" w:cs="Arial" w:eastAsia="Arial" w:hAnsi="Arial"/>
          <w:sz w:val="18"/>
          <w:szCs w:val="18"/>
          <w:color w:val="auto"/>
        </w:rPr>
        <w:t xml:space="preserve">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w:t>
      </w:r>
    </w:p>
    <w:p>
      <w:pPr>
        <w:spacing w:after="0" w:line="188" w:lineRule="exact"/>
        <w:rPr>
          <w:rFonts w:ascii="Arial" w:cs="Arial" w:eastAsia="Arial" w:hAnsi="Arial"/>
          <w:sz w:val="18"/>
          <w:szCs w:val="18"/>
          <w:color w:val="auto"/>
        </w:rPr>
      </w:pPr>
    </w:p>
    <w:p>
      <w:pPr>
        <w:jc w:val="both"/>
        <w:ind w:left="1300" w:firstLine="653"/>
        <w:spacing w:after="0" w:line="257" w:lineRule="auto"/>
        <w:tabs>
          <w:tab w:leader="none" w:pos="2467"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88" w:lineRule="exact"/>
        <w:rPr>
          <w:rFonts w:ascii="Arial" w:cs="Arial" w:eastAsia="Arial" w:hAnsi="Arial"/>
          <w:sz w:val="18"/>
          <w:szCs w:val="18"/>
          <w:color w:val="auto"/>
        </w:rPr>
      </w:pPr>
    </w:p>
    <w:p>
      <w:pPr>
        <w:jc w:val="both"/>
        <w:ind w:left="1300" w:firstLine="653"/>
        <w:spacing w:after="0" w:line="286" w:lineRule="auto"/>
        <w:tabs>
          <w:tab w:leader="none" w:pos="2445"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61" w:lineRule="exact"/>
        <w:rPr>
          <w:rFonts w:ascii="Arial" w:cs="Arial" w:eastAsia="Arial" w:hAnsi="Arial"/>
          <w:sz w:val="17"/>
          <w:szCs w:val="17"/>
          <w:color w:val="auto"/>
        </w:rPr>
      </w:pPr>
    </w:p>
    <w:p>
      <w:pPr>
        <w:jc w:val="both"/>
        <w:ind w:firstLine="656"/>
        <w:spacing w:after="0" w:line="314" w:lineRule="auto"/>
        <w:tabs>
          <w:tab w:leader="none" w:pos="115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Incremental Lenders shall be included in any determination of the Required U.S. Lenders, the Required </w:t>
      </w:r>
      <w:r>
        <w:rPr>
          <w:rFonts w:ascii="Arial" w:cs="Arial" w:eastAsia="Arial" w:hAnsi="Arial"/>
          <w:sz w:val="16"/>
          <w:szCs w:val="16"/>
          <w:b w:val="1"/>
          <w:bCs w:val="1"/>
          <w:u w:val="single" w:color="auto"/>
          <w:color w:val="auto"/>
        </w:rPr>
        <w:t>U.S. Revolving Lenders,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Lenders</w:t>
      </w:r>
      <w:r>
        <w:rPr>
          <w:rFonts w:ascii="Arial" w:cs="Arial" w:eastAsia="Arial" w:hAnsi="Arial"/>
          <w:sz w:val="16"/>
          <w:szCs w:val="16"/>
          <w:b w:val="1"/>
          <w:bCs w:val="1"/>
          <w:u w:val="single" w:color="auto"/>
          <w:color w:val="auto"/>
        </w:rPr>
        <w:t>, the Required Canadian Tranche A Lenders, the Required Canadian Tranche B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or the Required Australian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Lenders, </w:t>
      </w:r>
      <w:r>
        <w:rPr>
          <w:rFonts w:ascii="Arial" w:cs="Arial" w:eastAsia="Arial" w:hAnsi="Arial"/>
          <w:sz w:val="16"/>
          <w:szCs w:val="16"/>
          <w:b w:val="1"/>
          <w:bCs w:val="1"/>
          <w:u w:val="single" w:color="auto"/>
          <w:color w:val="auto"/>
        </w:rPr>
        <w:t>as the case may be,</w:t>
      </w:r>
      <w:r>
        <w:rPr>
          <w:rFonts w:ascii="Arial" w:cs="Arial" w:eastAsia="Arial" w:hAnsi="Arial"/>
          <w:sz w:val="16"/>
          <w:szCs w:val="16"/>
          <w:color w:val="auto"/>
        </w:rPr>
        <w:t xml:space="preserve"> and the Incremental Lenders will not constitute a separate voting class for any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1" w:name="page152"/>
    <w:bookmarkEnd w:id="151"/>
    <w:p>
      <w:pPr>
        <w:jc w:val="both"/>
        <w:ind w:firstLine="656"/>
        <w:spacing w:after="0" w:line="264" w:lineRule="auto"/>
        <w:tabs>
          <w:tab w:leader="none" w:pos="11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81" w:lineRule="exact"/>
        <w:rPr>
          <w:rFonts w:ascii="Arial" w:cs="Arial" w:eastAsia="Arial" w:hAnsi="Arial"/>
          <w:sz w:val="18"/>
          <w:szCs w:val="18"/>
          <w:color w:val="auto"/>
        </w:rPr>
      </w:pPr>
    </w:p>
    <w:p>
      <w:pPr>
        <w:ind w:firstLine="656"/>
        <w:spacing w:after="0" w:line="342"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to the Agents, the Issuing Banks and each of the Lenders that: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Section 3.01 Organization; Powers</w:t>
      </w:r>
      <w:r>
        <w:rPr>
          <w:rFonts w:ascii="Arial" w:cs="Arial" w:eastAsia="Arial" w:hAnsi="Arial"/>
          <w:sz w:val="17"/>
          <w:szCs w:val="17"/>
          <w:color w:val="auto"/>
        </w:rPr>
        <w:t>. Each Borrower and each of its respective Subsidiaries (a) is duly organized, validly existing and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w:t>
      </w:r>
      <w:r>
        <w:rPr>
          <w:rFonts w:ascii="Arial" w:cs="Arial" w:eastAsia="Arial" w:hAnsi="Arial"/>
          <w:sz w:val="17"/>
          <w:szCs w:val="17"/>
          <w:b w:val="1"/>
          <w:bCs w:val="1"/>
          <w:color w:val="auto"/>
          <w:strike w:val="1"/>
        </w:rPr>
        <w:t>the Spin</w:t>
      </w:r>
      <w:r>
        <w:rPr>
          <w:rFonts w:ascii="Arial" w:cs="Arial" w:eastAsia="Arial" w:hAnsi="Arial"/>
          <w:sz w:val="17"/>
          <w:szCs w:val="17"/>
          <w:b w:val="1"/>
          <w:bCs w:val="1"/>
          <w:u w:val="single" w:color="auto"/>
          <w:color w:val="auto"/>
        </w:rPr>
        <w:t>Inversion</w:t>
      </w:r>
      <w:r>
        <w:rPr>
          <w:rFonts w:ascii="Arial" w:cs="Arial" w:eastAsia="Arial" w:hAnsi="Arial"/>
          <w:sz w:val="17"/>
          <w:szCs w:val="17"/>
          <w:color w:val="auto"/>
        </w:rPr>
        <w:t xml:space="preserve"> Documents and each other agreement or instrument contemplated hereby or thereby to which it is or will be a party and, in the case of the Borrowers, to borrow hereunder.</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3.02 Authorization</w:t>
      </w:r>
      <w:r>
        <w:rPr>
          <w:rFonts w:ascii="Arial" w:cs="Arial" w:eastAsia="Arial" w:hAnsi="Arial"/>
          <w:sz w:val="16"/>
          <w:szCs w:val="16"/>
          <w:color w:val="auto"/>
        </w:rPr>
        <w:t>. The execution, delivery and performance by each Loan Party of each of the Loan Documents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strike w:val="1"/>
        </w:rPr>
        <w:t>the Spin</w:t>
      </w:r>
      <w:r>
        <w:rPr>
          <w:rFonts w:ascii="Arial" w:cs="Arial" w:eastAsia="Arial" w:hAnsi="Arial"/>
          <w:sz w:val="16"/>
          <w:szCs w:val="16"/>
          <w:b w:val="1"/>
          <w:bCs w:val="1"/>
          <w:u w:val="single" w:color="auto"/>
          <w:color w:val="auto"/>
        </w:rPr>
        <w:t>Inversion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Documents to which it is a party and the consummation of the Transactions (i) have been (or will have been on, prior to or substantially contemporaneously with the </w:t>
      </w:r>
      <w:r>
        <w:rPr>
          <w:rFonts w:ascii="Arial" w:cs="Arial" w:eastAsia="Arial" w:hAnsi="Arial"/>
          <w:sz w:val="16"/>
          <w:szCs w:val="16"/>
          <w:b w:val="1"/>
          <w:bCs w:val="1"/>
          <w:color w:val="auto"/>
          <w:strike w:val="1"/>
        </w:rPr>
        <w:t>Funding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color w:val="auto"/>
        </w:rPr>
        <w:t xml:space="preserve">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w:t>
      </w:r>
    </w:p>
    <w:p>
      <w:pPr>
        <w:spacing w:after="0" w:line="2" w:lineRule="exact"/>
        <w:rPr>
          <w:sz w:val="20"/>
          <w:szCs w:val="20"/>
          <w:color w:val="auto"/>
        </w:rPr>
      </w:pPr>
    </w:p>
    <w:p>
      <w:pPr>
        <w:jc w:val="both"/>
        <w:ind w:firstLine="8"/>
        <w:spacing w:after="0" w:line="252" w:lineRule="auto"/>
        <w:tabs>
          <w:tab w:leader="none" w:pos="3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Section 3.03 Enforceability</w:t>
      </w:r>
      <w:r>
        <w:rPr>
          <w:rFonts w:ascii="Arial" w:cs="Arial" w:eastAsia="Arial" w:hAnsi="Arial"/>
          <w:sz w:val="17"/>
          <w:szCs w:val="17"/>
          <w:color w:val="auto"/>
        </w:rPr>
        <w:t>. This Agreement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w:t>
      </w:r>
      <w:r>
        <w:rPr>
          <w:rFonts w:ascii="Arial" w:cs="Arial" w:eastAsia="Arial" w:hAnsi="Arial"/>
          <w:sz w:val="17"/>
          <w:szCs w:val="17"/>
          <w:b w:val="1"/>
          <w:bCs w:val="1"/>
          <w:u w:val="single" w:color="auto"/>
          <w:color w:val="auto"/>
        </w:rPr>
        <w:t>, and each other Loan Document to which any Loan Party is a party, when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executed and delivered by such Loan Party,</w:t>
      </w:r>
      <w:r>
        <w:rPr>
          <w:rFonts w:ascii="Arial" w:cs="Arial" w:eastAsia="Arial" w:hAnsi="Arial"/>
          <w:sz w:val="17"/>
          <w:szCs w:val="17"/>
          <w:b w:val="1"/>
          <w:bCs w:val="1"/>
          <w:color w:val="auto"/>
        </w:rPr>
        <w:t xml:space="preserve"> </w:t>
      </w:r>
      <w:r>
        <w:rPr>
          <w:rFonts w:ascii="Arial" w:cs="Arial" w:eastAsia="Arial" w:hAnsi="Arial"/>
          <w:sz w:val="17"/>
          <w:szCs w:val="17"/>
          <w:color w:val="auto"/>
        </w:rPr>
        <w:t>will have been</w:t>
      </w:r>
      <w:r>
        <w:rPr>
          <w:rFonts w:ascii="Arial" w:cs="Arial" w:eastAsia="Arial" w:hAnsi="Arial"/>
          <w:sz w:val="17"/>
          <w:szCs w:val="17"/>
          <w:b w:val="1"/>
          <w:bCs w:val="1"/>
          <w:color w:val="auto"/>
        </w:rPr>
        <w:t xml:space="preserve"> on or prior to the Closing Date)</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duly executed and delivered by the Borrowers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-769620</wp:posOffset>
            </wp:positionV>
            <wp:extent cx="1917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-632460</wp:posOffset>
            </wp:positionV>
            <wp:extent cx="17106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0690" cy="8890"/>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3.04 Governmental Approvals</w:t>
      </w:r>
      <w:r>
        <w:rPr>
          <w:rFonts w:ascii="Arial" w:cs="Arial" w:eastAsia="Arial" w:hAnsi="Arial"/>
          <w:sz w:val="17"/>
          <w:szCs w:val="17"/>
          <w:color w:val="auto"/>
        </w:rPr>
        <w:t>. (a) No authorization, action, exemption, consent or approval of, registration, notice or filing with 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other action by any Governmental Authority is necessary or will be required in connection with the Loan Documents, the </w:t>
      </w:r>
      <w:r>
        <w:rPr>
          <w:rFonts w:ascii="Arial" w:cs="Arial" w:eastAsia="Arial" w:hAnsi="Arial"/>
          <w:sz w:val="17"/>
          <w:szCs w:val="17"/>
          <w:b w:val="1"/>
          <w:bCs w:val="1"/>
          <w:color w:val="auto"/>
          <w:strike w:val="1"/>
        </w:rPr>
        <w:t>Spin</w:t>
      </w:r>
      <w:r>
        <w:rPr>
          <w:rFonts w:ascii="Arial" w:cs="Arial" w:eastAsia="Arial" w:hAnsi="Arial"/>
          <w:sz w:val="17"/>
          <w:szCs w:val="17"/>
          <w:b w:val="1"/>
          <w:bCs w:val="1"/>
          <w:u w:val="single" w:color="auto"/>
          <w:color w:val="auto"/>
        </w:rPr>
        <w:t>Inversion</w:t>
      </w:r>
      <w:r>
        <w:rPr>
          <w:rFonts w:ascii="Arial" w:cs="Arial" w:eastAsia="Arial" w:hAnsi="Arial"/>
          <w:sz w:val="17"/>
          <w:szCs w:val="17"/>
          <w:color w:val="auto"/>
        </w:rPr>
        <w:t xml:space="preserve">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or, in the case of filings relating to the consummation of the </w:t>
      </w:r>
      <w:r>
        <w:rPr>
          <w:rFonts w:ascii="Arial" w:cs="Arial" w:eastAsia="Arial" w:hAnsi="Arial"/>
          <w:sz w:val="17"/>
          <w:szCs w:val="17"/>
          <w:b w:val="1"/>
          <w:bCs w:val="1"/>
          <w:color w:val="auto"/>
          <w:strike w:val="1"/>
        </w:rPr>
        <w:t>Spin-Off</w:t>
      </w:r>
      <w:r>
        <w:rPr>
          <w:rFonts w:ascii="Arial" w:cs="Arial" w:eastAsia="Arial" w:hAnsi="Arial"/>
          <w:sz w:val="17"/>
          <w:szCs w:val="17"/>
          <w:b w:val="1"/>
          <w:bCs w:val="1"/>
          <w:u w:val="single" w:color="auto"/>
          <w:color w:val="auto"/>
        </w:rPr>
        <w:t>Inversion Transaction</w:t>
      </w:r>
      <w:r>
        <w:rPr>
          <w:rFonts w:ascii="Arial" w:cs="Arial" w:eastAsia="Arial" w:hAnsi="Arial"/>
          <w:sz w:val="17"/>
          <w:szCs w:val="17"/>
          <w:color w:val="auto"/>
        </w:rPr>
        <w:t xml:space="preserve">, substantially contemporaneously with the </w:t>
      </w:r>
      <w:r>
        <w:rPr>
          <w:rFonts w:ascii="Arial" w:cs="Arial" w:eastAsia="Arial" w:hAnsi="Arial"/>
          <w:sz w:val="17"/>
          <w:szCs w:val="17"/>
          <w:b w:val="1"/>
          <w:bCs w:val="1"/>
          <w:color w:val="auto"/>
          <w:strike w:val="1"/>
        </w:rPr>
        <w:t>initial funding of Loans on the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Funding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will be, made or obtained and be in full force and effect on or prior to or substantially contemporaneously with 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Funding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(iii) actions by, and notices to or filings with, Governmental Authorities (including, without limitation,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Section 3.05 Financial Statements</w:t>
      </w:r>
      <w:r>
        <w:rPr>
          <w:rFonts w:ascii="Arial" w:cs="Arial" w:eastAsia="Arial" w:hAnsi="Arial"/>
          <w:sz w:val="17"/>
          <w:szCs w:val="17"/>
          <w:b w:val="1"/>
          <w:bCs w:val="1"/>
          <w:color w:val="auto"/>
          <w:strike w:val="1"/>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has heretofore furnished to the Lenders the audited combined balance sheets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related combined statements of income, comprehensive income, changes in net investment, and cash flows of the </w:t>
      </w:r>
      <w:r>
        <w:rPr>
          <w:rFonts w:ascii="Arial" w:cs="Arial" w:eastAsia="Arial" w:hAnsi="Arial"/>
          <w:sz w:val="17"/>
          <w:szCs w:val="17"/>
          <w:b w:val="1"/>
          <w:bCs w:val="1"/>
          <w:color w:val="auto"/>
          <w:strike w:val="1"/>
        </w:rPr>
        <w:t>accommodations business of Oil</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States</w:t>
      </w:r>
      <w:r>
        <w:rPr>
          <w:rFonts w:ascii="Arial" w:cs="Arial" w:eastAsia="Arial" w:hAnsi="Arial"/>
          <w:sz w:val="17"/>
          <w:szCs w:val="17"/>
          <w:b w:val="1"/>
          <w:bCs w:val="1"/>
          <w:u w:val="single" w:color="auto"/>
          <w:color w:val="auto"/>
        </w:rPr>
        <w:t>U.S Borrower</w:t>
      </w:r>
      <w:r>
        <w:rPr>
          <w:rFonts w:ascii="Arial" w:cs="Arial" w:eastAsia="Arial" w:hAnsi="Arial"/>
          <w:sz w:val="17"/>
          <w:szCs w:val="17"/>
          <w:color w:val="auto"/>
        </w:rPr>
        <w:t>, as of and for the year ended December 31,</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2013</w:t>
      </w:r>
      <w:r>
        <w:rPr>
          <w:rFonts w:ascii="Arial" w:cs="Arial" w:eastAsia="Arial" w:hAnsi="Arial"/>
          <w:sz w:val="17"/>
          <w:szCs w:val="17"/>
          <w:b w:val="1"/>
          <w:bCs w:val="1"/>
          <w:u w:val="single" w:color="auto"/>
          <w:color w:val="auto"/>
        </w:rPr>
        <w:t>2014</w:t>
      </w:r>
      <w:r>
        <w:rPr>
          <w:rFonts w:ascii="Arial" w:cs="Arial" w:eastAsia="Arial" w:hAnsi="Arial"/>
          <w:sz w:val="17"/>
          <w:szCs w:val="17"/>
          <w:color w:val="auto"/>
        </w:rPr>
        <w:t>. Such financial statements in each case present fairly, in all material respects,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condition of the </w:t>
      </w:r>
      <w:r>
        <w:rPr>
          <w:rFonts w:ascii="Arial" w:cs="Arial" w:eastAsia="Arial" w:hAnsi="Arial"/>
          <w:sz w:val="17"/>
          <w:szCs w:val="17"/>
          <w:b w:val="1"/>
          <w:bCs w:val="1"/>
          <w:color w:val="auto"/>
          <w:strike w:val="1"/>
        </w:rPr>
        <w:t>accommodations business of Oil States</w:t>
      </w:r>
      <w:r>
        <w:rPr>
          <w:rFonts w:ascii="Arial" w:cs="Arial" w:eastAsia="Arial" w:hAnsi="Arial"/>
          <w:sz w:val="17"/>
          <w:szCs w:val="17"/>
          <w:b w:val="1"/>
          <w:bCs w:val="1"/>
          <w:u w:val="single" w:color="auto"/>
          <w:color w:val="auto"/>
        </w:rPr>
        <w:t>U.S. Borrower</w:t>
      </w:r>
      <w:r>
        <w:rPr>
          <w:rFonts w:ascii="Arial" w:cs="Arial" w:eastAsia="Arial" w:hAnsi="Arial"/>
          <w:sz w:val="17"/>
          <w:szCs w:val="17"/>
          <w:color w:val="auto"/>
        </w:rPr>
        <w:t xml:space="preserve">, as of such date and for such period. Such financial statements and the notes thereto, disclose all material liabilities, direct or contingent, of the accommodations business </w:t>
      </w:r>
      <w:r>
        <w:rPr>
          <w:rFonts w:ascii="Arial" w:cs="Arial" w:eastAsia="Arial" w:hAnsi="Arial"/>
          <w:sz w:val="17"/>
          <w:szCs w:val="17"/>
          <w:b w:val="1"/>
          <w:bCs w:val="1"/>
          <w:color w:val="auto"/>
          <w:strike w:val="1"/>
        </w:rPr>
        <w:t>of Oil States</w:t>
      </w:r>
      <w:r>
        <w:rPr>
          <w:rFonts w:ascii="Arial" w:cs="Arial" w:eastAsia="Arial" w:hAnsi="Arial"/>
          <w:sz w:val="17"/>
          <w:szCs w:val="17"/>
          <w:b w:val="1"/>
          <w:bCs w:val="1"/>
          <w:u w:val="single" w:color="auto"/>
          <w:color w:val="auto"/>
        </w:rPr>
        <w:t>and the U.S. Borrower, as applicable</w:t>
      </w:r>
      <w:r>
        <w:rPr>
          <w:rFonts w:ascii="Arial" w:cs="Arial" w:eastAsia="Arial" w:hAnsi="Arial"/>
          <w:sz w:val="17"/>
          <w:szCs w:val="17"/>
          <w:color w:val="auto"/>
        </w:rPr>
        <w:t>, as of the date thereof. Such financial statements were prepared in accordance with GAAP.</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3.06 No Material Adverse Change</w:t>
      </w:r>
      <w:r>
        <w:rPr>
          <w:rFonts w:ascii="Arial" w:cs="Arial" w:eastAsia="Arial" w:hAnsi="Arial"/>
          <w:sz w:val="18"/>
          <w:szCs w:val="18"/>
          <w:color w:val="auto"/>
        </w:rPr>
        <w:t>. Since December 31, 2013, there has been no material adverse effect on the business,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or condition (financial or otherwise) of the Borrowers and the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3" w:name="page154"/>
    <w:bookmarkEnd w:id="153"/>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Section 3.07 Title to Properties; Possession Under Leases and Licenses</w:t>
      </w:r>
      <w:r>
        <w:rPr>
          <w:rFonts w:ascii="Arial" w:cs="Arial" w:eastAsia="Arial" w:hAnsi="Arial"/>
          <w:sz w:val="17"/>
          <w:szCs w:val="17"/>
          <w:color w:val="auto"/>
        </w:rPr>
        <w:t>. (a) Each of the Borrowers and the Subsidiaries has good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w:t>
      </w:r>
    </w:p>
    <w:p>
      <w:pPr>
        <w:spacing w:after="0" w:line="171" w:lineRule="exact"/>
        <w:rPr>
          <w:sz w:val="20"/>
          <w:szCs w:val="20"/>
          <w:color w:val="auto"/>
        </w:rPr>
      </w:pPr>
    </w:p>
    <w:p>
      <w:pPr>
        <w:jc w:val="both"/>
        <w:ind w:firstLine="656"/>
        <w:spacing w:after="0" w:line="259" w:lineRule="auto"/>
        <w:tabs>
          <w:tab w:leader="none" w:pos="11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i w:val="1"/>
          <w:iCs w:val="1"/>
          <w:color w:val="auto"/>
        </w:rPr>
        <w:t>Section 3.08 Subsidiaries</w:t>
      </w:r>
      <w:r>
        <w:rPr>
          <w:rFonts w:ascii="Arial" w:cs="Arial" w:eastAsia="Arial" w:hAnsi="Arial"/>
          <w:sz w:val="18"/>
          <w:szCs w:val="18"/>
          <w:color w:val="auto"/>
        </w:rPr>
        <w:t>. Schedule 3.08 sets forth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a list of all Subsidiaries and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Purpose Business Entities and, as to each such Subsidiary, the jurisdiction of formation, the outstanding Equity Interests therein and the percentage ownership interest of each class of such Equity Interests owned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therein.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As of the First Amendment Effective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Interests indicated as owned by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on Schedule 3.08 are owned by the Borrowers,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free and clear of all Liens (other than Liens permitted by Section 6.02).</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Section 3.09 Litigation; Compliance with Laws</w:t>
      </w:r>
      <w:r>
        <w:rPr>
          <w:rFonts w:ascii="Arial" w:cs="Arial" w:eastAsia="Arial" w:hAnsi="Arial"/>
          <w:sz w:val="18"/>
          <w:szCs w:val="18"/>
          <w:color w:val="auto"/>
        </w:rPr>
        <w:t>. (a) Except as set forth on Schedule 3.09, there are no actions, suits, proceedings, claims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4" w:lineRule="exact"/>
        <w:rPr>
          <w:sz w:val="20"/>
          <w:szCs w:val="20"/>
          <w:color w:val="auto"/>
        </w:rPr>
      </w:pPr>
    </w:p>
    <w:p>
      <w:pPr>
        <w:jc w:val="both"/>
        <w:ind w:right="20" w:firstLine="656"/>
        <w:spacing w:after="0" w:line="266" w:lineRule="auto"/>
        <w:tabs>
          <w:tab w:leader="none" w:pos="11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Since the Closing Date, there has been no adverse change in the status or financial effect on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Subsidiaries of the matters disclosed on Schedule 3.09 that, individually or in the aggregate, has resulted in, or materially increased the likelihood of, a Material Adverse Effect.</w:t>
      </w:r>
    </w:p>
    <w:p>
      <w:pPr>
        <w:spacing w:after="0" w:line="180" w:lineRule="exact"/>
        <w:rPr>
          <w:rFonts w:ascii="Arial" w:cs="Arial" w:eastAsia="Arial" w:hAnsi="Arial"/>
          <w:sz w:val="18"/>
          <w:szCs w:val="18"/>
          <w:color w:val="auto"/>
        </w:rPr>
      </w:pPr>
    </w:p>
    <w:p>
      <w:pPr>
        <w:jc w:val="both"/>
        <w:ind w:firstLine="656"/>
        <w:spacing w:after="0" w:line="257" w:lineRule="auto"/>
        <w:tabs>
          <w:tab w:leader="none" w:pos="10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Section 3.10 Agreements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No Borrower nor</w:t>
      </w:r>
      <w:r>
        <w:rPr>
          <w:rFonts w:ascii="Arial" w:cs="Arial" w:eastAsia="Arial" w:hAnsi="Arial"/>
          <w:sz w:val="18"/>
          <w:szCs w:val="18"/>
          <w:b w:val="1"/>
          <w:bCs w:val="1"/>
          <w:u w:val="single" w:color="auto"/>
          <w:color w:val="auto"/>
        </w:rPr>
        <w:t>None of the Borrowers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the Subsidiaries is in default in any manner under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indenture or other agreement or instrument, where such default has resulted in, or could, either individually or in the aggregate, reasonably be expected to result in a Material Adverse Effect.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3.11 Federal Reserve Regulations</w:t>
      </w:r>
      <w:r>
        <w:rPr>
          <w:rFonts w:ascii="Arial" w:cs="Arial" w:eastAsia="Arial" w:hAnsi="Arial"/>
          <w:sz w:val="18"/>
          <w:szCs w:val="18"/>
          <w:color w:val="auto"/>
        </w:rPr>
        <w:t>. (a) None of the Loan Parties is engaged principally, or as one of its important activities, in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extending credit for the purpose of buying or carrying Margin Stock.</w:t>
      </w:r>
    </w:p>
    <w:p>
      <w:pPr>
        <w:spacing w:after="0" w:line="170" w:lineRule="exact"/>
        <w:rPr>
          <w:sz w:val="20"/>
          <w:szCs w:val="20"/>
          <w:color w:val="auto"/>
        </w:rPr>
      </w:pPr>
    </w:p>
    <w:p>
      <w:pPr>
        <w:jc w:val="both"/>
        <w:ind w:firstLine="656"/>
        <w:spacing w:after="0" w:line="259" w:lineRule="auto"/>
        <w:tabs>
          <w:tab w:leader="none" w:pos="11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3.12 Investment Company Act</w:t>
      </w:r>
      <w:r>
        <w:rPr>
          <w:rFonts w:ascii="Arial" w:cs="Arial" w:eastAsia="Arial" w:hAnsi="Arial"/>
          <w:sz w:val="18"/>
          <w:szCs w:val="18"/>
          <w:color w:val="auto"/>
        </w:rPr>
        <w:t>. Neither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nor any Subsidiary is or is required to be registered as an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as defined in, or subject to regulation under, the Investment Company Act of 1940.</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i w:val="1"/>
          <w:iCs w:val="1"/>
          <w:color w:val="auto"/>
        </w:rPr>
        <w:t>Section 3.13 Use of Proceeds</w:t>
      </w:r>
      <w:r>
        <w:rPr>
          <w:rFonts w:ascii="Arial" w:cs="Arial" w:eastAsia="Arial" w:hAnsi="Arial"/>
          <w:sz w:val="18"/>
          <w:szCs w:val="18"/>
          <w:color w:val="auto"/>
        </w:rPr>
        <w:t>. The Borrowers will use the proceeds of the Loans and will request the issuance of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(a)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consummate the Refinancing Transactions, (b) to make a one-time cash distribution to Oil States in connection with the Spin-Off, (c) to pay a portion of the fees, commissions and expenses associated with the Transactions and (d) to provide working capital and for other</w:t>
      </w:r>
      <w:r>
        <w:rPr>
          <w:rFonts w:ascii="Arial" w:cs="Arial" w:eastAsia="Arial" w:hAnsi="Arial"/>
          <w:sz w:val="18"/>
          <w:szCs w:val="18"/>
          <w:b w:val="1"/>
          <w:bCs w:val="1"/>
          <w:u w:val="single" w:color="auto"/>
          <w:color w:val="auto"/>
          <w:strike w:val="1"/>
        </w:rPr>
        <w:t>for</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general corporate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 xml:space="preserve">purposes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strike w:val="1"/>
        </w:rPr>
        <w:t>Parent</w:t>
      </w:r>
      <w:r>
        <w:rPr>
          <w:rFonts w:ascii="Arial" w:cs="Arial" w:eastAsia="Arial" w:hAnsi="Arial"/>
          <w:sz w:val="18"/>
          <w:szCs w:val="18"/>
          <w:color w:val="auto"/>
          <w:strike w:val="1"/>
        </w:rPr>
        <w:t xml:space="preserve"> Borrower and its Subsidiaries.</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Section 3.14 Tax Returns</w:t>
      </w:r>
      <w:r>
        <w:rPr>
          <w:rFonts w:ascii="Arial" w:cs="Arial" w:eastAsia="Arial" w:hAnsi="Arial"/>
          <w:sz w:val="16"/>
          <w:szCs w:val="16"/>
          <w:color w:val="auto"/>
        </w:rPr>
        <w:t>. Each of the Borrowers and the Subsidiaries has filed or caused to be filed all federal, state, provincial, local and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Canadian GAAP or Australian GAAP, as the case may be. There is no proposed tax assessment against any Borrower or any Subsidiary thereof that could reasonably be expected to have a Material Adverse Effect.</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Section 3.15 No Material Misstatements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None of (a) the Confidential Information Memorandum or (b) any other</w:t>
      </w:r>
      <w:r>
        <w:rPr>
          <w:rFonts w:ascii="Arial" w:cs="Arial" w:eastAsia="Arial" w:hAnsi="Arial"/>
          <w:sz w:val="17"/>
          <w:szCs w:val="17"/>
          <w:b w:val="1"/>
          <w:bCs w:val="1"/>
          <w:u w:val="single" w:color="auto"/>
          <w:color w:val="auto"/>
        </w:rPr>
        <w:t>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financial statement, exhibit or schedule furnished by or on behalf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5" w:name="page156"/>
    <w:bookmarkEnd w:id="155"/>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3.16 Employee Benefit Plans</w:t>
      </w:r>
      <w:r>
        <w:rPr>
          <w:rFonts w:ascii="Arial" w:cs="Arial" w:eastAsia="Arial" w:hAnsi="Arial"/>
          <w:sz w:val="17"/>
          <w:szCs w:val="17"/>
          <w:color w:val="auto"/>
        </w:rPr>
        <w:t>. (a) Each of the Borrowers that is subject to ERISA and such Borrower’s ERISA Affiliates is in compliance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Financial Accounting Standards No. 87) did not, as of the last annual valuation preceding the Closing Date, exceed the fair market value of the assets of such Plan.</w:t>
      </w:r>
    </w:p>
    <w:p>
      <w:pPr>
        <w:spacing w:after="0" w:line="178" w:lineRule="exact"/>
        <w:rPr>
          <w:sz w:val="20"/>
          <w:szCs w:val="20"/>
          <w:color w:val="auto"/>
        </w:rPr>
      </w:pPr>
    </w:p>
    <w:p>
      <w:pPr>
        <w:jc w:val="both"/>
        <w:ind w:firstLine="656"/>
        <w:spacing w:after="0" w:line="285" w:lineRule="auto"/>
        <w:tabs>
          <w:tab w:leader="none" w:pos="111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Schedule 3.16(b) sets forth all Canadian Benefit Plans (other than, for greater certainty, universal plans created by and to which the Canadian Borrowers are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Canadian Borrowers,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Canadian Subsidiaries to the Canadian Pension Plans, the Defined Benefit Plans or the Canadian Benefit Plans have been made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timely basis in accordance with the terms of such plans and all applicable laws. There have been no improper withdrawals or applications of the assets of the Canadian Pension Plans and there have been no improper withdrawals by the Canadian Borrowers under the Canadian Benefit Plans. None of the Canadian Pension Plans contains a defined benefit provision (within the meaning of section 147.1(1) of the ITA). The obligations of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Canadian Subsidiaries in respect of the Defined Benefit Plans are limited to making fixed contributions to the Defined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Plans pursuant to the terms of the collective agreements entered into between them and the unions representing their employees and, for greater certainty,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and the Canadian Subsidiaries have no obligation to administer, or fund any deficit in, any Defined Benefit Plan.</w:t>
      </w:r>
    </w:p>
    <w:p>
      <w:pPr>
        <w:spacing w:after="0" w:line="177" w:lineRule="exact"/>
        <w:rPr>
          <w:rFonts w:ascii="Arial" w:cs="Arial" w:eastAsia="Arial" w:hAnsi="Arial"/>
          <w:sz w:val="16"/>
          <w:szCs w:val="16"/>
          <w:color w:val="auto"/>
        </w:rPr>
      </w:pPr>
    </w:p>
    <w:p>
      <w:pPr>
        <w:jc w:val="both"/>
        <w:ind w:firstLine="656"/>
        <w:spacing w:after="0" w:line="264" w:lineRule="auto"/>
        <w:tabs>
          <w:tab w:leader="none" w:pos="11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or Canada (a “</w:t>
      </w:r>
      <w:r>
        <w:rPr>
          <w:rFonts w:ascii="Arial" w:cs="Arial" w:eastAsia="Arial" w:hAnsi="Arial"/>
          <w:sz w:val="18"/>
          <w:szCs w:val="18"/>
          <w:i w:val="1"/>
          <w:iCs w:val="1"/>
          <w:color w:val="auto"/>
        </w:rPr>
        <w:t>Foreign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Scheme or Arrangement</w:t>
      </w:r>
      <w:r>
        <w:rPr>
          <w:rFonts w:ascii="Arial" w:cs="Arial" w:eastAsia="Arial" w:hAnsi="Arial"/>
          <w:sz w:val="18"/>
          <w:szCs w:val="18"/>
          <w:color w:val="auto"/>
        </w:rPr>
        <w:t>”) and with respect to each employee benefit plan maintained or contributed to by any Loan Party or any Subsidiary of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Party that is not subject to United States or Canadian law (a “</w:t>
      </w:r>
      <w:r>
        <w:rPr>
          <w:rFonts w:ascii="Arial" w:cs="Arial" w:eastAsia="Arial" w:hAnsi="Arial"/>
          <w:sz w:val="18"/>
          <w:szCs w:val="18"/>
          <w:i w:val="1"/>
          <w:iCs w:val="1"/>
          <w:color w:val="auto"/>
        </w:rPr>
        <w:t>Foreign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6" w:name="page157"/>
    <w:bookmarkEnd w:id="156"/>
    <w:p>
      <w:pPr>
        <w:jc w:val="both"/>
        <w:ind w:left="660" w:firstLine="645"/>
        <w:spacing w:after="0" w:line="264" w:lineRule="auto"/>
        <w:tabs>
          <w:tab w:leader="none" w:pos="17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81" w:lineRule="exact"/>
        <w:rPr>
          <w:rFonts w:ascii="Arial" w:cs="Arial" w:eastAsia="Arial" w:hAnsi="Arial"/>
          <w:sz w:val="18"/>
          <w:szCs w:val="18"/>
          <w:color w:val="auto"/>
        </w:rPr>
      </w:pPr>
    </w:p>
    <w:p>
      <w:pPr>
        <w:jc w:val="both"/>
        <w:ind w:left="660" w:firstLine="645"/>
        <w:spacing w:after="0" w:line="276" w:lineRule="auto"/>
        <w:tabs>
          <w:tab w:leader="none" w:pos="183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72" w:lineRule="exact"/>
        <w:rPr>
          <w:rFonts w:ascii="Arial" w:cs="Arial" w:eastAsia="Arial" w:hAnsi="Arial"/>
          <w:sz w:val="17"/>
          <w:szCs w:val="17"/>
          <w:color w:val="auto"/>
        </w:rPr>
      </w:pPr>
    </w:p>
    <w:p>
      <w:pPr>
        <w:ind w:left="660" w:firstLine="645"/>
        <w:spacing w:after="0" w:line="277" w:lineRule="auto"/>
        <w:tabs>
          <w:tab w:leader="none" w:pos="18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3.17 Environmental Matters</w:t>
      </w:r>
      <w:r>
        <w:rPr>
          <w:rFonts w:ascii="Arial" w:cs="Arial" w:eastAsia="Arial" w:hAnsi="Arial"/>
          <w:sz w:val="18"/>
          <w:szCs w:val="18"/>
          <w:color w:val="auto"/>
        </w:rPr>
        <w:t>. (a) Except as set forth in Schedule 3.17 and except with respect to any other matters that, individually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193" w:lineRule="exact"/>
        <w:rPr>
          <w:sz w:val="20"/>
          <w:szCs w:val="20"/>
          <w:color w:val="auto"/>
        </w:rPr>
      </w:pPr>
    </w:p>
    <w:p>
      <w:pPr>
        <w:ind w:firstLine="656"/>
        <w:spacing w:after="0" w:line="277" w:lineRule="auto"/>
        <w:tabs>
          <w:tab w:leader="none" w:pos="11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Section 3.18 Insurance</w:t>
      </w:r>
      <w:r>
        <w:rPr>
          <w:rFonts w:ascii="Arial" w:cs="Arial" w:eastAsia="Arial" w:hAnsi="Arial"/>
          <w:sz w:val="16"/>
          <w:szCs w:val="16"/>
          <w:color w:val="auto"/>
        </w:rPr>
        <w:t>. Each of the Borrowers and each Subsidiary is insured by insurance providers that it reasonably considers to be financially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sound (including captive insurance companies, or through self-insurance), in such amounts, with such deductibles and covering such risks and liabilities as are consistent with past practices </w:t>
      </w:r>
      <w:r>
        <w:rPr>
          <w:rFonts w:ascii="Arial" w:cs="Arial" w:eastAsia="Arial" w:hAnsi="Arial"/>
          <w:sz w:val="16"/>
          <w:szCs w:val="16"/>
          <w:b w:val="1"/>
          <w:bCs w:val="1"/>
          <w:color w:val="auto"/>
          <w:strike w:val="1"/>
        </w:rPr>
        <w:t>of the accommodations business of Oil States</w:t>
      </w:r>
      <w:r>
        <w:rPr>
          <w:rFonts w:ascii="Arial" w:cs="Arial" w:eastAsia="Arial" w:hAnsi="Arial"/>
          <w:sz w:val="16"/>
          <w:szCs w:val="16"/>
          <w:color w:val="auto"/>
        </w:rPr>
        <w:t xml:space="preserve"> and is in compliance with the requirements to Section 5.02.</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Section 3.19 Security Documents</w:t>
      </w:r>
      <w:r>
        <w:rPr>
          <w:rFonts w:ascii="Arial" w:cs="Arial" w:eastAsia="Arial" w:hAnsi="Arial"/>
          <w:sz w:val="17"/>
          <w:szCs w:val="17"/>
          <w:color w:val="auto"/>
        </w:rPr>
        <w:t>. (a) Each Pledge Agreement is effective to create in favor of the Applicable Collateral Agent, for the ratable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of the Secured Parties referred to therein, a legal, valid and enforceable security interest in the Collateral (as defined in such Pledge Agreement) and, when such Collateral (to the extent such Collateral constitutes an instrument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jc w:val="both"/>
        <w:ind w:firstLine="656"/>
        <w:spacing w:after="0" w:line="271" w:lineRule="auto"/>
        <w:tabs>
          <w:tab w:leader="none" w:pos="115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74" w:lineRule="exact"/>
        <w:rPr>
          <w:rFonts w:ascii="Arial" w:cs="Arial" w:eastAsia="Arial" w:hAnsi="Arial"/>
          <w:sz w:val="17"/>
          <w:szCs w:val="17"/>
          <w:color w:val="auto"/>
        </w:rPr>
      </w:pPr>
    </w:p>
    <w:p>
      <w:pPr>
        <w:jc w:val="both"/>
        <w:ind w:firstLine="656"/>
        <w:spacing w:after="0" w:line="258" w:lineRule="auto"/>
        <w:tabs>
          <w:tab w:leader="none" w:pos="10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Each of the Security Agreements set forth, as of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(a) the exact legal name of each Loan Party as it appears in its articles or certificate of incorporation (or equivalent organizational document), the state of its incorporation or formation and the organizational identification number (or a specific designation that one does not exist) issued by its jurisdiction of incorporation or formation and (b) each other legal name any Loan Party has had at any time during the five years preceding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together with the date of the relevant change.</w:t>
      </w:r>
    </w:p>
    <w:p>
      <w:pPr>
        <w:spacing w:after="0" w:line="18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i w:val="1"/>
          <w:iCs w:val="1"/>
          <w:color w:val="auto"/>
        </w:rPr>
        <w:t>Section 3.20 Intellectual Property</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and each of its Subsidiaries own or are licensed or otherwise have the legal right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3.21 Labor Matters</w:t>
      </w:r>
      <w:r>
        <w:rPr>
          <w:rFonts w:ascii="Arial" w:cs="Arial" w:eastAsia="Arial" w:hAnsi="Arial"/>
          <w:sz w:val="17"/>
          <w:szCs w:val="17"/>
          <w:color w:val="auto"/>
        </w:rPr>
        <w:t>.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Closing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there are no strikes, lockouts or slowdowns against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Subsidiary pending or, to the knowledge of the Borrowers, threatened. The hours worked by and payments made to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8" w:name="page159"/>
    <w:bookmarkEnd w:id="158"/>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Section 3.22 Solvency</w:t>
      </w:r>
      <w:r>
        <w:rPr>
          <w:rFonts w:ascii="Arial" w:cs="Arial" w:eastAsia="Arial" w:hAnsi="Arial"/>
          <w:sz w:val="18"/>
          <w:szCs w:val="18"/>
          <w:color w:val="auto"/>
        </w:rPr>
        <w:t>.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following the consummation of the Spin-Off and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making of each Loan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giving of each of the Guarantee Agreements and after giving effect to the application of the proceeds of each Loan,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on a consolidated basis will be Solvent.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i w:val="1"/>
          <w:iCs w:val="1"/>
          <w:color w:val="auto"/>
        </w:rPr>
        <w:t>Section 3.23 Anti-Corruption Laws</w:t>
      </w:r>
      <w:r>
        <w:rPr>
          <w:rFonts w:ascii="Arial" w:cs="Arial" w:eastAsia="Arial" w:hAnsi="Arial"/>
          <w:sz w:val="17"/>
          <w:szCs w:val="17"/>
          <w:color w:val="auto"/>
        </w:rPr>
        <w:t>. None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and its subsidiaries nor, to the knowledge of the Loan Parties, any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 or officer acting on behalf of any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Section 3.24 Anti-Money Laundering Laws</w:t>
      </w:r>
      <w:r>
        <w:rPr>
          <w:rFonts w:ascii="Arial" w:cs="Arial" w:eastAsia="Arial" w:hAnsi="Arial"/>
          <w:sz w:val="18"/>
          <w:szCs w:val="18"/>
          <w:color w:val="auto"/>
        </w:rPr>
        <w:t>. The operations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and each subsidiary are and have been conducted 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times in compliance with Anti-Money Laundering Laws in all material respects and no action, suit or proceeding by or before any court or Governmental Agency or any arbitrator involving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with respect to Anti-Money Laundering Laws is pending and no such actions, suits or proceedings have been threatened.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Section 3.25 Foreign Assets Control Regulations, etc</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 (a)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and its subsidiaries are in compliance with the FCPA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Conditions to Closing and Funding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the Lenders to make Loans and of the Issuing Banks to issue Letters of Credit hereunder are subject to the satisfaction of the following conditions: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4.01 Conditions to All Credit Events</w:t>
      </w:r>
      <w:r>
        <w:rPr>
          <w:rFonts w:ascii="Arial" w:cs="Arial" w:eastAsia="Arial" w:hAnsi="Arial"/>
          <w:sz w:val="18"/>
          <w:szCs w:val="18"/>
          <w:color w:val="auto"/>
        </w:rPr>
        <w:t>. On the date of each Borrowing</w:t>
      </w: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 the date of each issuance, amendment, extension or renewal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Letter of Credit (each such event being called a “</w:t>
      </w:r>
      <w:r>
        <w:rPr>
          <w:rFonts w:ascii="Arial" w:cs="Arial" w:eastAsia="Arial" w:hAnsi="Arial"/>
          <w:sz w:val="18"/>
          <w:szCs w:val="18"/>
          <w:i w:val="1"/>
          <w:iCs w:val="1"/>
          <w:color w:val="auto"/>
        </w:rPr>
        <w:t>Credit Event</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57" w:lineRule="auto"/>
        <w:tabs>
          <w:tab w:leader="none" w:pos="11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9" w:name="page160"/>
    <w:bookmarkEnd w:id="159"/>
    <w:p>
      <w:pPr>
        <w:jc w:val="both"/>
        <w:ind w:firstLine="656"/>
        <w:spacing w:after="0" w:line="273" w:lineRule="auto"/>
        <w:tabs>
          <w:tab w:leader="none" w:pos="115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hereof and in each other Loan Document shall be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1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77" w:lineRule="exact"/>
        <w:rPr>
          <w:rFonts w:ascii="Arial" w:cs="Arial" w:eastAsia="Arial" w:hAnsi="Arial"/>
          <w:sz w:val="18"/>
          <w:szCs w:val="18"/>
          <w:color w:val="auto"/>
        </w:rPr>
      </w:pPr>
    </w:p>
    <w:p>
      <w:pPr>
        <w:ind w:firstLine="656"/>
        <w:spacing w:after="0" w:line="282" w:lineRule="auto"/>
        <w:tabs>
          <w:tab w:leader="none" w:pos="913" w:val="left"/>
        </w:tabs>
        <w:numPr>
          <w:ilvl w:val="0"/>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With respect to Australian Revolving Borrowings only the Australian Administrative Agent shall have received, on behalf of themselves, the Lenders and the Issuing Banks:</w:t>
      </w:r>
    </w:p>
    <w:p>
      <w:pPr>
        <w:spacing w:after="0" w:line="161" w:lineRule="exact"/>
        <w:rPr>
          <w:rFonts w:ascii="Arial" w:cs="Arial" w:eastAsia="Arial" w:hAnsi="Arial"/>
          <w:sz w:val="18"/>
          <w:szCs w:val="18"/>
          <w:b w:val="1"/>
          <w:bCs w:val="1"/>
          <w:color w:val="auto"/>
          <w:strike w:val="1"/>
        </w:rPr>
      </w:pPr>
    </w:p>
    <w:p>
      <w:pPr>
        <w:jc w:val="both"/>
        <w:ind w:left="660" w:firstLine="645"/>
        <w:spacing w:after="0" w:line="292" w:lineRule="auto"/>
        <w:tabs>
          <w:tab w:leader="none" w:pos="1550" w:val="left"/>
        </w:tabs>
        <w:numPr>
          <w:ilvl w:val="1"/>
          <w:numId w:val="111"/>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evidence satisfactory to the Administrative Agent that the financial assistance shareholder approval process provided for in section 260B of the Australian Corporations Act allowing the Australian Borrower, Australian Holdco and the Australian Subsidiary Guarantors to provide financial assistance by entering into this Agreement and any other Loan Document has been completed (“</w:t>
      </w:r>
      <w:r>
        <w:rPr>
          <w:rFonts w:ascii="Arial" w:cs="Arial" w:eastAsia="Arial" w:hAnsi="Arial"/>
          <w:sz w:val="16"/>
          <w:szCs w:val="16"/>
          <w:b w:val="1"/>
          <w:bCs w:val="1"/>
          <w:i w:val="1"/>
          <w:iCs w:val="1"/>
          <w:color w:val="auto"/>
          <w:strike w:val="1"/>
        </w:rPr>
        <w:t>Whitewash</w:t>
      </w:r>
      <w:r>
        <w:rPr>
          <w:rFonts w:ascii="Arial" w:cs="Arial" w:eastAsia="Arial" w:hAnsi="Arial"/>
          <w:sz w:val="16"/>
          <w:szCs w:val="16"/>
          <w:b w:val="1"/>
          <w:bCs w:val="1"/>
          <w:color w:val="auto"/>
          <w:strike w:val="1"/>
        </w:rPr>
        <w:t>”), including (i) receiving copies of all corporate authorizations, explanatory statements and any other documents, forms or certificates necessary to complete the Whitewash process (all in form and substance reasonably satisfactory to the Administrative Agent); and (ii) evidence that all requisite forms have been lodged with the Australian Securities and Investments Commission and the 14 day statutory period referred to in section 260B(6) of the Australian Corporations Act has elapsed;</w:t>
      </w:r>
    </w:p>
    <w:p>
      <w:pPr>
        <w:spacing w:after="0" w:line="161" w:lineRule="exact"/>
        <w:rPr>
          <w:rFonts w:ascii="Arial" w:cs="Arial" w:eastAsia="Arial" w:hAnsi="Arial"/>
          <w:sz w:val="16"/>
          <w:szCs w:val="16"/>
          <w:b w:val="1"/>
          <w:bCs w:val="1"/>
          <w:color w:val="auto"/>
          <w:strike w:val="1"/>
        </w:rPr>
      </w:pPr>
    </w:p>
    <w:p>
      <w:pPr>
        <w:ind w:left="1560" w:hanging="255"/>
        <w:spacing w:after="0"/>
        <w:tabs>
          <w:tab w:leader="none" w:pos="1560" w:val="left"/>
        </w:tabs>
        <w:numPr>
          <w:ilvl w:val="1"/>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Australian Guarantee Agreement duly executed by the Australian Loan Parties party thereto;</w:t>
      </w:r>
    </w:p>
    <w:p>
      <w:pPr>
        <w:spacing w:after="0" w:line="225" w:lineRule="exact"/>
        <w:rPr>
          <w:rFonts w:ascii="Arial" w:cs="Arial" w:eastAsia="Arial" w:hAnsi="Arial"/>
          <w:sz w:val="18"/>
          <w:szCs w:val="18"/>
          <w:b w:val="1"/>
          <w:bCs w:val="1"/>
          <w:color w:val="auto"/>
          <w:strike w:val="1"/>
        </w:rPr>
      </w:pPr>
    </w:p>
    <w:p>
      <w:pPr>
        <w:jc w:val="both"/>
        <w:ind w:left="660" w:firstLine="645"/>
        <w:spacing w:after="0" w:line="256" w:lineRule="auto"/>
        <w:tabs>
          <w:tab w:leader="none" w:pos="1637" w:val="left"/>
        </w:tabs>
        <w:numPr>
          <w:ilvl w:val="1"/>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each Australian Security Document, duly executed by the Australian Loan Parties party thereto and, subject to Section 5.10, any other duly executed documents required by law or reasonably requested by the Australian Collateral Agent to enable the Australian Collateral Agent to stamp and register an Australian Security Document or any security interest arising under it with any Governmental Authority, in each case, necessary to create in favor of the Applicable Collateral Agent for the benefit of the Secured Parties a valid, legal and perfected first-priority Lien on the Collateral (subject to any Lien expressly permitted by Section 6.02) described in such Australian Security Document;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jc w:val="both"/>
        <w:ind w:left="660" w:firstLine="645"/>
        <w:spacing w:after="0" w:line="258" w:lineRule="auto"/>
        <w:tabs>
          <w:tab w:leader="none" w:pos="1613" w:val="left"/>
        </w:tabs>
        <w:numPr>
          <w:ilvl w:val="0"/>
          <w:numId w:val="112"/>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results of searches obtained from the Australian Securities &amp; Investments Commission and organization grantor searches of the PPS Register made with respect to the Australian Loan Parties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the Borrowers on the date of such Credit Event as to the matters specified in paragraphs (b) and (c) of this Section 4.01.</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i w:val="1"/>
          <w:iCs w:val="1"/>
          <w:color w:val="auto"/>
        </w:rPr>
        <w:t>Section 4.02 Conditions to Closing</w:t>
      </w:r>
      <w:r>
        <w:rPr>
          <w:rFonts w:ascii="Arial" w:cs="Arial" w:eastAsia="Arial" w:hAnsi="Arial"/>
          <w:sz w:val="18"/>
          <w:szCs w:val="18"/>
          <w:color w:val="auto"/>
        </w:rPr>
        <w:t>. On or before the Closing Date, the Administrative Agents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on behalf of themselves,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and the Issuing Banks</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all documents necessary for the occurrence of the Closing Date.</w:t>
      </w:r>
    </w:p>
    <w:p>
      <w:pPr>
        <w:spacing w:after="0" w:line="162" w:lineRule="exact"/>
        <w:rPr>
          <w:sz w:val="20"/>
          <w:szCs w:val="20"/>
          <w:color w:val="auto"/>
        </w:rPr>
      </w:pPr>
    </w:p>
    <w:p>
      <w:pPr>
        <w:ind w:left="920" w:hanging="264"/>
        <w:spacing w:after="0"/>
        <w:tabs>
          <w:tab w:leader="none" w:pos="920" w:val="left"/>
        </w:tabs>
        <w:numPr>
          <w:ilvl w:val="1"/>
          <w:numId w:val="113"/>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this Agreement, executed by the Borrowers, the Lenders and each of the other parties hereto, and all attached Exhibits and Schedules;</w:t>
      </w:r>
    </w:p>
    <w:p>
      <w:pPr>
        <w:spacing w:after="0" w:line="248" w:lineRule="exact"/>
        <w:rPr>
          <w:rFonts w:ascii="Arial" w:cs="Arial" w:eastAsia="Arial" w:hAnsi="Arial"/>
          <w:sz w:val="16"/>
          <w:szCs w:val="16"/>
          <w:b w:val="1"/>
          <w:bCs w:val="1"/>
          <w:color w:val="auto"/>
          <w:strike w:val="1"/>
        </w:rPr>
      </w:pPr>
    </w:p>
    <w:p>
      <w:pPr>
        <w:ind w:left="920" w:hanging="264"/>
        <w:spacing w:after="0"/>
        <w:tabs>
          <w:tab w:leader="none" w:pos="920" w:val="left"/>
        </w:tabs>
        <w:numPr>
          <w:ilvl w:val="1"/>
          <w:numId w:val="113"/>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CAM Exchange Agreement, executed by the Lenders and each of the other parties thereto;</w:t>
      </w:r>
    </w:p>
    <w:p>
      <w:pPr>
        <w:spacing w:after="0" w:line="225" w:lineRule="exact"/>
        <w:rPr>
          <w:rFonts w:ascii="Arial" w:cs="Arial" w:eastAsia="Arial" w:hAnsi="Arial"/>
          <w:sz w:val="18"/>
          <w:szCs w:val="18"/>
          <w:b w:val="1"/>
          <w:bCs w:val="1"/>
          <w:color w:val="auto"/>
          <w:strike w:val="1"/>
        </w:rPr>
      </w:pPr>
    </w:p>
    <w:p>
      <w:pPr>
        <w:ind w:left="900" w:hanging="244"/>
        <w:spacing w:after="0"/>
        <w:tabs>
          <w:tab w:leader="none" w:pos="900" w:val="left"/>
        </w:tabs>
        <w:numPr>
          <w:ilvl w:val="1"/>
          <w:numId w:val="113"/>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any Note requested by a Lender pursuant to Section 2.04 payable to such requesting Lender;</w:t>
      </w:r>
    </w:p>
    <w:p>
      <w:pPr>
        <w:spacing w:after="0" w:line="225" w:lineRule="exact"/>
        <w:rPr>
          <w:rFonts w:ascii="Arial" w:cs="Arial" w:eastAsia="Arial" w:hAnsi="Arial"/>
          <w:sz w:val="18"/>
          <w:szCs w:val="18"/>
          <w:b w:val="1"/>
          <w:bCs w:val="1"/>
          <w:color w:val="auto"/>
          <w:strike w:val="1"/>
        </w:rPr>
      </w:pPr>
    </w:p>
    <w:p>
      <w:pPr>
        <w:jc w:val="both"/>
        <w:ind w:firstLine="656"/>
        <w:spacing w:after="0" w:line="293" w:lineRule="auto"/>
        <w:tabs>
          <w:tab w:leader="none" w:pos="913" w:val="left"/>
        </w:tabs>
        <w:numPr>
          <w:ilvl w:val="1"/>
          <w:numId w:val="113"/>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favorable written opinion of each of (1) Simpson Thacher &amp; Bartlett LLP, U.S. counsel for the Borrowers, substantially to the effect set forth in Exhibit F-1, (2) Dentons Canada LLP, Canadian counsel to the Canadian Borrowers, substantially to the effect set forth in Exhibit F-2, and</w:t>
      </w:r>
    </w:p>
    <w:p>
      <w:pPr>
        <w:spacing w:after="0" w:line="1" w:lineRule="exact"/>
        <w:rPr>
          <w:rFonts w:ascii="Arial" w:cs="Arial" w:eastAsia="Arial" w:hAnsi="Arial"/>
          <w:sz w:val="16"/>
          <w:szCs w:val="16"/>
          <w:b w:val="1"/>
          <w:bCs w:val="1"/>
          <w:color w:val="auto"/>
          <w:strike w:val="1"/>
        </w:rPr>
      </w:pPr>
    </w:p>
    <w:p>
      <w:pPr>
        <w:jc w:val="both"/>
        <w:ind w:firstLine="8"/>
        <w:spacing w:after="0" w:line="254" w:lineRule="auto"/>
        <w:tabs>
          <w:tab w:leader="none" w:pos="268" w:val="left"/>
        </w:tabs>
        <w:numPr>
          <w:ilvl w:val="0"/>
          <w:numId w:val="114"/>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Arnold Bloch Leibler, Australian counsel to the Australian Secured Parties, substantially to the effect set forth in Exhibit F-3, in each case (A) dated as of the Closing Date, (B) addressed to the Administrative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85" w:lineRule="exact"/>
        <w:rPr>
          <w:rFonts w:ascii="Arial" w:cs="Arial" w:eastAsia="Arial" w:hAnsi="Arial"/>
          <w:sz w:val="18"/>
          <w:szCs w:val="18"/>
          <w:b w:val="1"/>
          <w:bCs w:val="1"/>
          <w:color w:val="auto"/>
          <w:strike w:val="1"/>
        </w:rPr>
      </w:pPr>
    </w:p>
    <w:p>
      <w:pPr>
        <w:jc w:val="both"/>
        <w:ind w:firstLine="656"/>
        <w:spacing w:after="0" w:line="266" w:lineRule="auto"/>
        <w:tabs>
          <w:tab w:leader="none" w:pos="906" w:val="left"/>
        </w:tabs>
        <w:numPr>
          <w:ilvl w:val="1"/>
          <w:numId w:val="114"/>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 certificate as to the good standing or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76" w:lineRule="exact"/>
        <w:rPr>
          <w:rFonts w:ascii="Arial" w:cs="Arial" w:eastAsia="Arial" w:hAnsi="Arial"/>
          <w:sz w:val="18"/>
          <w:szCs w:val="18"/>
          <w:b w:val="1"/>
          <w:bCs w:val="1"/>
          <w:color w:val="auto"/>
          <w:strike w:val="1"/>
        </w:rPr>
      </w:pPr>
    </w:p>
    <w:p>
      <w:pPr>
        <w:jc w:val="both"/>
        <w:ind w:firstLine="656"/>
        <w:spacing w:after="0" w:line="270" w:lineRule="auto"/>
        <w:tabs>
          <w:tab w:leader="none" w:pos="873" w:val="left"/>
        </w:tabs>
        <w:numPr>
          <w:ilvl w:val="1"/>
          <w:numId w:val="114"/>
        </w:numPr>
        <w:rPr>
          <w:rFonts w:ascii="Arial" w:cs="Arial" w:eastAsia="Arial" w:hAnsi="Arial"/>
          <w:sz w:val="17"/>
          <w:szCs w:val="17"/>
          <w:b w:val="1"/>
          <w:bCs w:val="1"/>
          <w:color w:val="auto"/>
          <w:strike w:val="1"/>
        </w:rPr>
      </w:pPr>
      <w:r>
        <w:rPr>
          <w:rFonts w:ascii="Arial" w:cs="Arial" w:eastAsia="Arial" w:hAnsi="Arial"/>
          <w:sz w:val="17"/>
          <w:szCs w:val="17"/>
          <w:b w:val="1"/>
          <w:bCs w:val="1"/>
          <w:color w:val="auto"/>
          <w:strike w:val="1"/>
        </w:rPr>
        <w:t>a certificate of the Secretary, Assistant Secretary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1" w:name="page162"/>
    <w:bookmarkEnd w:id="161"/>
    <w:p>
      <w:pPr>
        <w:jc w:val="both"/>
        <w:ind w:firstLine="656"/>
        <w:spacing w:after="0" w:line="287" w:lineRule="auto"/>
        <w:tabs>
          <w:tab w:leader="none" w:pos="903" w:val="left"/>
        </w:tabs>
        <w:numPr>
          <w:ilvl w:val="1"/>
          <w:numId w:val="115"/>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certificate, dated the Closing Date and signed by a Financial Officer of the U.S. Borrower, certifying (1) compliance with the conditions precedent set forth in Section 4.01(b) and (c), and (2) based on the U.S. Borrower’s projections, in each case after giving pro forma effect (using the criteria therefor described in Section 6.04(i)) to the initial Borrowing contemplated hereunder, the Spin-Off, the Refinancing Transactions and the other transactions contemplated hereby, that (A) the U.S. Borrower and its subsidiaries, taken as a whole, will be Solvent on the Funding Date and</w:t>
      </w:r>
    </w:p>
    <w:p>
      <w:pPr>
        <w:spacing w:after="0" w:line="2" w:lineRule="exact"/>
        <w:rPr>
          <w:rFonts w:ascii="Arial" w:cs="Arial" w:eastAsia="Arial" w:hAnsi="Arial"/>
          <w:sz w:val="16"/>
          <w:szCs w:val="16"/>
          <w:b w:val="1"/>
          <w:bCs w:val="1"/>
          <w:color w:val="auto"/>
          <w:strike w:val="1"/>
        </w:rPr>
      </w:pPr>
    </w:p>
    <w:p>
      <w:pPr>
        <w:ind w:firstLine="8"/>
        <w:spacing w:after="0" w:line="261" w:lineRule="auto"/>
        <w:tabs>
          <w:tab w:leader="none" w:pos="287" w:val="left"/>
        </w:tabs>
        <w:numPr>
          <w:ilvl w:val="0"/>
          <w:numId w:val="116"/>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U.S. Borrower and its subsidiaries will be in pro forma compliance (using the criteria therefor described in Section 6.04(i)) with Sections 6.10 and 6.11 as of Funding Date;</w:t>
      </w:r>
    </w:p>
    <w:p>
      <w:pPr>
        <w:spacing w:after="0" w:line="179" w:lineRule="exact"/>
        <w:rPr>
          <w:rFonts w:ascii="Arial" w:cs="Arial" w:eastAsia="Arial" w:hAnsi="Arial"/>
          <w:sz w:val="18"/>
          <w:szCs w:val="18"/>
          <w:b w:val="1"/>
          <w:bCs w:val="1"/>
          <w:color w:val="auto"/>
          <w:strike w:val="1"/>
        </w:rPr>
      </w:pPr>
    </w:p>
    <w:p>
      <w:pPr>
        <w:jc w:val="both"/>
        <w:ind w:firstLine="656"/>
        <w:spacing w:after="0" w:line="289" w:lineRule="auto"/>
        <w:tabs>
          <w:tab w:leader="none" w:pos="927" w:val="left"/>
        </w:tabs>
        <w:numPr>
          <w:ilvl w:val="1"/>
          <w:numId w:val="116"/>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161" w:lineRule="exact"/>
        <w:rPr>
          <w:rFonts w:ascii="Arial" w:cs="Arial" w:eastAsia="Arial" w:hAnsi="Arial"/>
          <w:sz w:val="16"/>
          <w:szCs w:val="16"/>
          <w:b w:val="1"/>
          <w:bCs w:val="1"/>
          <w:color w:val="auto"/>
          <w:strike w:val="1"/>
        </w:rPr>
      </w:pPr>
    </w:p>
    <w:p>
      <w:pPr>
        <w:jc w:val="both"/>
        <w:ind w:firstLine="656"/>
        <w:spacing w:after="0" w:line="292" w:lineRule="auto"/>
        <w:tabs>
          <w:tab w:leader="none" w:pos="863" w:val="left"/>
        </w:tabs>
        <w:numPr>
          <w:ilvl w:val="1"/>
          <w:numId w:val="116"/>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Canadian Pledge Agreement, duly executed by the parties thereto, and all the outstanding Equity Interests of the Canadian Parent, certain of its Subsidiaries, as of the Closing Date shall have been duly and validly pledged thereunder to the Canadian Collateral Agent for the ratable benefit of the Canadian Secured Parties or to the Australian Collateral Agent for the ratable benefit of the Australian Secured Parties (as applicable), together with certificates, if any, representing such Equity Interests, accompanied by instruments of transfer and stock powers endorsed in blank, shall be in the actual possession of the Canadian Collateral Agent or Australian Collateral Agent and, if required, the delivery of the applicable financing statements registered at the applicable personal property registry in Canada necessary to create a valid, legal and perfected first-priority Lien on the Collateral described therein (subject to any Lien expressly permitted by Section 6.02);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both"/>
        <w:ind w:firstLine="656"/>
        <w:spacing w:after="0" w:line="274" w:lineRule="auto"/>
        <w:tabs>
          <w:tab w:leader="none" w:pos="873" w:val="left"/>
        </w:tabs>
        <w:numPr>
          <w:ilvl w:val="0"/>
          <w:numId w:val="117"/>
        </w:numPr>
        <w:rPr>
          <w:rFonts w:ascii="Arial" w:cs="Arial" w:eastAsia="Arial" w:hAnsi="Arial"/>
          <w:sz w:val="17"/>
          <w:szCs w:val="17"/>
          <w:b w:val="1"/>
          <w:bCs w:val="1"/>
          <w:color w:val="auto"/>
          <w:strike w:val="1"/>
        </w:rPr>
      </w:pPr>
      <w:r>
        <w:rPr>
          <w:rFonts w:ascii="Arial" w:cs="Arial" w:eastAsia="Arial" w:hAnsi="Arial"/>
          <w:sz w:val="17"/>
          <w:szCs w:val="17"/>
          <w:b w:val="1"/>
          <w:bCs w:val="1"/>
          <w:color w:val="auto"/>
          <w:strike w:val="1"/>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73" w:lineRule="exact"/>
        <w:rPr>
          <w:rFonts w:ascii="Arial" w:cs="Arial" w:eastAsia="Arial" w:hAnsi="Arial"/>
          <w:sz w:val="17"/>
          <w:szCs w:val="17"/>
          <w:b w:val="1"/>
          <w:bCs w:val="1"/>
          <w:color w:val="auto"/>
          <w:strike w:val="1"/>
        </w:rPr>
      </w:pPr>
    </w:p>
    <w:p>
      <w:pPr>
        <w:jc w:val="both"/>
        <w:ind w:firstLine="656"/>
        <w:spacing w:after="0" w:line="292" w:lineRule="auto"/>
        <w:tabs>
          <w:tab w:leader="none" w:pos="927" w:val="left"/>
        </w:tabs>
        <w:numPr>
          <w:ilvl w:val="0"/>
          <w:numId w:val="117"/>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61" w:lineRule="exact"/>
        <w:rPr>
          <w:rFonts w:ascii="Arial" w:cs="Arial" w:eastAsia="Arial" w:hAnsi="Arial"/>
          <w:sz w:val="16"/>
          <w:szCs w:val="16"/>
          <w:b w:val="1"/>
          <w:bCs w:val="1"/>
          <w:color w:val="auto"/>
          <w:strike w:val="1"/>
        </w:rPr>
      </w:pPr>
    </w:p>
    <w:p>
      <w:pPr>
        <w:ind w:right="20" w:firstLine="656"/>
        <w:spacing w:after="0" w:line="282" w:lineRule="auto"/>
        <w:tabs>
          <w:tab w:leader="none" w:pos="863"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(i) the U.S. Guarantee Agreement, duly executed by the parties thereto and (ii) the Canadian Guarantee Agreement, duly executed by the parties thereto;</w:t>
      </w:r>
    </w:p>
    <w:p>
      <w:pPr>
        <w:spacing w:after="0" w:line="161" w:lineRule="exact"/>
        <w:rPr>
          <w:rFonts w:ascii="Arial" w:cs="Arial" w:eastAsia="Arial" w:hAnsi="Arial"/>
          <w:sz w:val="18"/>
          <w:szCs w:val="18"/>
          <w:b w:val="1"/>
          <w:bCs w:val="1"/>
          <w:color w:val="auto"/>
          <w:strike w:val="1"/>
        </w:rPr>
      </w:pPr>
    </w:p>
    <w:p>
      <w:pPr>
        <w:ind w:left="980" w:hanging="324"/>
        <w:spacing w:after="0"/>
        <w:tabs>
          <w:tab w:leader="none" w:pos="980"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 copy of, or a certificate as to coverage under, the insurance policies required by Section 5.02;</w:t>
      </w:r>
    </w:p>
    <w:p>
      <w:pPr>
        <w:spacing w:after="0" w:line="225" w:lineRule="exact"/>
        <w:rPr>
          <w:rFonts w:ascii="Arial" w:cs="Arial" w:eastAsia="Arial" w:hAnsi="Arial"/>
          <w:sz w:val="18"/>
          <w:szCs w:val="18"/>
          <w:b w:val="1"/>
          <w:bCs w:val="1"/>
          <w:color w:val="auto"/>
          <w:strike w:val="1"/>
        </w:rPr>
      </w:pPr>
    </w:p>
    <w:p>
      <w:pPr>
        <w:ind w:firstLine="656"/>
        <w:spacing w:after="0" w:line="282" w:lineRule="auto"/>
        <w:tabs>
          <w:tab w:leader="none" w:pos="913"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projections prepared by management of the U.S. Borrower of balance sheets, income and cash flow statements of the U.S. Borrower and its subsidiaries for the five year period through December 31, 2018;</w:t>
      </w:r>
    </w:p>
    <w:p>
      <w:pPr>
        <w:spacing w:after="0" w:line="161" w:lineRule="exact"/>
        <w:rPr>
          <w:rFonts w:ascii="Arial" w:cs="Arial" w:eastAsia="Arial" w:hAnsi="Arial"/>
          <w:sz w:val="18"/>
          <w:szCs w:val="18"/>
          <w:b w:val="1"/>
          <w:bCs w:val="1"/>
          <w:color w:val="auto"/>
          <w:strike w:val="1"/>
        </w:rPr>
      </w:pPr>
    </w:p>
    <w:p>
      <w:pPr>
        <w:ind w:left="920" w:hanging="264"/>
        <w:spacing w:after="0"/>
        <w:tabs>
          <w:tab w:leader="none" w:pos="920"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an Australian Land Access Agreement, dated as of the Closing Date, duly executed by the parties thereto; and</w:t>
      </w:r>
    </w:p>
    <w:p>
      <w:pPr>
        <w:spacing w:after="0" w:line="225" w:lineRule="exact"/>
        <w:rPr>
          <w:rFonts w:ascii="Arial" w:cs="Arial" w:eastAsia="Arial" w:hAnsi="Arial"/>
          <w:sz w:val="18"/>
          <w:szCs w:val="18"/>
          <w:b w:val="1"/>
          <w:bCs w:val="1"/>
          <w:color w:val="auto"/>
          <w:strike w:val="1"/>
        </w:rPr>
      </w:pPr>
    </w:p>
    <w:p>
      <w:pPr>
        <w:jc w:val="both"/>
        <w:ind w:firstLine="656"/>
        <w:spacing w:after="0" w:line="261" w:lineRule="auto"/>
        <w:tabs>
          <w:tab w:leader="none" w:pos="927"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all documentation and other information that the Administrative Agents, the Lead Arrangers and the Lender shall have requested in order to comply with its respective obligations under applicable “know your customer” and anti-money laundering rules and regulations, including the Patriot Act, in each case to the extent such documentation and other information shall have been requested reasonably in advance of the Closing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3" w:name="page164"/>
    <w:bookmarkEnd w:id="163"/>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4.03</w:t>
      </w:r>
      <w:r>
        <w:rPr>
          <w:sz w:val="20"/>
          <w:szCs w:val="20"/>
          <w:color w:val="auto"/>
        </w:rPr>
        <w:tab/>
      </w:r>
      <w:r>
        <w:rPr>
          <w:rFonts w:ascii="Arial" w:cs="Arial" w:eastAsia="Arial" w:hAnsi="Arial"/>
          <w:sz w:val="15"/>
          <w:szCs w:val="15"/>
          <w:b w:val="1"/>
          <w:bCs w:val="1"/>
          <w:i w:val="1"/>
          <w:iCs w:val="1"/>
          <w:color w:val="auto"/>
        </w:rPr>
        <w:t>Conditions to Funding</w:t>
      </w:r>
      <w:r>
        <w:rPr>
          <w:rFonts w:ascii="Arial" w:cs="Arial" w:eastAsia="Arial" w:hAnsi="Arial"/>
          <w:sz w:val="15"/>
          <w:szCs w:val="15"/>
          <w:color w:val="auto"/>
        </w:rPr>
        <w:t>.</w:t>
      </w:r>
    </w:p>
    <w:p>
      <w:pPr>
        <w:spacing w:after="0" w:line="22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On or before the Funding Date, the Administrative Agents </w:t>
      </w:r>
      <w:r>
        <w:rPr>
          <w:rFonts w:ascii="Arial" w:cs="Arial" w:eastAsia="Arial" w:hAnsi="Arial"/>
          <w:sz w:val="16"/>
          <w:szCs w:val="16"/>
          <w:b w:val="1"/>
          <w:bCs w:val="1"/>
          <w:color w:val="auto"/>
          <w:strike w:val="1"/>
        </w:rPr>
        <w:t>shall have</w:t>
      </w:r>
      <w:r>
        <w:rPr>
          <w:rFonts w:ascii="Arial" w:cs="Arial" w:eastAsia="Arial" w:hAnsi="Arial"/>
          <w:sz w:val="16"/>
          <w:szCs w:val="16"/>
          <w:color w:val="auto"/>
        </w:rPr>
        <w:t xml:space="preserve"> received</w:t>
      </w:r>
      <w:r>
        <w:rPr>
          <w:rFonts w:ascii="Arial" w:cs="Arial" w:eastAsia="Arial" w:hAnsi="Arial"/>
          <w:sz w:val="16"/>
          <w:szCs w:val="16"/>
          <w:b w:val="1"/>
          <w:bCs w:val="1"/>
          <w:color w:val="auto"/>
          <w:strike w:val="1"/>
        </w:rPr>
        <w:t>, in addition to documents and information required pursuant to</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Section 4.02</w:t>
      </w:r>
      <w:r>
        <w:rPr>
          <w:rFonts w:ascii="Arial" w:cs="Arial" w:eastAsia="Arial" w:hAnsi="Arial"/>
          <w:sz w:val="16"/>
          <w:szCs w:val="16"/>
          <w:color w:val="auto"/>
        </w:rPr>
        <w:t>, on behalf of themselves, the Lenders and the Issuing Banks</w:t>
      </w:r>
      <w:r>
        <w:rPr>
          <w:rFonts w:ascii="Arial" w:cs="Arial" w:eastAsia="Arial" w:hAnsi="Arial"/>
          <w:sz w:val="16"/>
          <w:szCs w:val="16"/>
          <w:b w:val="1"/>
          <w:bCs w:val="1"/>
          <w:color w:val="auto"/>
          <w:strike w:val="1"/>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all documents necessary for the occurrence of the Funding Date.</w:t>
      </w:r>
    </w:p>
    <w:p>
      <w:pPr>
        <w:spacing w:after="0" w:line="116" w:lineRule="exact"/>
        <w:rPr>
          <w:sz w:val="20"/>
          <w:szCs w:val="20"/>
          <w:color w:val="auto"/>
        </w:rPr>
      </w:pPr>
    </w:p>
    <w:p>
      <w:pPr>
        <w:jc w:val="both"/>
        <w:ind w:left="660" w:firstLine="645"/>
        <w:spacing w:after="0" w:line="266" w:lineRule="auto"/>
        <w:tabs>
          <w:tab w:leader="none" w:pos="1523" w:val="left"/>
        </w:tabs>
        <w:numPr>
          <w:ilvl w:val="1"/>
          <w:numId w:val="118"/>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copies of all Spin Documents and any financial statements required to be included in the Form 10, together with all amendments, supplements, waivers or other modifications thereto, in each case certified by a Responsible Officer of the U.S. Borrower as true, correct and complete; and</w:t>
      </w:r>
    </w:p>
    <w:p>
      <w:pPr>
        <w:spacing w:after="0" w:line="176" w:lineRule="exact"/>
        <w:rPr>
          <w:rFonts w:ascii="Arial" w:cs="Arial" w:eastAsia="Arial" w:hAnsi="Arial"/>
          <w:sz w:val="18"/>
          <w:szCs w:val="18"/>
          <w:b w:val="1"/>
          <w:bCs w:val="1"/>
          <w:color w:val="auto"/>
          <w:strike w:val="1"/>
        </w:rPr>
      </w:pPr>
    </w:p>
    <w:p>
      <w:pPr>
        <w:jc w:val="both"/>
        <w:ind w:left="660" w:firstLine="645"/>
        <w:spacing w:after="0" w:line="287" w:lineRule="auto"/>
        <w:tabs>
          <w:tab w:leader="none" w:pos="1573" w:val="left"/>
        </w:tabs>
        <w:numPr>
          <w:ilvl w:val="1"/>
          <w:numId w:val="118"/>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certificate, dated the Funding Date and signed by a Financial Officer of the U.S. Borrower, certifying (1) compliance with the conditions precedent set forth in Section 4.01(b) and (c); (2) that (A) the SEC shall have declared effective the Form 10 under the Securities Exchange Act of 1934, no stop order suspending the effectiveness of the Form 10 shall be in effect and no proceedings for such purpose shall be pending before or threatened by the SEC, (B) any required actions and filing with regard to state securities and blue sky laws of the United States (and any comparable laws under any foreign jurisdiction) will have been taken and, where applicable, have become effective or been accepted, (C) the U.S. Borrower’s common stock will have been authorized for listing on the NYSE or another national securities exchange, subject to official notice of issuance, and (D) any government approvals and other material consents necessary to consummate the Spin-Off will have been obtained and be in full force and effect and (3) that, substantially contemporaneously with the initial funding and the related cash distribution, Oil States will have obtained the consent of the holders of a majority in aggregate principal amount of each of its then outstanding $400.0 million 5-1/8% Senior Notes due 2023 and its then outstanding $600.0 million 6.5% Senior Notes due 2019 to effect an amendment to each related indenture to permit the distribution of the issued and outstanding shares of common stock of the U.S. Borrower or otherwise consent to such distribution.</w:t>
      </w:r>
    </w:p>
    <w:p>
      <w:pPr>
        <w:spacing w:after="0" w:line="168" w:lineRule="exact"/>
        <w:rPr>
          <w:rFonts w:ascii="Arial" w:cs="Arial" w:eastAsia="Arial" w:hAnsi="Arial"/>
          <w:sz w:val="16"/>
          <w:szCs w:val="16"/>
          <w:b w:val="1"/>
          <w:bCs w:val="1"/>
          <w:color w:val="auto"/>
          <w:strike w:val="1"/>
        </w:rPr>
      </w:pPr>
    </w:p>
    <w:p>
      <w:pPr>
        <w:jc w:val="both"/>
        <w:ind w:firstLine="656"/>
        <w:spacing w:after="0" w:line="261" w:lineRule="auto"/>
        <w:tabs>
          <w:tab w:leader="none" w:pos="927" w:val="left"/>
        </w:tabs>
        <w:numPr>
          <w:ilvl w:val="0"/>
          <w:numId w:val="119"/>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As of the Funding Date, no temporary restraining order, preliminary or permanent injunction or other order issued by any court of competent jurisdiction or Governmental Authority or other legal restraint or prohibition preventing the Spin-Off is in effect, and no steps have been taken by any Governmental Authority to effect any of the above, in either case, that provides the U.S. Borrower with the right to terminate its obligations under the Separation Agreement as a result thereof.</w:t>
      </w:r>
    </w:p>
    <w:p>
      <w:pPr>
        <w:spacing w:after="0" w:line="180" w:lineRule="exact"/>
        <w:rPr>
          <w:rFonts w:ascii="Arial" w:cs="Arial" w:eastAsia="Arial" w:hAnsi="Arial"/>
          <w:sz w:val="18"/>
          <w:szCs w:val="18"/>
          <w:b w:val="1"/>
          <w:bCs w:val="1"/>
          <w:color w:val="auto"/>
          <w:strike w:val="1"/>
        </w:rPr>
      </w:pPr>
    </w:p>
    <w:p>
      <w:pPr>
        <w:jc w:val="both"/>
        <w:ind w:firstLine="656"/>
        <w:spacing w:after="0" w:line="314" w:lineRule="auto"/>
        <w:tabs>
          <w:tab w:leader="none" w:pos="893" w:val="left"/>
        </w:tabs>
        <w:numPr>
          <w:ilvl w:val="0"/>
          <w:numId w:val="119"/>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Substantially concurrently with the initial Credit Event, the (i) guarantees by the U.S. Borrower and its subsidiaries and (ii) liens on the assets and equipment of the U.S. Borrower and its subsidiaries granted under or in connection with the Existing OSI Credit Agreement or the Existing MAC Group Credit Agreement shall have been released, and the Existing MAC Group Credit Agreement shall have been terminated.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4" w:name="page165"/>
    <w:bookmarkEnd w:id="164"/>
    <w:p>
      <w:pPr>
        <w:jc w:val="both"/>
        <w:ind w:firstLine="656"/>
        <w:spacing w:after="0" w:line="261" w:lineRule="auto"/>
        <w:tabs>
          <w:tab w:leader="none" w:pos="913" w:val="left"/>
        </w:tabs>
        <w:numPr>
          <w:ilvl w:val="0"/>
          <w:numId w:val="120"/>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On or before the Funding Date, the Administrative Agents and the Lead Arrangers shall have received all Fees and other amounts due and payable on or prior to the Closing Date, including, to the extent invoiced, reimbursement or payment of all out-of-pocket expenses (including, without limitation, the reasonable fees, charges and disbursements of counsel for the Agents) required to be reimbursed or paid by the Borrowers hereunder or under any other Loan Document.</w:t>
      </w:r>
    </w:p>
    <w:p>
      <w:pPr>
        <w:spacing w:after="0" w:line="180" w:lineRule="exact"/>
        <w:rPr>
          <w:rFonts w:ascii="Arial" w:cs="Arial" w:eastAsia="Arial" w:hAnsi="Arial"/>
          <w:sz w:val="18"/>
          <w:szCs w:val="18"/>
          <w:b w:val="1"/>
          <w:bCs w:val="1"/>
          <w:color w:val="auto"/>
          <w:strike w:val="1"/>
        </w:rPr>
      </w:pPr>
    </w:p>
    <w:p>
      <w:pPr>
        <w:ind w:left="900" w:hanging="244"/>
        <w:spacing w:after="0"/>
        <w:tabs>
          <w:tab w:leader="none" w:pos="900" w:val="left"/>
        </w:tabs>
        <w:numPr>
          <w:ilvl w:val="0"/>
          <w:numId w:val="120"/>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Funding Date shall have occurred (i) on or prior to July 15, 2014 and (ii) within five Business Days of the Closing Date.</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Affirmative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5.01 Existence; Businesses and Properties</w:t>
      </w:r>
      <w:r>
        <w:rPr>
          <w:rFonts w:ascii="Arial" w:cs="Arial" w:eastAsia="Arial" w:hAnsi="Arial"/>
          <w:sz w:val="18"/>
          <w:szCs w:val="18"/>
          <w:color w:val="auto"/>
        </w:rPr>
        <w:t>. (a) Do or cause to be done all things necessary to preserve, renew and keep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87" w:lineRule="exact"/>
        <w:rPr>
          <w:sz w:val="20"/>
          <w:szCs w:val="20"/>
          <w:color w:val="auto"/>
        </w:rPr>
      </w:pPr>
    </w:p>
    <w:p>
      <w:pPr>
        <w:jc w:val="both"/>
        <w:ind w:firstLine="656"/>
        <w:spacing w:after="0" w:line="264" w:lineRule="auto"/>
        <w:tabs>
          <w:tab w:leader="none" w:pos="10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9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5.02 Insurance</w:t>
      </w:r>
      <w:r>
        <w:rPr>
          <w:rFonts w:ascii="Arial" w:cs="Arial" w:eastAsia="Arial" w:hAnsi="Arial"/>
          <w:sz w:val="18"/>
          <w:szCs w:val="18"/>
          <w:color w:val="auto"/>
        </w:rPr>
        <w:t>. (a) Maintain insurance with insurance providers that it reasonably considers to be financially sound (including captive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insurance companies, or through self-insurance), in such amounts, with such deductibles and covering such risks and liabilities as are consistent with </w:t>
      </w:r>
      <w:r>
        <w:rPr>
          <w:rFonts w:ascii="Arial" w:cs="Arial" w:eastAsia="Arial" w:hAnsi="Arial"/>
          <w:sz w:val="18"/>
          <w:szCs w:val="18"/>
          <w:b w:val="1"/>
          <w:bCs w:val="1"/>
          <w:u w:val="single" w:color="auto"/>
          <w:color w:val="auto"/>
        </w:rPr>
        <w:t>its</w:t>
      </w:r>
      <w:r>
        <w:rPr>
          <w:rFonts w:ascii="Arial" w:cs="Arial" w:eastAsia="Arial" w:hAnsi="Arial"/>
          <w:sz w:val="18"/>
          <w:szCs w:val="18"/>
          <w:color w:val="auto"/>
        </w:rPr>
        <w:t xml:space="preserve"> past practices </w:t>
      </w:r>
      <w:r>
        <w:rPr>
          <w:rFonts w:ascii="Arial" w:cs="Arial" w:eastAsia="Arial" w:hAnsi="Arial"/>
          <w:sz w:val="18"/>
          <w:szCs w:val="18"/>
          <w:b w:val="1"/>
          <w:bCs w:val="1"/>
          <w:color w:val="auto"/>
        </w:rPr>
        <w:t>of the accommodations business of Oil States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-80645</wp:posOffset>
            </wp:positionV>
            <wp:extent cx="22129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161" w:lineRule="exact"/>
        <w:rPr>
          <w:sz w:val="20"/>
          <w:szCs w:val="20"/>
          <w:color w:val="auto"/>
        </w:rPr>
      </w:pPr>
    </w:p>
    <w:p>
      <w:pPr>
        <w:jc w:val="both"/>
        <w:ind w:firstLine="656"/>
        <w:spacing w:after="0" w:line="267" w:lineRule="auto"/>
        <w:tabs>
          <w:tab w:leader="none" w:pos="109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Funding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92" w:lineRule="exact"/>
        <w:rPr>
          <w:rFonts w:ascii="Arial" w:cs="Arial" w:eastAsia="Arial" w:hAnsi="Arial"/>
          <w:sz w:val="17"/>
          <w:szCs w:val="17"/>
          <w:color w:val="auto"/>
        </w:rPr>
      </w:pPr>
    </w:p>
    <w:p>
      <w:pPr>
        <w:ind w:right="20" w:firstLine="656"/>
        <w:spacing w:after="0" w:line="342" w:lineRule="auto"/>
        <w:tabs>
          <w:tab w:leader="none" w:pos="109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Section 5.03 Obligations and Taxes</w:t>
      </w:r>
      <w:r>
        <w:rPr>
          <w:rFonts w:ascii="Arial" w:cs="Arial" w:eastAsia="Arial" w:hAnsi="Arial"/>
          <w:sz w:val="18"/>
          <w:szCs w:val="18"/>
          <w:color w:val="auto"/>
        </w:rPr>
        <w:t>. Pay its Indebtedness and other obligations promptly and in accordance with their terms and pay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Canadian GAAP or Australian GAAP, as the case may be, and such contest operates to suspend collection of the contested obligation, tax, assessment or charge and enforcement of a Lien.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6" w:name="page167"/>
    <w:bookmarkEnd w:id="166"/>
    <w:p>
      <w:pPr>
        <w:ind w:left="660"/>
        <w:spacing w:after="0"/>
        <w:tabs>
          <w:tab w:leader="none" w:pos="1840" w:val="left"/>
        </w:tabs>
        <w:rPr>
          <w:sz w:val="20"/>
          <w:szCs w:val="20"/>
          <w:color w:val="auto"/>
        </w:rPr>
      </w:pPr>
      <w:r>
        <w:rPr>
          <w:rFonts w:ascii="Arial" w:cs="Arial" w:eastAsia="Arial" w:hAnsi="Arial"/>
          <w:sz w:val="18"/>
          <w:szCs w:val="18"/>
          <w:b w:val="1"/>
          <w:bCs w:val="1"/>
          <w:i w:val="1"/>
          <w:iCs w:val="1"/>
          <w:color w:val="auto"/>
        </w:rPr>
        <w:t>Section 5.04</w:t>
      </w:r>
      <w:r>
        <w:rPr>
          <w:sz w:val="20"/>
          <w:szCs w:val="20"/>
          <w:color w:val="auto"/>
        </w:rPr>
        <w:tab/>
      </w:r>
      <w:r>
        <w:rPr>
          <w:rFonts w:ascii="Arial" w:cs="Arial" w:eastAsia="Arial" w:hAnsi="Arial"/>
          <w:sz w:val="16"/>
          <w:szCs w:val="16"/>
          <w:b w:val="1"/>
          <w:bCs w:val="1"/>
          <w:i w:val="1"/>
          <w:iCs w:val="1"/>
          <w:color w:val="auto"/>
        </w:rPr>
        <w:t>Financial Statements, Reports, etc</w:t>
      </w:r>
      <w:r>
        <w:rPr>
          <w:rFonts w:ascii="Arial" w:cs="Arial" w:eastAsia="Arial" w:hAnsi="Arial"/>
          <w:sz w:val="16"/>
          <w:szCs w:val="16"/>
          <w:b w:val="1"/>
          <w:bCs w:val="1"/>
          <w:i w:val="1"/>
          <w:iCs w:val="1"/>
          <w:u w:val="single" w:color="auto"/>
          <w:color w:val="auto"/>
        </w:rPr>
        <w:t>.</w:t>
      </w:r>
      <w:r>
        <w:rPr>
          <w:rFonts w:ascii="Arial" w:cs="Arial" w:eastAsia="Arial" w:hAnsi="Arial"/>
          <w:sz w:val="16"/>
          <w:szCs w:val="16"/>
          <w:color w:val="auto"/>
        </w:rPr>
        <w:t>. Furnish to the Administrative Agent and, in the case of Section 5.04(f) or (g),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07" w:lineRule="exact"/>
        <w:rPr>
          <w:sz w:val="20"/>
          <w:szCs w:val="20"/>
          <w:color w:val="auto"/>
        </w:rPr>
      </w:pPr>
    </w:p>
    <w:p>
      <w:pPr>
        <w:jc w:val="both"/>
        <w:ind w:firstLine="656"/>
        <w:spacing w:after="0" w:line="271"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within five Business Days after the date in each fiscal year on which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required to file its Annual Report on Form 10-K with the SEC (or would be required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no longer required to file regular and periodic reports with the SEC), in each case without giving effect to any extension thereof, the audited consolidated balance sheet and related consolidated statements of income, stockholders’ equity and comprehensive income and cash flows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its consolidated subsidiaries on a consolidated basis in accordance with GAAP;</w:t>
      </w:r>
    </w:p>
    <w:p>
      <w:pPr>
        <w:spacing w:after="0" w:line="174" w:lineRule="exact"/>
        <w:rPr>
          <w:rFonts w:ascii="Arial" w:cs="Arial" w:eastAsia="Arial" w:hAnsi="Arial"/>
          <w:sz w:val="17"/>
          <w:szCs w:val="17"/>
          <w:color w:val="auto"/>
        </w:rPr>
      </w:pPr>
    </w:p>
    <w:p>
      <w:pPr>
        <w:jc w:val="both"/>
        <w:ind w:firstLine="656"/>
        <w:spacing w:after="0" w:line="272" w:lineRule="auto"/>
        <w:tabs>
          <w:tab w:leader="none" w:pos="117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within five Business Days after each date in each fiscal year on which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required to file a Quarterly Report on Form 10-Q with the SEC (or would be required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no longer required to file regular and periodic reports with the SEC), in each case without giving effect to any extension thereof, the unaudited consolidated balance sheets and related condensed statements of operations and cash flows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consolidated subsidiaries on a consolidated basis in accordance with GAAP, subject to normal year-end audit adjustments and the absence of footnotes;</w:t>
      </w:r>
    </w:p>
    <w:p>
      <w:pPr>
        <w:spacing w:after="0" w:line="176" w:lineRule="exact"/>
        <w:rPr>
          <w:rFonts w:ascii="Arial" w:cs="Arial" w:eastAsia="Arial" w:hAnsi="Arial"/>
          <w:sz w:val="17"/>
          <w:szCs w:val="17"/>
          <w:color w:val="auto"/>
        </w:rPr>
      </w:pPr>
    </w:p>
    <w:p>
      <w:pPr>
        <w:jc w:val="both"/>
        <w:ind w:firstLine="656"/>
        <w:spacing w:after="0" w:line="279" w:lineRule="auto"/>
        <w:tabs>
          <w:tab w:leader="none" w:pos="110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paragraph (a) or (b) above, a certificate in the form of Exhibit G (a “</w:t>
      </w:r>
      <w:r>
        <w:rPr>
          <w:rFonts w:ascii="Arial" w:cs="Arial" w:eastAsia="Arial" w:hAnsi="Arial"/>
          <w:sz w:val="17"/>
          <w:szCs w:val="17"/>
          <w:i w:val="1"/>
          <w:iCs w:val="1"/>
          <w:color w:val="auto"/>
        </w:rPr>
        <w:t>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Certificate</w:t>
      </w:r>
      <w:r>
        <w:rPr>
          <w:rFonts w:ascii="Arial" w:cs="Arial" w:eastAsia="Arial" w:hAnsi="Arial"/>
          <w:sz w:val="17"/>
          <w:szCs w:val="17"/>
          <w:color w:val="auto"/>
        </w:rPr>
        <w:t>”) of a Financial Officer (i) certifying that no Event of Default or Default has occurred or, if such an Event of Default or Default has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specifying the nature and extent thereof and any corrective action taken or proposed to be taken with respect thereto and (ii) setting forth computations in detail reasonably satisfactory to the Agents demonstrating compliance with the covenants contained in Sections 6.10 and 6.11;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7" w:name="page168"/>
    <w:bookmarkEnd w:id="167"/>
    <w:p>
      <w:pPr>
        <w:jc w:val="both"/>
        <w:ind w:firstLine="656"/>
        <w:spacing w:after="0" w:line="314" w:lineRule="auto"/>
        <w:tabs>
          <w:tab w:leader="none" w:pos="109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promptly upon receipt thereof, copies of any audit or other reports delivered to the board of directors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audit committee of such board) by an independent registered public accounting firm in connection with such firm’s audit of the consolidated financial statements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if such reports identify material weaknesses in internal controls over financial reporting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1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promptly after the same become publicly available, copies of all periodic and other reports, proxy statements and other materials (other than filings under Section 16 of the Securities Exchange Act of 1934) filed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86" w:lineRule="exact"/>
        <w:rPr>
          <w:rFonts w:ascii="Arial" w:cs="Arial" w:eastAsia="Arial" w:hAnsi="Arial"/>
          <w:sz w:val="18"/>
          <w:szCs w:val="18"/>
          <w:color w:val="auto"/>
        </w:rPr>
      </w:pPr>
    </w:p>
    <w:p>
      <w:pPr>
        <w:ind w:firstLine="656"/>
        <w:spacing w:after="0" w:line="277" w:lineRule="auto"/>
        <w:tabs>
          <w:tab w:leader="none" w:pos="10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66" w:lineRule="exact"/>
        <w:rPr>
          <w:rFonts w:ascii="Arial" w:cs="Arial" w:eastAsia="Arial" w:hAnsi="Arial"/>
          <w:sz w:val="18"/>
          <w:szCs w:val="18"/>
          <w:color w:val="auto"/>
        </w:rPr>
      </w:pPr>
    </w:p>
    <w:p>
      <w:pPr>
        <w:ind w:left="1100" w:hanging="444"/>
        <w:spacing w:after="0"/>
        <w:tabs>
          <w:tab w:leader="none" w:pos="11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promptly, following a request by any Lender, an updated organizational chart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subsidiaries; and</w:t>
      </w:r>
    </w:p>
    <w:p>
      <w:pPr>
        <w:spacing w:after="0" w:line="240" w:lineRule="exact"/>
        <w:rPr>
          <w:rFonts w:ascii="Arial" w:cs="Arial" w:eastAsia="Arial" w:hAnsi="Arial"/>
          <w:sz w:val="17"/>
          <w:szCs w:val="17"/>
          <w:color w:val="auto"/>
        </w:rPr>
      </w:pPr>
    </w:p>
    <w:p>
      <w:pPr>
        <w:ind w:firstLine="656"/>
        <w:spacing w:after="0" w:line="308" w:lineRule="auto"/>
        <w:tabs>
          <w:tab w:leader="none" w:pos="110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Borrower’s website on the Internet at </w:t>
      </w:r>
      <w:r>
        <w:rPr>
          <w:rFonts w:ascii="Arial" w:cs="Arial" w:eastAsia="Arial" w:hAnsi="Arial"/>
          <w:sz w:val="17"/>
          <w:szCs w:val="17"/>
          <w:b w:val="1"/>
          <w:bCs w:val="1"/>
          <w:u w:val="single" w:color="auto"/>
          <w:color w:val="auto"/>
        </w:rPr>
        <w:t>http://</w:t>
      </w:r>
      <w:r>
        <w:rPr>
          <w:rFonts w:ascii="Arial" w:cs="Arial" w:eastAsia="Arial" w:hAnsi="Arial"/>
          <w:sz w:val="17"/>
          <w:szCs w:val="17"/>
          <w:color w:val="auto"/>
        </w:rPr>
        <w:t xml:space="preserve">www.civeo.com, (ii) shall be available on the website of the SEC at http://www.sec.gov or (iii) shall have been posted on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with any such request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hereby acknowledges that (a) the Agents will make available to the Lenders and the Issuing Banks materials and/or information provided by or on behalf of the Loan Parties hereunder (collectively, the “</w:t>
      </w:r>
      <w:r>
        <w:rPr>
          <w:rFonts w:ascii="Arial" w:cs="Arial" w:eastAsia="Arial" w:hAnsi="Arial"/>
          <w:sz w:val="17"/>
          <w:szCs w:val="17"/>
          <w:i w:val="1"/>
          <w:iCs w:val="1"/>
          <w:color w:val="auto"/>
        </w:rPr>
        <w:t>Borrower Materials</w:t>
      </w:r>
      <w:r>
        <w:rPr>
          <w:rFonts w:ascii="Arial" w:cs="Arial" w:eastAsia="Arial" w:hAnsi="Arial"/>
          <w:sz w:val="17"/>
          <w:szCs w:val="17"/>
          <w:color w:val="auto"/>
        </w:rPr>
        <w:t>”) by posting the Borrower Materials on SyndTrak or another similar electronic system (the “</w:t>
      </w:r>
      <w:r>
        <w:rPr>
          <w:rFonts w:ascii="Arial" w:cs="Arial" w:eastAsia="Arial" w:hAnsi="Arial"/>
          <w:sz w:val="17"/>
          <w:szCs w:val="17"/>
          <w:i w:val="1"/>
          <w:iCs w:val="1"/>
          <w:color w:val="auto"/>
        </w:rPr>
        <w:t>Platform</w:t>
      </w:r>
      <w:r>
        <w:rPr>
          <w:rFonts w:ascii="Arial" w:cs="Arial" w:eastAsia="Arial" w:hAnsi="Arial"/>
          <w:sz w:val="17"/>
          <w:szCs w:val="17"/>
          <w:color w:val="auto"/>
        </w:rPr>
        <w:t>”) and (b) certain of the Lenders may be “public-side” Lenders (i.e., Lenders that do not wish to receive material non-public information with respect to any Loan Party or its securities) (each, a “</w:t>
      </w:r>
      <w:r>
        <w:rPr>
          <w:rFonts w:ascii="Arial" w:cs="Arial" w:eastAsia="Arial" w:hAnsi="Arial"/>
          <w:sz w:val="17"/>
          <w:szCs w:val="17"/>
          <w:i w:val="1"/>
          <w:iCs w:val="1"/>
          <w:color w:val="auto"/>
        </w:rPr>
        <w:t>Public Lender</w:t>
      </w:r>
      <w:r>
        <w:rPr>
          <w:rFonts w:ascii="Arial" w:cs="Arial" w:eastAsia="Arial" w:hAnsi="Arial"/>
          <w:sz w:val="17"/>
          <w:szCs w:val="17"/>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such Borrower Materials constitute Information, they shall be treated as set forth in Section 9.16).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8" w:name="page169"/>
    <w:bookmarkEnd w:id="168"/>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Section 5.05 Litigation and Other Notices</w:t>
      </w:r>
      <w:r>
        <w:rPr>
          <w:rFonts w:ascii="Arial" w:cs="Arial" w:eastAsia="Arial" w:hAnsi="Arial"/>
          <w:sz w:val="18"/>
          <w:szCs w:val="18"/>
          <w:color w:val="auto"/>
        </w:rPr>
        <w:t>. Upon obtaining knowledge thereof, furnish to the Administrative Agents prompt written notice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w:t>
      </w:r>
    </w:p>
    <w:p>
      <w:pPr>
        <w:spacing w:after="0" w:line="170" w:lineRule="exact"/>
        <w:rPr>
          <w:sz w:val="20"/>
          <w:szCs w:val="20"/>
          <w:color w:val="auto"/>
        </w:rPr>
      </w:pPr>
    </w:p>
    <w:p>
      <w:pPr>
        <w:ind w:firstLine="656"/>
        <w:spacing w:after="0" w:line="277" w:lineRule="auto"/>
        <w:tabs>
          <w:tab w:leader="none" w:pos="11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Event of Default or Default, specifying the nature and extent thereof and the corrective action (if any) taken or proposed to be taken with respect thereto;</w:t>
      </w:r>
    </w:p>
    <w:p>
      <w:pPr>
        <w:spacing w:after="0" w:line="170" w:lineRule="exact"/>
        <w:rPr>
          <w:rFonts w:ascii="Arial" w:cs="Arial" w:eastAsia="Arial" w:hAnsi="Arial"/>
          <w:sz w:val="18"/>
          <w:szCs w:val="18"/>
          <w:color w:val="auto"/>
        </w:rPr>
      </w:pPr>
    </w:p>
    <w:p>
      <w:pPr>
        <w:ind w:firstLine="656"/>
        <w:spacing w:after="0" w:line="277" w:lineRule="auto"/>
        <w:tabs>
          <w:tab w:leader="none" w:pos="10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70" w:lineRule="exact"/>
        <w:rPr>
          <w:rFonts w:ascii="Arial" w:cs="Arial" w:eastAsia="Arial" w:hAnsi="Arial"/>
          <w:sz w:val="18"/>
          <w:szCs w:val="18"/>
          <w:color w:val="auto"/>
        </w:rPr>
      </w:pPr>
    </w:p>
    <w:p>
      <w:pPr>
        <w:ind w:firstLine="656"/>
        <w:spacing w:after="0" w:line="308" w:lineRule="auto"/>
        <w:tabs>
          <w:tab w:leader="none" w:pos="113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46" w:lineRule="exact"/>
        <w:rPr>
          <w:rFonts w:ascii="Arial" w:cs="Arial" w:eastAsia="Arial" w:hAnsi="Arial"/>
          <w:sz w:val="17"/>
          <w:szCs w:val="17"/>
          <w:color w:val="auto"/>
        </w:rPr>
      </w:pPr>
    </w:p>
    <w:p>
      <w:pPr>
        <w:jc w:val="both"/>
        <w:ind w:firstLine="656"/>
        <w:spacing w:after="0" w:line="254" w:lineRule="auto"/>
        <w:tabs>
          <w:tab w:leader="none" w:pos="11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copy of any form of written notice, summons, material correspondence or citation received from any Governmental Authority or any other person, (i) concerning material violations or alleged violations of Environmental Laws, which seeks or threatens to impose liability on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its Subsidiaries therefor, (ii) alleging liability for any material action or omission on the part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in connection with any Release of Hazardous Material, (iii) providing any written notice of potential responsibility or liability under any Environmental Law, or (iv) concerning the filing of a Lien other than a </w:t>
      </w:r>
      <w:r>
        <w:rPr>
          <w:rFonts w:ascii="Arial" w:cs="Arial" w:eastAsia="Arial" w:hAnsi="Arial"/>
          <w:sz w:val="18"/>
          <w:szCs w:val="18"/>
          <w:b w:val="1"/>
          <w:bCs w:val="1"/>
          <w:color w:val="auto"/>
          <w:strike w:val="1"/>
        </w:rPr>
        <w:t>Permitted</w:t>
      </w:r>
      <w:r>
        <w:rPr>
          <w:rFonts w:ascii="Arial" w:cs="Arial" w:eastAsia="Arial" w:hAnsi="Arial"/>
          <w:sz w:val="18"/>
          <w:szCs w:val="18"/>
          <w:color w:val="auto"/>
        </w:rPr>
        <w:t xml:space="preserve"> Lien </w:t>
      </w:r>
      <w:r>
        <w:rPr>
          <w:rFonts w:ascii="Arial" w:cs="Arial" w:eastAsia="Arial" w:hAnsi="Arial"/>
          <w:sz w:val="18"/>
          <w:szCs w:val="18"/>
          <w:b w:val="1"/>
          <w:bCs w:val="1"/>
          <w:u w:val="single" w:color="auto"/>
          <w:color w:val="auto"/>
        </w:rPr>
        <w:t>permitted by Section 6.02</w:t>
      </w:r>
      <w:r>
        <w:rPr>
          <w:rFonts w:ascii="Arial" w:cs="Arial" w:eastAsia="Arial" w:hAnsi="Arial"/>
          <w:sz w:val="18"/>
          <w:szCs w:val="18"/>
          <w:color w:val="auto"/>
        </w:rPr>
        <w:t xml:space="preserve"> upon, against or in connection with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or any of their leased or owned material property, wherever located, in each of cases (i) through (iv)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individually or in the aggregate, could reasonably be expected to result in a liability (to the extent not covered by insurance)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in an aggregate amount exceeding $25,000,000; or</w:t>
      </w:r>
    </w:p>
    <w:p>
      <w:pPr>
        <w:spacing w:after="0" w:line="192"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development that has resulted in, or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9" w:name="page170"/>
    <w:bookmarkEnd w:id="169"/>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5.06 Information Regarding Collateral</w:t>
      </w:r>
      <w:r>
        <w:rPr>
          <w:rFonts w:ascii="Arial" w:cs="Arial" w:eastAsia="Arial" w:hAnsi="Arial"/>
          <w:sz w:val="18"/>
          <w:szCs w:val="18"/>
          <w:color w:val="auto"/>
        </w:rPr>
        <w:t>. Furnish to the Administrative Agent prompt (and in any event within 30 days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5.07 Maintaining Records; Access to Properties and Inspections</w:t>
      </w:r>
      <w:r>
        <w:rPr>
          <w:rFonts w:ascii="Arial" w:cs="Arial" w:eastAsia="Arial" w:hAnsi="Arial"/>
          <w:sz w:val="18"/>
          <w:szCs w:val="18"/>
          <w:color w:val="auto"/>
        </w:rPr>
        <w:t>. Keep proper books of record and account in which full, true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correct entries in conformity with GAAP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at such reasonable times during normal business hours and as often as may be reasonably desired, upon reasonable advance notice to the applicable Loan Party or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5.08 Use of Proceeds</w:t>
      </w:r>
      <w:r>
        <w:rPr>
          <w:rFonts w:ascii="Arial" w:cs="Arial" w:eastAsia="Arial" w:hAnsi="Arial"/>
          <w:sz w:val="18"/>
          <w:szCs w:val="18"/>
          <w:color w:val="auto"/>
        </w:rPr>
        <w:t>. Use the proceeds of the Loans and request the issuance of Letters of Credit only for the purposes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3.13.</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Section 5.09 Further Assurances</w:t>
      </w:r>
      <w:r>
        <w:rPr>
          <w:rFonts w:ascii="Arial" w:cs="Arial" w:eastAsia="Arial" w:hAnsi="Arial"/>
          <w:sz w:val="16"/>
          <w:szCs w:val="16"/>
          <w:color w:val="auto"/>
        </w:rPr>
        <w:t>. At its sole cost and expense, (a) execute any and all further documents, financing statements, agreements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54" w:lineRule="exact"/>
        <w:rPr>
          <w:sz w:val="20"/>
          <w:szCs w:val="20"/>
          <w:color w:val="auto"/>
        </w:rPr>
      </w:pPr>
    </w:p>
    <w:p>
      <w:pPr>
        <w:ind w:left="1140" w:hanging="484"/>
        <w:spacing w:after="0"/>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Cause any subsequently acquired or organized Domestic Subsidiary </w:t>
      </w:r>
      <w:r>
        <w:rPr>
          <w:rFonts w:ascii="Arial" w:cs="Arial" w:eastAsia="Arial" w:hAnsi="Arial"/>
          <w:sz w:val="16"/>
          <w:szCs w:val="16"/>
          <w:b w:val="1"/>
          <w:bCs w:val="1"/>
          <w:u w:val="single" w:color="auto"/>
          <w:color w:val="auto"/>
        </w:rPr>
        <w:t>that is a Material Subsidiary</w:t>
      </w:r>
      <w:r>
        <w:rPr>
          <w:rFonts w:ascii="Arial" w:cs="Arial" w:eastAsia="Arial" w:hAnsi="Arial"/>
          <w:sz w:val="16"/>
          <w:szCs w:val="16"/>
          <w:color w:val="auto"/>
        </w:rPr>
        <w:t xml:space="preserve"> (other than a Domestic Subsidiary that is</w:t>
      </w:r>
    </w:p>
    <w:p>
      <w:pPr>
        <w:spacing w:after="0" w:line="50" w:lineRule="exact"/>
        <w:rPr>
          <w:rFonts w:ascii="Arial" w:cs="Arial" w:eastAsia="Arial" w:hAnsi="Arial"/>
          <w:sz w:val="16"/>
          <w:szCs w:val="16"/>
          <w:color w:val="auto"/>
        </w:rPr>
      </w:pPr>
    </w:p>
    <w:p>
      <w:pPr>
        <w:jc w:val="both"/>
        <w:ind w:firstLine="8"/>
        <w:spacing w:after="0" w:line="292" w:lineRule="auto"/>
        <w:tabs>
          <w:tab w:leader="none" w:pos="223" w:val="left"/>
        </w:tabs>
        <w:numPr>
          <w:ilvl w:val="0"/>
          <w:numId w:val="127"/>
        </w:numPr>
        <w:rPr>
          <w:rFonts w:ascii="Arial" w:cs="Arial" w:eastAsia="Arial" w:hAnsi="Arial"/>
          <w:sz w:val="16"/>
          <w:szCs w:val="16"/>
          <w:b w:val="1"/>
          <w:bCs w:val="1"/>
          <w:u w:val="single" w:color="auto"/>
          <w:color w:val="auto"/>
        </w:rPr>
      </w:pPr>
      <w:r>
        <w:rPr>
          <w:rFonts w:ascii="Arial" w:cs="Arial" w:eastAsia="Arial" w:hAnsi="Arial"/>
          <w:sz w:val="16"/>
          <w:szCs w:val="16"/>
          <w:color w:val="auto"/>
        </w:rPr>
        <w:t xml:space="preserve">a Subsidiary of a </w:t>
      </w:r>
      <w:r>
        <w:rPr>
          <w:rFonts w:ascii="Arial" w:cs="Arial" w:eastAsia="Arial" w:hAnsi="Arial"/>
          <w:sz w:val="16"/>
          <w:szCs w:val="16"/>
          <w:b w:val="1"/>
          <w:bCs w:val="1"/>
          <w:color w:val="auto"/>
          <w:strike w:val="1"/>
        </w:rPr>
        <w:t>Foreign</w:t>
      </w:r>
      <w:r>
        <w:rPr>
          <w:rFonts w:ascii="Arial" w:cs="Arial" w:eastAsia="Arial" w:hAnsi="Arial"/>
          <w:sz w:val="16"/>
          <w:szCs w:val="16"/>
          <w:b w:val="1"/>
          <w:bCs w:val="1"/>
          <w:u w:val="single" w:color="auto"/>
          <w:color w:val="auto"/>
        </w:rPr>
        <w:t>U.S. Owned</w:t>
      </w:r>
      <w:r>
        <w:rPr>
          <w:rFonts w:ascii="Arial" w:cs="Arial" w:eastAsia="Arial" w:hAnsi="Arial"/>
          <w:sz w:val="16"/>
          <w:szCs w:val="16"/>
          <w:color w:val="auto"/>
        </w:rPr>
        <w:t xml:space="preserve"> Subsidiary or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a FSHCO) </w:t>
      </w:r>
      <w:r>
        <w:rPr>
          <w:rFonts w:ascii="Arial" w:cs="Arial" w:eastAsia="Arial" w:hAnsi="Arial"/>
          <w:sz w:val="16"/>
          <w:szCs w:val="16"/>
          <w:b w:val="1"/>
          <w:bCs w:val="1"/>
          <w:color w:val="auto"/>
          <w:strike w:val="1"/>
        </w:rPr>
        <w:t>that is a Material Subsidiary</w:t>
      </w:r>
      <w:r>
        <w:rPr>
          <w:rFonts w:ascii="Arial" w:cs="Arial" w:eastAsia="Arial" w:hAnsi="Arial"/>
          <w:sz w:val="16"/>
          <w:szCs w:val="16"/>
          <w:color w:val="auto"/>
        </w:rPr>
        <w:t xml:space="preserve"> or any Domestic Subsidiary </w:t>
      </w:r>
      <w:r>
        <w:rPr>
          <w:rFonts w:ascii="Arial" w:cs="Arial" w:eastAsia="Arial" w:hAnsi="Arial"/>
          <w:sz w:val="16"/>
          <w:szCs w:val="16"/>
          <w:b w:val="1"/>
          <w:bCs w:val="1"/>
          <w:color w:val="auto"/>
          <w:strike w:val="1"/>
        </w:rPr>
        <w:t>(other than a Domestic</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Subsidiary that is a Subsidiary of a Foreign Subsidiary or a FSHCO)</w:t>
      </w:r>
      <w:r>
        <w:rPr>
          <w:rFonts w:ascii="Arial" w:cs="Arial" w:eastAsia="Arial" w:hAnsi="Arial"/>
          <w:sz w:val="16"/>
          <w:szCs w:val="16"/>
          <w:b w:val="1"/>
          <w:bCs w:val="1"/>
          <w:color w:val="auto"/>
        </w:rPr>
        <w:t xml:space="preserve"> </w:t>
      </w:r>
      <w:r>
        <w:rPr>
          <w:rFonts w:ascii="Arial" w:cs="Arial" w:eastAsia="Arial" w:hAnsi="Arial"/>
          <w:sz w:val="16"/>
          <w:szCs w:val="16"/>
          <w:color w:val="auto"/>
        </w:rPr>
        <w:t>that was not a Material Subsidiary that subsequently becomes a Material Subsidiary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(other than a Domestic Subsidiary that is (i) a Subsidiary of a U.S. Owned Subsidiary or (ii) a FSHCO)</w:t>
      </w:r>
      <w:r>
        <w:rPr>
          <w:rFonts w:ascii="Arial" w:cs="Arial" w:eastAsia="Arial" w:hAnsi="Arial"/>
          <w:sz w:val="16"/>
          <w:szCs w:val="16"/>
          <w:color w:val="auto"/>
        </w:rPr>
        <w:t>, to execute a supplement making it a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62" w:lineRule="exact"/>
        <w:rPr>
          <w:rFonts w:ascii="Arial" w:cs="Arial" w:eastAsia="Arial" w:hAnsi="Arial"/>
          <w:sz w:val="16"/>
          <w:szCs w:val="16"/>
          <w:b w:val="1"/>
          <w:bCs w:val="1"/>
          <w:u w:val="single" w:color="auto"/>
          <w:color w:val="auto"/>
        </w:rPr>
      </w:pPr>
    </w:p>
    <w:p>
      <w:pPr>
        <w:jc w:val="both"/>
        <w:ind w:firstLine="656"/>
        <w:spacing w:after="0" w:line="273" w:lineRule="auto"/>
        <w:tabs>
          <w:tab w:leader="none" w:pos="113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r>
        <w:rPr>
          <w:rFonts w:ascii="Arial" w:cs="Arial" w:eastAsia="Arial" w:hAnsi="Arial"/>
          <w:sz w:val="17"/>
          <w:szCs w:val="17"/>
          <w:b w:val="1"/>
          <w:bCs w:val="1"/>
          <w:color w:val="auto"/>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that if such Subsidiary is not a U.S. Owned Subsidiary, such Subsidiary shall, within such time,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execute a supplement to the Parent Borrower Guarantee Agreement and each applicable Canadian Security Document to provide a guarantee and security with respect to the Obligations of the U.S. Borrower as well).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jc w:val="both"/>
        <w:ind w:firstLine="656"/>
        <w:spacing w:after="0" w:line="293" w:lineRule="auto"/>
        <w:tabs>
          <w:tab w:leader="none" w:pos="111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Cause any subsequently acquired or organized Australian Subsidiary that is a Material Subsidiary or any Australian Subsidiary that was not a Material Subsidiary that subsequently becomes a Material Subsidiary to execute a supplement to the Australian Guarantee Agreement and </w:t>
      </w:r>
      <w:r>
        <w:rPr>
          <w:rFonts w:ascii="Arial" w:cs="Arial" w:eastAsia="Arial" w:hAnsi="Arial"/>
          <w:sz w:val="16"/>
          <w:szCs w:val="16"/>
          <w:b w:val="1"/>
          <w:bCs w:val="1"/>
          <w:color w:val="auto"/>
          <w:strike w:val="1"/>
        </w:rPr>
        <w:t>each applicable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new</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 Security Document, in each case within thirty (30) days (or such longer period as may be agreed to by the Administrative Agent) after such</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organization or change in status</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that if such Subsidiary is not a U.S. Owned Subsidiary, such Subsidiary shall, within such time,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execute a new deed of guarantee and indemnity and new Australian Security Documents, each in form and substance reasonably satisfactory to the Administrative Agents, to provide a guarantee and security with respect to the Obligations of the U.S. Borrower as well).</w:t>
      </w:r>
    </w:p>
    <w:p>
      <w:pPr>
        <w:spacing w:after="0" w:line="164" w:lineRule="exact"/>
        <w:rPr>
          <w:rFonts w:ascii="Arial" w:cs="Arial" w:eastAsia="Arial" w:hAnsi="Arial"/>
          <w:sz w:val="16"/>
          <w:szCs w:val="16"/>
          <w:color w:val="auto"/>
        </w:rPr>
      </w:pPr>
    </w:p>
    <w:p>
      <w:pPr>
        <w:jc w:val="both"/>
        <w:ind w:firstLine="656"/>
        <w:spacing w:after="0" w:line="267" w:lineRule="auto"/>
        <w:tabs>
          <w:tab w:leader="none" w:pos="112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with respect to the Obligations of the U.S. Borrower, the U.S. Borrower and each Domestic Subsidiary </w:t>
      </w:r>
      <w:r>
        <w:rPr>
          <w:rFonts w:ascii="Arial" w:cs="Arial" w:eastAsia="Arial" w:hAnsi="Arial"/>
          <w:sz w:val="17"/>
          <w:szCs w:val="17"/>
          <w:b w:val="1"/>
          <w:bCs w:val="1"/>
          <w:color w:val="auto"/>
          <w:strike w:val="1"/>
        </w:rPr>
        <w:t>of the U.S.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any Domestic Subsidiary that is a subsidiary of a</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shall pledge substantially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personal property located in the United States (provided that 100% of the Equity Interests of Material Subsidiaries </w:t>
      </w:r>
      <w:r>
        <w:rPr>
          <w:rFonts w:ascii="Arial" w:cs="Arial" w:eastAsia="Arial" w:hAnsi="Arial"/>
          <w:sz w:val="17"/>
          <w:szCs w:val="17"/>
          <w:b w:val="1"/>
          <w:bCs w:val="1"/>
          <w:color w:val="auto"/>
          <w:strike w:val="1"/>
        </w:rPr>
        <w:t>of the U.S. Borrower</w:t>
      </w:r>
      <w:r>
        <w:rPr>
          <w:rFonts w:ascii="Arial" w:cs="Arial" w:eastAsia="Arial" w:hAnsi="Arial"/>
          <w:sz w:val="17"/>
          <w:szCs w:val="17"/>
          <w:color w:val="auto"/>
        </w:rPr>
        <w:t xml:space="preserve"> that are Domestic Subsidiaries (other than a Domestic Subsidiary that is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a subsidiary of a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color w:val="auto"/>
        </w:rPr>
        <w:t xml:space="preserve"> Subsidiary or </w:t>
      </w:r>
      <w:r>
        <w:rPr>
          <w:rFonts w:ascii="Arial" w:cs="Arial" w:eastAsia="Arial" w:hAnsi="Arial"/>
          <w:sz w:val="17"/>
          <w:szCs w:val="17"/>
          <w:b w:val="1"/>
          <w:bCs w:val="1"/>
          <w:color w:val="auto"/>
          <w:strike w:val="1"/>
        </w:rPr>
        <w:t>a Domestic Subsidiary that is</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w:t>
      </w:r>
      <w:r>
        <w:rPr>
          <w:rFonts w:ascii="Arial" w:cs="Arial" w:eastAsia="Arial" w:hAnsi="Arial"/>
          <w:sz w:val="17"/>
          <w:szCs w:val="17"/>
          <w:b w:val="1"/>
          <w:bCs w:val="1"/>
          <w:color w:val="auto"/>
          <w:strike w:val="1"/>
        </w:rPr>
        <w:t>of the U.S.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any Domestic Subsidiary that is a subsidiary of a</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or (ii) a FSHCO shall be pledged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support of the Obligations of the U.S. Borrower), and the Obligations of the Canadian Borrowers and the Australian Borrowers shall be secured by (A) the Collateral securing the U.S. Term Loan Facility and the U.S. Revolving Credit Facility and (B) substantially all the material personal property of the Canadian Borrowers and the Canadian Subsidiary Guarantors and the Australian Borrower and the Australian Subsidiary Guarantors (including personal property which, individually, has an estimated market value in excess of U.S.$1,000,000; 100% of the Equity Interests of Material Subsidiaries of the U.S. Borrower; 100% of the Equity Interests of the Canadian Borrowers and the Australian Borrower; 100% of the Equity Interests of certain subsidiaries of the Canadian Borrowers; and 100% of the Equity Interests of certain subsidiaries of the Australian Borrower)).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jc w:val="both"/>
        <w:ind w:firstLine="656"/>
        <w:spacing w:after="0" w:line="289" w:lineRule="auto"/>
        <w:tabs>
          <w:tab w:leader="none" w:pos="1206" w:val="left"/>
        </w:tabs>
        <w:numPr>
          <w:ilvl w:val="1"/>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If, after the First Amendment Effective Date, without duplication, the Parent Borrower acquires or forms a Subsidiary or any </w:t>
      </w:r>
      <w:r>
        <w:rPr>
          <w:rFonts w:ascii="Arial" w:cs="Arial" w:eastAsia="Arial" w:hAnsi="Arial"/>
          <w:sz w:val="16"/>
          <w:szCs w:val="16"/>
          <w:b w:val="1"/>
          <w:bCs w:val="1"/>
          <w:u w:val="single" w:color="auto"/>
          <w:color w:val="auto"/>
        </w:rPr>
        <w:t>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w:t>
      </w:r>
    </w:p>
    <w:p>
      <w:pPr>
        <w:spacing w:after="0" w:line="1" w:lineRule="exact"/>
        <w:rPr>
          <w:rFonts w:ascii="Arial" w:cs="Arial" w:eastAsia="Arial" w:hAnsi="Arial"/>
          <w:sz w:val="16"/>
          <w:szCs w:val="16"/>
          <w:b w:val="1"/>
          <w:bCs w:val="1"/>
          <w:color w:val="auto"/>
        </w:rPr>
      </w:pPr>
    </w:p>
    <w:p>
      <w:pPr>
        <w:jc w:val="both"/>
        <w:ind w:firstLine="8"/>
        <w:spacing w:after="0" w:line="254" w:lineRule="auto"/>
        <w:tabs>
          <w:tab w:leader="none" w:pos="350" w:val="left"/>
        </w:tabs>
        <w:numPr>
          <w:ilvl w:val="0"/>
          <w:numId w:val="13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days (or such longer period as may be agreed to by the Administrative Agent) after such acquisition or formation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the limitations laid out in connection with the guarantee and security with respect to the Obligations of the U.S. Borrower in the foregoing paragraphs shall apply mutatis mutandis with respect to any relevant Subsidiary acquired or formed by the Parent Borrower after the First Amendment Effective Date that is not specifically addressed in such foregoing paragraphs).</w:t>
      </w:r>
    </w:p>
    <w:p>
      <w:pPr>
        <w:spacing w:after="0" w:line="185" w:lineRule="exact"/>
        <w:rPr>
          <w:rFonts w:ascii="Arial" w:cs="Arial" w:eastAsia="Arial" w:hAnsi="Arial"/>
          <w:sz w:val="18"/>
          <w:szCs w:val="18"/>
          <w:b w:val="1"/>
          <w:bCs w:val="1"/>
          <w:u w:val="single" w:color="auto"/>
          <w:color w:val="auto"/>
        </w:rPr>
      </w:pPr>
    </w:p>
    <w:p>
      <w:pPr>
        <w:jc w:val="both"/>
        <w:ind w:firstLine="656"/>
        <w:spacing w:after="0" w:line="272" w:lineRule="auto"/>
        <w:tabs>
          <w:tab w:leader="none" w:pos="1181" w:val="left"/>
        </w:tabs>
        <w:numPr>
          <w:ilvl w:val="1"/>
          <w:numId w:val="130"/>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If, after the First Amendment Effective Date, any of the Canadian Borrowers, the Australian Borrower, the Canadian Subsidiary Guarantors, the Australian Subsidiary Guarantors or any other U.S. Owned Subsidiary, as applicable, ceases to be a “controlled foreign corporation” within the meaning of Section 957 of the Code, or a Domestic Subsidiary that was previously a FSHCO ceases to be a FSHCO or a Domestic Subsidiary that was previously owned by a U.S. Owned Subsidiary ceases to be owned by a U.S. Owned Subsidiary (provided, in the case of a Domestic Subsidiary that was both a FSHCO and owned by a U.S. Owned Subsidiary, such Domestic Subsidiary both ceases to be a FSHCO and ceases to be owned by a U.S. Owned Subsidiary), such person shall provide a guarantee and security with respect to the Obligations of the U.S. Borrower in form and substance reasonably satisfactory to the Collateral Agents, in each case within thirty (30) days (or such longer period as may be agreed to by the Administrative Agent) after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-2082165</wp:posOffset>
            </wp:positionV>
            <wp:extent cx="68262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-2099310</wp:posOffset>
            </wp:positionV>
            <wp:extent cx="68268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26885" cy="8890"/>
                    </a:xfrm>
                    <a:prstGeom prst="rect">
                      <a:avLst/>
                    </a:prstGeom>
                    <a:noFill/>
                  </pic:spPr>
                </pic:pic>
              </a:graphicData>
            </a:graphic>
          </wp:anchor>
        </w:drawing>
      </w:r>
    </w:p>
    <w:p>
      <w:pPr>
        <w:spacing w:after="0" w:line="152" w:lineRule="exact"/>
        <w:rPr>
          <w:sz w:val="20"/>
          <w:szCs w:val="20"/>
          <w:color w:val="auto"/>
        </w:rPr>
      </w:pPr>
    </w:p>
    <w:p>
      <w:pPr>
        <w:jc w:val="both"/>
        <w:ind w:firstLine="656"/>
        <w:spacing w:after="0" w:line="261" w:lineRule="auto"/>
        <w:tabs>
          <w:tab w:leader="none" w:pos="873" w:val="left"/>
        </w:tabs>
        <w:numPr>
          <w:ilvl w:val="0"/>
          <w:numId w:val="13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Within three Business Days following the Funding Date, the Administrative Agent shall have received evidence reasonably satisfactory to it that the Spin-Off shall have been consummated pursuant to and in accordance with the provisions of the Separation Agreement without giving effect to any waiver or modification of any provision thereof that is materially adverse to the interest of the Lenders and that is not approved by the Administrative Agent (such consent not to be unreasonably withheld or delayed).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strike w:val="1"/>
        </w:rPr>
        <w:t xml:space="preserve">SECTION 5.10 </w:t>
      </w:r>
      <w:r>
        <w:rPr>
          <w:rFonts w:ascii="Arial" w:cs="Arial" w:eastAsia="Arial" w:hAnsi="Arial"/>
          <w:sz w:val="18"/>
          <w:szCs w:val="18"/>
          <w:b w:val="1"/>
          <w:bCs w:val="1"/>
          <w:i w:val="1"/>
          <w:iCs w:val="1"/>
          <w:color w:val="auto"/>
          <w:strike w:val="1"/>
        </w:rPr>
        <w:t>Mortgage Duty</w:t>
      </w:r>
      <w:r>
        <w:rPr>
          <w:rFonts w:ascii="Arial" w:cs="Arial" w:eastAsia="Arial" w:hAnsi="Arial"/>
          <w:sz w:val="18"/>
          <w:szCs w:val="18"/>
          <w:b w:val="1"/>
          <w:bCs w:val="1"/>
          <w:color w:val="auto"/>
          <w:strike w:val="1"/>
        </w:rPr>
        <w:t>. The Australian Borrower will ensure that, within 45 days of the Funding Date or such extended time as the Australian Collateral Agent shall permit in its sole discretion, the Australian Collateral Agent shall have received (a) a multi-jurisdictional mortgage statement signed on behalf of each Australian Loan Party where any of the Collateral the subject of the Australian Security Deed is situated or taken under the Duties Act 1997 (NSW) to be situated in New South Wales, Australia, and (b) cleared funds sufficient to pay any duty payable as determined on the basis of the multi-jurisdictional mortgage statement.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2" w:name="page173"/>
    <w:bookmarkEnd w:id="172"/>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 xml:space="preserve">SECTION 5.11 </w:t>
      </w:r>
      <w:r>
        <w:rPr>
          <w:rFonts w:ascii="Arial" w:cs="Arial" w:eastAsia="Arial" w:hAnsi="Arial"/>
          <w:sz w:val="18"/>
          <w:szCs w:val="18"/>
          <w:b w:val="1"/>
          <w:bCs w:val="1"/>
          <w:i w:val="1"/>
          <w:iCs w:val="1"/>
          <w:color w:val="auto"/>
          <w:strike w:val="1"/>
        </w:rPr>
        <w:t>Actions Following Whitewash</w:t>
      </w:r>
      <w:r>
        <w:rPr>
          <w:rFonts w:ascii="Arial" w:cs="Arial" w:eastAsia="Arial" w:hAnsi="Arial"/>
          <w:sz w:val="18"/>
          <w:szCs w:val="18"/>
          <w:b w:val="1"/>
          <w:bCs w:val="1"/>
          <w:color w:val="auto"/>
          <w:strike w:val="1"/>
        </w:rPr>
        <w:t>. On or before the later of (a) the Closing Date and (b) the date that is three Business Days following satisfaction of the condition in Section 4.01(d)(i), execute the Australian Guarantee Agreement, each Australian Security Document and each other document set forth in Section 4.01(d)(iii).</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 xml:space="preserve">SECTION 5.12 </w:t>
      </w:r>
      <w:r>
        <w:rPr>
          <w:rFonts w:ascii="Arial" w:cs="Arial" w:eastAsia="Arial" w:hAnsi="Arial"/>
          <w:sz w:val="18"/>
          <w:szCs w:val="18"/>
          <w:b w:val="1"/>
          <w:bCs w:val="1"/>
          <w:i w:val="1"/>
          <w:iCs w:val="1"/>
          <w:color w:val="auto"/>
          <w:strike w:val="1"/>
        </w:rPr>
        <w:t>Australian Real Property</w:t>
      </w:r>
      <w:r>
        <w:rPr>
          <w:rFonts w:ascii="Arial" w:cs="Arial" w:eastAsia="Arial" w:hAnsi="Arial"/>
          <w:sz w:val="18"/>
          <w:szCs w:val="18"/>
          <w:b w:val="1"/>
          <w:bCs w:val="1"/>
          <w:color w:val="auto"/>
          <w:strike w:val="1"/>
        </w:rPr>
        <w:t>. Cause that all real property interests held as of the Closing Date or acquired by any Australian Loan Party be conveyed to the Affiliate Australian Land Company within 180 days (180) days of the Closing Date or acquisition (as the case may be).</w:t>
      </w:r>
    </w:p>
    <w:p>
      <w:pPr>
        <w:spacing w:after="0" w:line="176" w:lineRule="exact"/>
        <w:rPr>
          <w:sz w:val="20"/>
          <w:szCs w:val="20"/>
          <w:color w:val="auto"/>
        </w:rPr>
      </w:pPr>
    </w:p>
    <w:p>
      <w:pPr>
        <w:jc w:val="both"/>
        <w:ind w:firstLine="656"/>
        <w:spacing w:after="0" w:line="261" w:lineRule="auto"/>
        <w:tabs>
          <w:tab w:leader="none" w:pos="1175" w:val="left"/>
        </w:tabs>
        <w:numPr>
          <w:ilvl w:val="0"/>
          <w:numId w:val="1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Notwithstanding anything to the contrary contained herein, this Section 5.09 shall not apply to limit or diminish any guarantee or security provided as of the First Amendment Effective Date by a Subsidiary with respect to the Obligations (including as a result of a change in the ownership of such Subsidiary pursuant to a reorganization subsequent to the First Amendment Effective Date or otherwise) without the consent of the Administrative Agent (not to be unreasonably withheld or delayed).</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Negative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6.01</w:t>
      </w:r>
      <w:r>
        <w:rPr>
          <w:sz w:val="20"/>
          <w:szCs w:val="20"/>
          <w:color w:val="auto"/>
        </w:rPr>
        <w:tab/>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On or after the Closing Date, incur, create, assume or permit to exist any Indebtedness, except:</w:t>
      </w:r>
    </w:p>
    <w:p>
      <w:pPr>
        <w:spacing w:after="0" w:line="221" w:lineRule="exact"/>
        <w:rPr>
          <w:sz w:val="20"/>
          <w:szCs w:val="20"/>
          <w:color w:val="auto"/>
        </w:rPr>
      </w:pPr>
    </w:p>
    <w:p>
      <w:pPr>
        <w:jc w:val="both"/>
        <w:ind w:firstLine="656"/>
        <w:spacing w:after="0" w:line="261" w:lineRule="auto"/>
        <w:tabs>
          <w:tab w:leader="none" w:pos="11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b w:val="1"/>
          <w:bCs w:val="1"/>
          <w:color w:val="auto"/>
          <w:strike w:val="1"/>
        </w:rPr>
        <w:t>existing on the date hereof and</w:t>
      </w:r>
      <w:r>
        <w:rPr>
          <w:rFonts w:ascii="Arial" w:cs="Arial" w:eastAsia="Arial" w:hAnsi="Arial"/>
          <w:sz w:val="18"/>
          <w:szCs w:val="18"/>
          <w:color w:val="auto"/>
        </w:rPr>
        <w:t xml:space="preserve"> set forth in Schedule 6.01, and any extensions, renewals or replacements of such Indebtedness to the extent the principal amount of such Indebtedness is not increased, neither the final maturity nor the weighted average life to maturity of such Indebtedness is decreased, such Indebtedness, if subordinated to the Obligations, remains so subordinated on terms not less favorable to the Lenders and the original obligors in respect of such Indebtedness remain the only obligors thereon;</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created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3" w:name="page174"/>
    <w:bookmarkEnd w:id="173"/>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intercompany Indebtedness of the Borrowers and the Subsidiaries to the extent permitted by Sections 6.04(a), (f), (g), (k) and (l);</w:t>
      </w:r>
    </w:p>
    <w:p>
      <w:pPr>
        <w:spacing w:after="0" w:line="225" w:lineRule="exact"/>
        <w:rPr>
          <w:rFonts w:ascii="Arial" w:cs="Arial" w:eastAsia="Arial" w:hAnsi="Arial"/>
          <w:sz w:val="18"/>
          <w:szCs w:val="18"/>
          <w:color w:val="auto"/>
        </w:rPr>
      </w:pPr>
    </w:p>
    <w:p>
      <w:pPr>
        <w:ind w:firstLine="656"/>
        <w:spacing w:after="0" w:line="277" w:lineRule="auto"/>
        <w:tabs>
          <w:tab w:leader="none" w:pos="11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66" w:lineRule="exact"/>
        <w:rPr>
          <w:rFonts w:ascii="Arial" w:cs="Arial" w:eastAsia="Arial" w:hAnsi="Arial"/>
          <w:sz w:val="18"/>
          <w:szCs w:val="18"/>
          <w:color w:val="auto"/>
        </w:rPr>
      </w:pPr>
    </w:p>
    <w:p>
      <w:pPr>
        <w:jc w:val="both"/>
        <w:ind w:firstLine="656"/>
        <w:spacing w:after="0" w:line="292"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unsecured Indebtedness issued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guarantees thereof by </w:t>
      </w:r>
      <w:r>
        <w:rPr>
          <w:rFonts w:ascii="Arial" w:cs="Arial" w:eastAsia="Arial" w:hAnsi="Arial"/>
          <w:sz w:val="16"/>
          <w:szCs w:val="16"/>
          <w:b w:val="1"/>
          <w:bCs w:val="1"/>
          <w:color w:val="auto"/>
          <w:strike w:val="1"/>
        </w:rPr>
        <w:t>the U.S.</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Subsidiary </w:t>
      </w:r>
      <w:r>
        <w:rPr>
          <w:rFonts w:ascii="Arial" w:cs="Arial" w:eastAsia="Arial" w:hAnsi="Arial"/>
          <w:sz w:val="16"/>
          <w:szCs w:val="16"/>
          <w:b w:val="1"/>
          <w:bCs w:val="1"/>
          <w:color w:val="auto"/>
          <w:strike w:val="1"/>
        </w:rPr>
        <w:t>Guarantors</w:t>
      </w:r>
      <w:r>
        <w:rPr>
          <w:rFonts w:ascii="Arial" w:cs="Arial" w:eastAsia="Arial" w:hAnsi="Arial"/>
          <w:sz w:val="16"/>
          <w:szCs w:val="16"/>
          <w:b w:val="1"/>
          <w:bCs w:val="1"/>
          <w:u w:val="single" w:color="auto"/>
          <w:color w:val="auto"/>
        </w:rPr>
        <w:t>Guarantor not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otherwise permitted under this Section 6.01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as of the date of issuance,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Leverage Ratio is less than 3.50 to 1.00, (ii)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would be in compliance with the </w:t>
      </w:r>
      <w:r>
        <w:rPr>
          <w:rFonts w:ascii="Arial" w:cs="Arial" w:eastAsia="Arial" w:hAnsi="Arial"/>
          <w:sz w:val="16"/>
          <w:szCs w:val="16"/>
          <w:b w:val="1"/>
          <w:bCs w:val="1"/>
          <w:color w:val="auto"/>
          <w:strike w:val="1"/>
        </w:rPr>
        <w:t>covenants</w:t>
      </w:r>
      <w:r>
        <w:rPr>
          <w:rFonts w:ascii="Arial" w:cs="Arial" w:eastAsia="Arial" w:hAnsi="Arial"/>
          <w:sz w:val="16"/>
          <w:szCs w:val="16"/>
          <w:b w:val="1"/>
          <w:bCs w:val="1"/>
          <w:u w:val="single" w:color="auto"/>
          <w:color w:val="auto"/>
        </w:rPr>
        <w:t>covenant</w:t>
      </w:r>
      <w:r>
        <w:rPr>
          <w:rFonts w:ascii="Arial" w:cs="Arial" w:eastAsia="Arial" w:hAnsi="Arial"/>
          <w:sz w:val="16"/>
          <w:szCs w:val="16"/>
          <w:color w:val="auto"/>
        </w:rPr>
        <w:t xml:space="preserve"> set forth in </w:t>
      </w:r>
      <w:r>
        <w:rPr>
          <w:rFonts w:ascii="Arial" w:cs="Arial" w:eastAsia="Arial" w:hAnsi="Arial"/>
          <w:sz w:val="16"/>
          <w:szCs w:val="16"/>
          <w:b w:val="1"/>
          <w:bCs w:val="1"/>
          <w:color w:val="auto"/>
          <w:strike w:val="1"/>
        </w:rPr>
        <w:t>Sections</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6.10 </w:t>
      </w:r>
      <w:r>
        <w:rPr>
          <w:rFonts w:ascii="Arial" w:cs="Arial" w:eastAsia="Arial" w:hAnsi="Arial"/>
          <w:sz w:val="16"/>
          <w:szCs w:val="16"/>
          <w:b w:val="1"/>
          <w:bCs w:val="1"/>
          <w:color w:val="auto"/>
          <w:strike w:val="1"/>
        </w:rPr>
        <w:t>and 6.11</w:t>
      </w:r>
      <w:r>
        <w:rPr>
          <w:rFonts w:ascii="Arial" w:cs="Arial" w:eastAsia="Arial" w:hAnsi="Arial"/>
          <w:sz w:val="16"/>
          <w:szCs w:val="16"/>
          <w:color w:val="auto"/>
        </w:rPr>
        <w:t xml:space="preserve"> as of the most recently completed period of four consecutive fiscal quarters ending prior to such transaction for which the financial statements required by Section 5.04(a) or 5.04(b) have been delivered or for which comparable financial statements have been filed with the SEC, </w:t>
      </w:r>
      <w:r>
        <w:rPr>
          <w:rFonts w:ascii="Arial" w:cs="Arial" w:eastAsia="Arial" w:hAnsi="Arial"/>
          <w:sz w:val="16"/>
          <w:szCs w:val="16"/>
          <w:b w:val="1"/>
          <w:bCs w:val="1"/>
          <w:u w:val="single" w:color="auto"/>
          <w:color w:val="auto"/>
        </w:rPr>
        <w:t>in the case of each of (i) and (ii)</w:t>
      </w:r>
      <w:r>
        <w:rPr>
          <w:rFonts w:ascii="Arial" w:cs="Arial" w:eastAsia="Arial" w:hAnsi="Arial"/>
          <w:sz w:val="16"/>
          <w:szCs w:val="16"/>
          <w:color w:val="auto"/>
        </w:rPr>
        <w:t xml:space="preserve">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(using the criteria therefor described in Section 6.04(i)) to such transaction as if such transaction had occurred as of the first day of such period </w:t>
      </w:r>
      <w:r>
        <w:rPr>
          <w:rFonts w:ascii="Arial" w:cs="Arial" w:eastAsia="Arial" w:hAnsi="Arial"/>
          <w:sz w:val="16"/>
          <w:szCs w:val="16"/>
          <w:b w:val="1"/>
          <w:bCs w:val="1"/>
          <w:color w:val="auto"/>
        </w:rPr>
        <w:t>and (iii) the proceeds of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Indebtedness are applied as a mandatory prepayment of the Term Loans in accordance with Section 2.12(c)</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656"/>
        <w:spacing w:after="0" w:line="273" w:lineRule="auto"/>
        <w:tabs>
          <w:tab w:leader="none" w:pos="119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secured Indebtedness of </w:t>
      </w:r>
      <w:r>
        <w:rPr>
          <w:rFonts w:ascii="Arial" w:cs="Arial" w:eastAsia="Arial" w:hAnsi="Arial"/>
          <w:sz w:val="17"/>
          <w:szCs w:val="17"/>
          <w:b w:val="1"/>
          <w:bCs w:val="1"/>
          <w:color w:val="auto"/>
          <w:strike w:val="1"/>
        </w:rPr>
        <w:t>the U.S.</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Borrower and guarantees thereof by </w:t>
      </w:r>
      <w:r>
        <w:rPr>
          <w:rFonts w:ascii="Arial" w:cs="Arial" w:eastAsia="Arial" w:hAnsi="Arial"/>
          <w:sz w:val="17"/>
          <w:szCs w:val="17"/>
          <w:b w:val="1"/>
          <w:bCs w:val="1"/>
          <w:color w:val="auto"/>
          <w:strike w:val="1"/>
        </w:rPr>
        <w:t>the U.S. Subsidiary Guarantors</w:t>
      </w:r>
      <w:r>
        <w:rPr>
          <w:rFonts w:ascii="Arial" w:cs="Arial" w:eastAsia="Arial" w:hAnsi="Arial"/>
          <w:sz w:val="17"/>
          <w:szCs w:val="17"/>
          <w:b w:val="1"/>
          <w:bCs w:val="1"/>
          <w:u w:val="single" w:color="auto"/>
          <w:color w:val="auto"/>
        </w:rPr>
        <w:t>any Guarantor</w:t>
      </w:r>
      <w:r>
        <w:rPr>
          <w:rFonts w:ascii="Arial" w:cs="Arial" w:eastAsia="Arial" w:hAnsi="Arial"/>
          <w:sz w:val="17"/>
          <w:szCs w:val="17"/>
          <w:color w:val="auto"/>
        </w:rPr>
        <w:t xml:space="preserve"> not otherwise permitted under this Section 6.01;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r>
        <w:rPr>
          <w:rFonts w:ascii="Arial" w:cs="Arial" w:eastAsia="Arial" w:hAnsi="Arial"/>
          <w:sz w:val="17"/>
          <w:szCs w:val="17"/>
          <w:b w:val="1"/>
          <w:bCs w:val="1"/>
          <w:color w:val="auto"/>
          <w:strike w:val="1"/>
        </w:rPr>
        <w:t>, as of the date of incurrence,</w:t>
      </w:r>
      <w:r>
        <w:rPr>
          <w:rFonts w:ascii="Arial" w:cs="Arial" w:eastAsia="Arial" w:hAnsi="Arial"/>
          <w:sz w:val="17"/>
          <w:szCs w:val="17"/>
          <w:color w:val="auto"/>
        </w:rPr>
        <w:t xml:space="preserve"> (i) the Liens securing such </w:t>
      </w:r>
      <w:r>
        <w:rPr>
          <w:rFonts w:ascii="Arial" w:cs="Arial" w:eastAsia="Arial" w:hAnsi="Arial"/>
          <w:sz w:val="17"/>
          <w:szCs w:val="17"/>
          <w:b w:val="1"/>
          <w:bCs w:val="1"/>
          <w:color w:val="auto"/>
          <w:strike w:val="1"/>
        </w:rPr>
        <w:t>Debt</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are permitted under Section 6.02(j) and (ii) the </w:t>
      </w:r>
      <w:r>
        <w:rPr>
          <w:rFonts w:ascii="Arial" w:cs="Arial" w:eastAsia="Arial" w:hAnsi="Arial"/>
          <w:sz w:val="17"/>
          <w:szCs w:val="17"/>
          <w:b w:val="1"/>
          <w:bCs w:val="1"/>
          <w:color w:val="auto"/>
          <w:strike w:val="1"/>
        </w:rPr>
        <w:t>U.S. Borrower would be in compliance with the covenants set forth in Sections 6.10 and 6.11 as of the most recently completed</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 xml:space="preserve">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7"/>
          <w:szCs w:val="17"/>
          <w:b w:val="1"/>
          <w:bCs w:val="1"/>
          <w:i w:val="1"/>
          <w:iCs w:val="1"/>
          <w:color w:val="auto"/>
          <w:strike w:val="1"/>
        </w:rPr>
        <w:t>pro forma</w:t>
      </w:r>
      <w:r>
        <w:rPr>
          <w:rFonts w:ascii="Arial" w:cs="Arial" w:eastAsia="Arial" w:hAnsi="Arial"/>
          <w:sz w:val="17"/>
          <w:szCs w:val="17"/>
          <w:b w:val="1"/>
          <w:bCs w:val="1"/>
          <w:color w:val="auto"/>
          <w:strike w:val="1"/>
        </w:rPr>
        <w:t xml:space="preserve"> effect (using the criteria therefor described in Section 6.04(i)) to such transaction as if such transaction had occurred as of the first day of such period; and</w:t>
      </w:r>
      <w:r>
        <w:rPr>
          <w:rFonts w:ascii="Arial" w:cs="Arial" w:eastAsia="Arial" w:hAnsi="Arial"/>
          <w:sz w:val="17"/>
          <w:szCs w:val="17"/>
          <w:b w:val="1"/>
          <w:bCs w:val="1"/>
          <w:u w:val="single" w:color="auto"/>
          <w:color w:val="auto"/>
          <w:strike w:val="1"/>
        </w:rPr>
        <w:t>aggregate</w:t>
      </w:r>
      <w:r>
        <w:rPr>
          <w:rFonts w:ascii="Arial" w:cs="Arial" w:eastAsia="Arial" w:hAnsi="Arial"/>
          <w:sz w:val="17"/>
          <w:szCs w:val="17"/>
          <w:b w:val="1"/>
          <w:bCs w:val="1"/>
          <w:color w:val="auto"/>
          <w:strike w:val="1"/>
        </w:rPr>
        <w:t xml:space="preserve"> </w:t>
      </w:r>
      <w:r>
        <w:rPr>
          <w:rFonts w:ascii="Arial" w:cs="Arial" w:eastAsia="Arial" w:hAnsi="Arial"/>
          <w:sz w:val="17"/>
          <w:szCs w:val="17"/>
          <w:b w:val="1"/>
          <w:bCs w:val="1"/>
          <w:u w:val="single" w:color="auto"/>
          <w:color w:val="auto"/>
          <w:strike w:val="1"/>
        </w:rPr>
        <w:t>principal amount of such Indebtedness does not exceed $20,000,000 at any time outstanding; and</w:t>
      </w:r>
    </w:p>
    <w:p>
      <w:pPr>
        <w:spacing w:after="0" w:line="172" w:lineRule="exact"/>
        <w:rPr>
          <w:rFonts w:ascii="Arial" w:cs="Arial" w:eastAsia="Arial" w:hAnsi="Arial"/>
          <w:sz w:val="17"/>
          <w:szCs w:val="17"/>
          <w:color w:val="auto"/>
        </w:rPr>
      </w:pPr>
    </w:p>
    <w:p>
      <w:pPr>
        <w:jc w:val="both"/>
        <w:ind w:firstLine="656"/>
        <w:spacing w:after="0" w:line="266" w:lineRule="auto"/>
        <w:tabs>
          <w:tab w:leader="none" w:pos="11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Indebtedness of the Subsidiaries and guaranties thereunder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in an aggregate principal amount not to exceed </w:t>
      </w:r>
      <w:r>
        <w:rPr>
          <w:rFonts w:ascii="Arial" w:cs="Arial" w:eastAsia="Arial" w:hAnsi="Arial"/>
          <w:sz w:val="18"/>
          <w:szCs w:val="18"/>
          <w:b w:val="1"/>
          <w:bCs w:val="1"/>
          <w:color w:val="auto"/>
          <w:strike w:val="1"/>
        </w:rPr>
        <w:t>when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incurred 5% of the U.S. Borrower’s Consolidated Net Worth calculated as of the most recent fiscal quarter for which financial statements are available</w:t>
      </w:r>
      <w:r>
        <w:rPr>
          <w:rFonts w:ascii="Arial" w:cs="Arial" w:eastAsia="Arial" w:hAnsi="Arial"/>
          <w:sz w:val="18"/>
          <w:szCs w:val="18"/>
          <w:b w:val="1"/>
          <w:bCs w:val="1"/>
          <w:u w:val="single" w:color="auto"/>
          <w:color w:val="auto"/>
          <w:strike w:val="1"/>
        </w:rPr>
        <w:t>$25,000,000 at any time outstanding</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-1805305</wp:posOffset>
            </wp:positionV>
            <wp:extent cx="1449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-1822450</wp:posOffset>
            </wp:positionV>
            <wp:extent cx="14522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6.02 Liens</w:t>
      </w:r>
      <w:r>
        <w:rPr>
          <w:rFonts w:ascii="Arial" w:cs="Arial" w:eastAsia="Arial" w:hAnsi="Arial"/>
          <w:sz w:val="18"/>
          <w:szCs w:val="18"/>
          <w:color w:val="auto"/>
        </w:rPr>
        <w:t>. On or after the Closing Date, create, incur, assume or permit to exist any Lien on any property or assets (including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securities of any person, including any Subsidiary) now owned or hereafter acquired by it or on any income or revenues or rights in respect of any thereof, except:</w:t>
      </w:r>
    </w:p>
    <w:p>
      <w:pPr>
        <w:spacing w:after="0" w:line="181" w:lineRule="exact"/>
        <w:rPr>
          <w:sz w:val="20"/>
          <w:szCs w:val="20"/>
          <w:color w:val="auto"/>
        </w:rPr>
      </w:pPr>
    </w:p>
    <w:p>
      <w:pPr>
        <w:ind w:firstLine="656"/>
        <w:spacing w:after="0" w:line="277" w:lineRule="auto"/>
        <w:tabs>
          <w:tab w:leader="none" w:pos="11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set forth in Schedule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secure only those obligations which they secure on the date hereof and extensions, renewals and replacements thereof permitted hereunder;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Lien created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4" w:name="page175"/>
    <w:bookmarkEnd w:id="174"/>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compliance with Section 5.03;</w:t>
      </w:r>
    </w:p>
    <w:p>
      <w:pPr>
        <w:spacing w:after="0" w:line="225" w:lineRule="exact"/>
        <w:rPr>
          <w:rFonts w:ascii="Arial" w:cs="Arial" w:eastAsia="Arial" w:hAnsi="Arial"/>
          <w:sz w:val="18"/>
          <w:szCs w:val="18"/>
          <w:color w:val="auto"/>
        </w:rPr>
      </w:pPr>
    </w:p>
    <w:p>
      <w:pPr>
        <w:ind w:right="20" w:firstLine="656"/>
        <w:spacing w:after="0" w:line="277" w:lineRule="auto"/>
        <w:tabs>
          <w:tab w:leader="none" w:pos="111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70" w:lineRule="exact"/>
        <w:rPr>
          <w:rFonts w:ascii="Arial" w:cs="Arial" w:eastAsia="Arial" w:hAnsi="Arial"/>
          <w:sz w:val="18"/>
          <w:szCs w:val="18"/>
          <w:color w:val="auto"/>
        </w:rPr>
      </w:pPr>
    </w:p>
    <w:p>
      <w:pPr>
        <w:ind w:firstLine="656"/>
        <w:spacing w:after="0" w:line="277" w:lineRule="auto"/>
        <w:tabs>
          <w:tab w:leader="none" w:pos="11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(other than any Lien imposed by ERISA), 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ind w:firstLine="656"/>
        <w:spacing w:after="0" w:line="308" w:lineRule="auto"/>
        <w:tabs>
          <w:tab w:leader="none" w:pos="106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judgments or awards (and any cash and the fair market value of any property subject to such Liens) does not exceed U.S.$10,000,000 at any time outstanding;</w:t>
      </w:r>
    </w:p>
    <w:p>
      <w:pPr>
        <w:spacing w:after="0" w:line="186" w:lineRule="exact"/>
        <w:rPr>
          <w:rFonts w:ascii="Arial" w:cs="Arial" w:eastAsia="Arial" w:hAnsi="Arial"/>
          <w:sz w:val="18"/>
          <w:szCs w:val="18"/>
          <w:color w:val="auto"/>
        </w:rPr>
      </w:pPr>
    </w:p>
    <w:p>
      <w:pPr>
        <w:ind w:right="20" w:firstLine="656"/>
        <w:spacing w:after="0" w:line="277" w:lineRule="auto"/>
        <w:tabs>
          <w:tab w:leader="none" w:pos="10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on certain general intangibles of the Canadian Parent in favor of 3045843 Nova Scotia Company to secure certain intercompany debt of the Canadian Parent permitted by Section 6.04;</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12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in real property, improvements thereto or equipment hereafter acquired (or, in the case of improvements, constructed) by the Borrowers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equipment at the time of such acquisition (or construction) and (iv) such security interests do not apply to any other property or assets of the Borrowers or any Subsidiary;</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Liens on Equity Interests in a Special Purpose Business Entity incurred for the purpose of providing independent financing for such Special Purpose Business Entity;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Liens are non-recourse as to the Canadian Parent or any of its Subsidiaries holding any Equity Interests in such Special Purpose Business Entity;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5" w:name="page176"/>
    <w:bookmarkEnd w:id="175"/>
    <w:p>
      <w:pPr>
        <w:jc w:val="both"/>
        <w:ind w:firstLine="656"/>
        <w:spacing w:after="0" w:line="297" w:lineRule="auto"/>
        <w:tabs>
          <w:tab w:leader="none" w:pos="1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Liens securing Indebtedness and not otherwise permitted under this Section 6.02;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all </w:t>
      </w:r>
      <w:r>
        <w:rPr>
          <w:rFonts w:ascii="Arial" w:cs="Arial" w:eastAsia="Arial" w:hAnsi="Arial"/>
          <w:sz w:val="16"/>
          <w:szCs w:val="16"/>
          <w:b w:val="1"/>
          <w:bCs w:val="1"/>
          <w:color w:val="auto"/>
          <w:strike w:val="1"/>
        </w:rPr>
        <w:t>Debt</w:t>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by such Liens does not exceed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5% of the U.S. Borrower’s Consolidated Net Worth calculated on the date of incurrence as of</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 xml:space="preserve">the most recent fiscal quarter for which financial statements are available; </w:t>
      </w:r>
      <w:r>
        <w:rPr>
          <w:rFonts w:ascii="Arial" w:cs="Arial" w:eastAsia="Arial" w:hAnsi="Arial"/>
          <w:sz w:val="16"/>
          <w:szCs w:val="16"/>
          <w:b w:val="1"/>
          <w:bCs w:val="1"/>
          <w:i w:val="1"/>
          <w:iCs w:val="1"/>
          <w:color w:val="auto"/>
          <w:strike w:val="1"/>
        </w:rPr>
        <w:t>provided further</w:t>
      </w:r>
      <w:r>
        <w:rPr>
          <w:rFonts w:ascii="Arial" w:cs="Arial" w:eastAsia="Arial" w:hAnsi="Arial"/>
          <w:sz w:val="16"/>
          <w:szCs w:val="16"/>
          <w:b w:val="1"/>
          <w:bCs w:val="1"/>
          <w:color w:val="auto"/>
          <w:strike w:val="1"/>
        </w:rPr>
        <w:t xml:space="preserve"> that the aggregate principal amount of all Debt secured by such Liens on the assets of the U.S. Borrower and its Domestic Subsidiaries shall not exceed $10,000,000 in the aggregate;</w:t>
      </w:r>
      <w:r>
        <w:rPr>
          <w:rFonts w:ascii="Arial" w:cs="Arial" w:eastAsia="Arial" w:hAnsi="Arial"/>
          <w:sz w:val="16"/>
          <w:szCs w:val="16"/>
          <w:b w:val="1"/>
          <w:bCs w:val="1"/>
          <w:u w:val="single" w:color="auto"/>
          <w:color w:val="auto"/>
          <w:strike w:val="1"/>
        </w:rPr>
        <w:t>$20,000,000 at any time</w:t>
      </w:r>
      <w:r>
        <w:rPr>
          <w:rFonts w:ascii="Arial" w:cs="Arial" w:eastAsia="Arial" w:hAnsi="Arial"/>
          <w:sz w:val="16"/>
          <w:szCs w:val="16"/>
          <w:b w:val="1"/>
          <w:bCs w:val="1"/>
          <w:color w:val="auto"/>
          <w:strike w:val="1"/>
        </w:rPr>
        <w:t xml:space="preserve"> </w:t>
      </w:r>
      <w:r>
        <w:rPr>
          <w:rFonts w:ascii="Arial" w:cs="Arial" w:eastAsia="Arial" w:hAnsi="Arial"/>
          <w:sz w:val="16"/>
          <w:szCs w:val="16"/>
          <w:b w:val="1"/>
          <w:bCs w:val="1"/>
          <w:u w:val="single" w:color="auto"/>
          <w:color w:val="auto"/>
          <w:strike w:val="1"/>
        </w:rPr>
        <w:t>outstanding;</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provided further</w:t>
      </w:r>
      <w:r>
        <w:rPr>
          <w:rFonts w:ascii="Arial" w:cs="Arial" w:eastAsia="Arial" w:hAnsi="Arial"/>
          <w:sz w:val="16"/>
          <w:szCs w:val="16"/>
          <w:b w:val="1"/>
          <w:bCs w:val="1"/>
          <w:color w:val="auto"/>
          <w:strike w:val="1"/>
        </w:rPr>
        <w:t xml:space="preserve"> </w:t>
      </w:r>
      <w:r>
        <w:rPr>
          <w:rFonts w:ascii="Arial" w:cs="Arial" w:eastAsia="Arial" w:hAnsi="Arial"/>
          <w:sz w:val="16"/>
          <w:szCs w:val="16"/>
          <w:color w:val="auto"/>
          <w:strike w:val="1"/>
        </w:rPr>
        <w:t>that no Lien on any Collateral of any Borrower or any of their Subsidiaries shall be permitted by this Section 6.02(l);</w:t>
      </w:r>
    </w:p>
    <w:p>
      <w:pPr>
        <w:spacing w:after="0" w:line="158" w:lineRule="exact"/>
        <w:rPr>
          <w:rFonts w:ascii="Arial" w:cs="Arial" w:eastAsia="Arial" w:hAnsi="Arial"/>
          <w:sz w:val="16"/>
          <w:szCs w:val="16"/>
          <w:color w:val="auto"/>
        </w:rPr>
      </w:pPr>
    </w:p>
    <w:p>
      <w:pPr>
        <w:ind w:firstLine="656"/>
        <w:spacing w:after="0" w:line="27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1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or selling price (and other amounts incidental to those amounts) of such goods and products;</w:t>
      </w:r>
    </w:p>
    <w:p>
      <w:pPr>
        <w:spacing w:after="0" w:line="181" w:lineRule="exact"/>
        <w:rPr>
          <w:rFonts w:ascii="Arial" w:cs="Arial" w:eastAsia="Arial" w:hAnsi="Arial"/>
          <w:sz w:val="18"/>
          <w:szCs w:val="18"/>
          <w:color w:val="auto"/>
        </w:rPr>
      </w:pPr>
    </w:p>
    <w:p>
      <w:pPr>
        <w:ind w:firstLine="656"/>
        <w:spacing w:after="0" w:line="277" w:lineRule="auto"/>
        <w:tabs>
          <w:tab w:leader="none" w:pos="11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70" w:lineRule="exact"/>
        <w:rPr>
          <w:rFonts w:ascii="Arial" w:cs="Arial" w:eastAsia="Arial" w:hAnsi="Arial"/>
          <w:sz w:val="18"/>
          <w:szCs w:val="18"/>
          <w:color w:val="auto"/>
        </w:rPr>
      </w:pPr>
    </w:p>
    <w:p>
      <w:pPr>
        <w:ind w:firstLine="656"/>
        <w:spacing w:after="0" w:line="308" w:lineRule="auto"/>
        <w:tabs>
          <w:tab w:leader="none" w:pos="110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6.03 Sale and Lease-Back Transactions</w:t>
      </w:r>
      <w:r>
        <w:rPr>
          <w:rFonts w:ascii="Arial" w:cs="Arial" w:eastAsia="Arial" w:hAnsi="Arial"/>
          <w:sz w:val="18"/>
          <w:szCs w:val="18"/>
          <w:color w:val="auto"/>
        </w:rPr>
        <w:t>. Enter into any arrangement, directly or indirectly, with any person whereby it shall sell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Section 6.04 Investments, Loans and Advances</w:t>
      </w:r>
      <w:r>
        <w:rPr>
          <w:rFonts w:ascii="Arial" w:cs="Arial" w:eastAsia="Arial" w:hAnsi="Arial"/>
          <w:sz w:val="18"/>
          <w:szCs w:val="18"/>
          <w:color w:val="auto"/>
        </w:rPr>
        <w:t>. Purchase, hold or acquire any Equity Interests, evidences of indebtedness or other securities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or permit to exist any loans or advances to, or make or permit to exist any investment or any other interest in, any other person (referred to herein as an “</w:t>
      </w:r>
      <w:r>
        <w:rPr>
          <w:rFonts w:ascii="Arial" w:cs="Arial" w:eastAsia="Arial" w:hAnsi="Arial"/>
          <w:sz w:val="18"/>
          <w:szCs w:val="18"/>
          <w:i w:val="1"/>
          <w:iCs w:val="1"/>
          <w:color w:val="auto"/>
        </w:rPr>
        <w:t>Investment</w:t>
      </w:r>
      <w:r>
        <w:rPr>
          <w:rFonts w:ascii="Arial" w:cs="Arial" w:eastAsia="Arial" w:hAnsi="Arial"/>
          <w:sz w:val="18"/>
          <w:szCs w:val="18"/>
          <w:color w:val="auto"/>
        </w:rPr>
        <w:t>”), except: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6" w:name="page177"/>
    <w:bookmarkEnd w:id="176"/>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Investments </w:t>
      </w:r>
      <w:r>
        <w:rPr>
          <w:rFonts w:ascii="Arial" w:cs="Arial" w:eastAsia="Arial" w:hAnsi="Arial"/>
          <w:sz w:val="18"/>
          <w:szCs w:val="18"/>
          <w:b w:val="1"/>
          <w:bCs w:val="1"/>
          <w:color w:val="auto"/>
          <w:strike w:val="1"/>
        </w:rPr>
        <w:t>of the U.S. Borrower and its Subsidiaries in existence on the Closing Date and</w:t>
      </w:r>
      <w:r>
        <w:rPr>
          <w:rFonts w:ascii="Arial" w:cs="Arial" w:eastAsia="Arial" w:hAnsi="Arial"/>
          <w:sz w:val="18"/>
          <w:szCs w:val="18"/>
          <w:color w:val="auto"/>
        </w:rPr>
        <w:t xml:space="preserve"> set forth on Schedule 6.04;</w:t>
      </w:r>
    </w:p>
    <w:p>
      <w:pPr>
        <w:spacing w:after="0" w:line="229" w:lineRule="exact"/>
        <w:rPr>
          <w:rFonts w:ascii="Arial" w:cs="Arial" w:eastAsia="Arial" w:hAnsi="Arial"/>
          <w:sz w:val="18"/>
          <w:szCs w:val="18"/>
          <w:color w:val="auto"/>
        </w:rPr>
      </w:pPr>
    </w:p>
    <w:p>
      <w:pPr>
        <w:ind w:left="1100" w:hanging="444"/>
        <w:spacing w:after="0"/>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ind w:firstLine="656"/>
        <w:spacing w:after="0" w:line="277" w:lineRule="auto"/>
        <w:tabs>
          <w:tab w:leader="none" w:pos="11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accounts receivable owing to the Borrowers or any of the Subsidiaries arising from sales of inventory or the provision of services in the ordinary course of business;</w:t>
      </w:r>
    </w:p>
    <w:p>
      <w:pPr>
        <w:spacing w:after="0" w:line="170" w:lineRule="exact"/>
        <w:rPr>
          <w:rFonts w:ascii="Arial" w:cs="Arial" w:eastAsia="Arial" w:hAnsi="Arial"/>
          <w:sz w:val="18"/>
          <w:szCs w:val="18"/>
          <w:color w:val="auto"/>
        </w:rPr>
      </w:pPr>
    </w:p>
    <w:p>
      <w:pPr>
        <w:ind w:firstLine="656"/>
        <w:spacing w:after="0" w:line="308" w:lineRule="auto"/>
        <w:tabs>
          <w:tab w:leader="none" w:pos="10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or such Subsidiary, as the case may be, has paid no new consideration (other than forgiveness of Indebtedness) therefor;</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Investments of a Loan Party in or to another Loan Party;</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U.S. Borrower may make intercompany loans and advances to 3045843 Nova Scotia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proceeds of such loans and advances are subsequently loaned or advanced, directly or indirectly, to </w:t>
      </w:r>
      <w:r>
        <w:rPr>
          <w:rFonts w:ascii="Arial" w:cs="Arial" w:eastAsia="Arial" w:hAnsi="Arial"/>
          <w:sz w:val="18"/>
          <w:szCs w:val="18"/>
          <w:b w:val="1"/>
          <w:bCs w:val="1"/>
          <w:color w:val="auto"/>
          <w:strike w:val="1"/>
        </w:rPr>
        <w:t>a</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color w:val="auto"/>
          <w:strike w:val="1"/>
        </w:rPr>
        <w:t>Borrower</w:t>
      </w:r>
      <w:r>
        <w:rPr>
          <w:rFonts w:ascii="Arial" w:cs="Arial" w:eastAsia="Arial" w:hAnsi="Arial"/>
          <w:sz w:val="18"/>
          <w:szCs w:val="18"/>
          <w:b w:val="1"/>
          <w:bCs w:val="1"/>
          <w:u w:val="single" w:color="auto"/>
          <w:color w:val="auto"/>
        </w:rPr>
        <w:t>Parent or Civeo Premium</w:t>
      </w:r>
      <w:r>
        <w:rPr>
          <w:rFonts w:ascii="Arial" w:cs="Arial" w:eastAsia="Arial" w:hAnsi="Arial"/>
          <w:sz w:val="18"/>
          <w:szCs w:val="18"/>
          <w:color w:val="auto"/>
        </w:rPr>
        <w:t xml:space="preserve"> or a Canadian Subsidiary Guarantor;</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may enter into Hedging Agreements to the extent permitted by Section 6.12;</w:t>
      </w:r>
    </w:p>
    <w:p>
      <w:pPr>
        <w:spacing w:after="0" w:line="221" w:lineRule="exact"/>
        <w:rPr>
          <w:rFonts w:ascii="Arial" w:cs="Arial" w:eastAsia="Arial" w:hAnsi="Arial"/>
          <w:sz w:val="18"/>
          <w:szCs w:val="18"/>
          <w:color w:val="auto"/>
        </w:rPr>
      </w:pPr>
    </w:p>
    <w:p>
      <w:pPr>
        <w:jc w:val="both"/>
        <w:ind w:firstLine="656"/>
        <w:spacing w:after="0" w:line="261" w:lineRule="auto"/>
        <w:tabs>
          <w:tab w:leader="none" w:pos="10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may acquire all or substantially all the assets of a person or line of business of such person, or Equity Interests of a person that would become a wholly owned Subsidiary (in each case referred to herein as the “</w:t>
      </w:r>
      <w:r>
        <w:rPr>
          <w:rFonts w:ascii="Arial" w:cs="Arial" w:eastAsia="Arial" w:hAnsi="Arial"/>
          <w:sz w:val="18"/>
          <w:szCs w:val="18"/>
          <w:i w:val="1"/>
          <w:iCs w:val="1"/>
          <w:color w:val="auto"/>
        </w:rPr>
        <w:t>Acquired Entity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acquisition of an Acquired Entity meeting all the criteria of this Section 6.04(i) being referred to herein as a “</w:t>
      </w:r>
      <w:r>
        <w:rPr>
          <w:rFonts w:ascii="Arial" w:cs="Arial" w:eastAsia="Arial" w:hAnsi="Arial"/>
          <w:sz w:val="18"/>
          <w:szCs w:val="18"/>
          <w:i w:val="1"/>
          <w:iCs w:val="1"/>
          <w:color w:val="auto"/>
        </w:rPr>
        <w:t>Permitted Acquisition</w:t>
      </w:r>
      <w:r>
        <w:rPr>
          <w:rFonts w:ascii="Arial" w:cs="Arial" w:eastAsia="Arial" w:hAnsi="Arial"/>
          <w:sz w:val="18"/>
          <w:szCs w:val="18"/>
          <w:color w:val="auto"/>
        </w:rPr>
        <w:t>”) at the time of such transaction:</w:t>
      </w:r>
    </w:p>
    <w:p>
      <w:pPr>
        <w:spacing w:after="0" w:line="184" w:lineRule="exact"/>
        <w:rPr>
          <w:rFonts w:ascii="Arial" w:cs="Arial" w:eastAsia="Arial" w:hAnsi="Arial"/>
          <w:sz w:val="18"/>
          <w:szCs w:val="18"/>
          <w:color w:val="auto"/>
        </w:rPr>
      </w:pPr>
    </w:p>
    <w:p>
      <w:pPr>
        <w:ind w:left="1700" w:hanging="395"/>
        <w:spacing w:after="0"/>
        <w:tabs>
          <w:tab w:leader="none" w:pos="1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1" w:lineRule="exact"/>
        <w:rPr>
          <w:rFonts w:ascii="Arial" w:cs="Arial" w:eastAsia="Arial" w:hAnsi="Arial"/>
          <w:sz w:val="18"/>
          <w:szCs w:val="18"/>
          <w:color w:val="auto"/>
        </w:rPr>
      </w:pPr>
    </w:p>
    <w:p>
      <w:pPr>
        <w:jc w:val="both"/>
        <w:ind w:left="660" w:firstLine="645"/>
        <w:spacing w:after="0" w:line="256" w:lineRule="auto"/>
        <w:tabs>
          <w:tab w:leader="none" w:pos="18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occurring during or after such period) as if such transaction had occurred as of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7" w:name="page178"/>
    <w:bookmarkEnd w:id="177"/>
    <w:p>
      <w:pPr>
        <w:ind w:left="1800" w:hanging="495"/>
        <w:spacing w:after="0"/>
        <w:tabs>
          <w:tab w:leader="none" w:pos="18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 available;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all pro forma calculations required to be made pursuant to this Section 6.04(i) shall (A) include only those adjustments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or required by Regulation S-X under the Securities Act of 1933, as amended and (B) be certified to by a Financial Officer as having been prepared in good faith based upon reasonable assumptions;</w:t>
      </w:r>
    </w:p>
    <w:p>
      <w:pPr>
        <w:spacing w:after="0" w:line="181" w:lineRule="exact"/>
        <w:rPr>
          <w:sz w:val="20"/>
          <w:szCs w:val="20"/>
          <w:color w:val="auto"/>
        </w:rPr>
      </w:pPr>
    </w:p>
    <w:p>
      <w:pPr>
        <w:ind w:left="1060" w:hanging="404"/>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consisting of non-cash proceeds of Asset Sales;</w:t>
      </w:r>
    </w:p>
    <w:p>
      <w:pPr>
        <w:spacing w:after="0" w:line="221" w:lineRule="exact"/>
        <w:rPr>
          <w:rFonts w:ascii="Arial" w:cs="Arial" w:eastAsia="Arial" w:hAnsi="Arial"/>
          <w:sz w:val="18"/>
          <w:szCs w:val="18"/>
          <w:color w:val="auto"/>
        </w:rPr>
      </w:pPr>
    </w:p>
    <w:p>
      <w:pPr>
        <w:ind w:right="20" w:firstLine="656"/>
        <w:spacing w:after="0" w:line="282" w:lineRule="auto"/>
        <w:tabs>
          <w:tab w:leader="none" w:pos="114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Investments by </w:t>
      </w:r>
      <w:r>
        <w:rPr>
          <w:rFonts w:ascii="Arial" w:cs="Arial" w:eastAsia="Arial" w:hAnsi="Arial"/>
          <w:sz w:val="18"/>
          <w:szCs w:val="18"/>
          <w:b w:val="1"/>
          <w:bCs w:val="1"/>
          <w:u w:val="single" w:color="auto"/>
          <w:color w:val="auto"/>
        </w:rPr>
        <w:t>the Parent Borrower or</w:t>
      </w:r>
      <w:r>
        <w:rPr>
          <w:rFonts w:ascii="Arial" w:cs="Arial" w:eastAsia="Arial" w:hAnsi="Arial"/>
          <w:sz w:val="18"/>
          <w:szCs w:val="18"/>
          <w:color w:val="auto"/>
        </w:rPr>
        <w:t xml:space="preserve"> a Subsidiary </w:t>
      </w:r>
      <w:r>
        <w:rPr>
          <w:rFonts w:ascii="Arial" w:cs="Arial" w:eastAsia="Arial" w:hAnsi="Arial"/>
          <w:sz w:val="18"/>
          <w:szCs w:val="18"/>
          <w:b w:val="1"/>
          <w:bCs w:val="1"/>
          <w:color w:val="auto"/>
          <w:strike w:val="1"/>
        </w:rPr>
        <w:t>that is not a Loan Party in or to a Loan Party</w:t>
      </w:r>
      <w:r>
        <w:rPr>
          <w:rFonts w:ascii="Arial" w:cs="Arial" w:eastAsia="Arial" w:hAnsi="Arial"/>
          <w:sz w:val="18"/>
          <w:szCs w:val="18"/>
          <w:b w:val="1"/>
          <w:bCs w:val="1"/>
          <w:u w:val="single" w:color="auto"/>
          <w:color w:val="auto"/>
        </w:rPr>
        <w:t>in or to the Parent Borrower or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jc w:val="both"/>
        <w:ind w:firstLine="656"/>
        <w:spacing w:after="0" w:line="264" w:lineRule="auto"/>
        <w:tabs>
          <w:tab w:leader="none" w:pos="10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other Investments, without duplication, in an aggregate amount (valued at cost or outstanding principal amount, as the case may be) not greater than 7.5%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Borrower’s Consolidated Net Worth calculated on the date of such Investment as of the most recent fiscal quarter for which financial statements are available.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6.05 Mergers, Consolidations, Sales of Assets and Acquisitions</w:t>
      </w:r>
      <w:r>
        <w:rPr>
          <w:rFonts w:ascii="Arial" w:cs="Arial" w:eastAsia="Arial" w:hAnsi="Arial"/>
          <w:sz w:val="16"/>
          <w:szCs w:val="16"/>
          <w:color w:val="auto"/>
        </w:rPr>
        <w:t>. (a) Merge, amalgamate or consolidate with or into any other person,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merge, amalgamate or consolidate with any person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Change in Control occurs</w:t>
      </w:r>
      <w:r>
        <w:rPr>
          <w:rFonts w:ascii="Arial" w:cs="Arial" w:eastAsia="Arial" w:hAnsi="Arial"/>
          <w:sz w:val="16"/>
          <w:szCs w:val="16"/>
          <w:b w:val="1"/>
          <w:bCs w:val="1"/>
          <w:color w:val="auto"/>
        </w:rPr>
        <w:t xml:space="preserve"> and</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(ii)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giving effect to any such proposed transaction no Default or Event of Default would exist, and (iii)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is the surviving entity, (b)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merge or amalgamate with any of its wholly owned Subsidiaries,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immediately after giving effect to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transaction no Default would exist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requirements of Section 6.04(i) are met with respect to such merger described in this clause (c) and (ii) if any such merger described in this clause (c) shall involve a Loan Party, the surviving entity of such merger shall be or become a Loan Party and (d) any Subsidiary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liquidate or dissolve if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determines in good faith that such liquidation or dissolution is in the best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is not materially disadvantageous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5939155</wp:posOffset>
            </wp:positionH>
            <wp:positionV relativeFrom="paragraph">
              <wp:posOffset>-1322070</wp:posOffset>
            </wp:positionV>
            <wp:extent cx="2216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1615" cy="8890"/>
                    </a:xfrm>
                    <a:prstGeom prst="rect">
                      <a:avLst/>
                    </a:prstGeom>
                    <a:noFill/>
                  </pic:spPr>
                </pic:pic>
              </a:graphicData>
            </a:graphic>
          </wp:anchor>
        </w:drawing>
      </w:r>
    </w:p>
    <w:p>
      <w:pPr>
        <w:spacing w:after="0" w:line="152" w:lineRule="exact"/>
        <w:rPr>
          <w:sz w:val="20"/>
          <w:szCs w:val="20"/>
          <w:color w:val="auto"/>
        </w:rPr>
      </w:pPr>
    </w:p>
    <w:p>
      <w:pPr>
        <w:jc w:val="both"/>
        <w:ind w:firstLine="656"/>
        <w:spacing w:after="0" w:line="259" w:lineRule="auto"/>
        <w:tabs>
          <w:tab w:leader="none" w:pos="11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8" w:name="page179"/>
    <w:bookmarkEnd w:id="178"/>
    <w:p>
      <w:pPr>
        <w:ind w:right="20" w:firstLine="656"/>
        <w:spacing w:after="0" w:line="282" w:lineRule="auto"/>
        <w:tabs>
          <w:tab w:leader="none" w:pos="1105" w:val="left"/>
        </w:tabs>
        <w:numPr>
          <w:ilvl w:val="0"/>
          <w:numId w:val="1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Notwithstanding Section 6.05(a) or Section 6.05(b), Asset Sales among the Parent Borrower and its subsidiaries in connection with or related to the Inversion Transaction shall be permitted.</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6.06 Restricted Payments; Restrictive Agreements</w:t>
      </w:r>
      <w:r>
        <w:rPr>
          <w:rFonts w:ascii="Arial" w:cs="Arial" w:eastAsia="Arial" w:hAnsi="Arial"/>
          <w:sz w:val="16"/>
          <w:szCs w:val="16"/>
          <w:color w:val="auto"/>
        </w:rPr>
        <w:t>. (a) Declare or make, or agree to declare or make, directly or indirectly, any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Payment (including pursuant to any Synthetic Purchase Agreement), or incur any obligation (contingent or otherwise)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any Subsidiary may declare and pay dividends or make other distributions ratably to its equity holders of a given class, (ii) so long as no Event of Default or Default shall have occurred and be continuing or would result therefrom,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may repurchase its Equity Interests owned by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or make payments to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(iii) </w:t>
      </w:r>
      <w:r>
        <w:rPr>
          <w:rFonts w:ascii="Arial" w:cs="Arial" w:eastAsia="Arial" w:hAnsi="Arial"/>
          <w:sz w:val="16"/>
          <w:szCs w:val="16"/>
          <w:b w:val="1"/>
          <w:bCs w:val="1"/>
          <w:u w:val="single" w:color="auto"/>
          <w:color w:val="auto"/>
        </w:rPr>
        <w:t>at any time on or after January 1, 2016,</w:t>
      </w:r>
      <w:r>
        <w:rPr>
          <w:rFonts w:ascii="Arial" w:cs="Arial" w:eastAsia="Arial" w:hAnsi="Arial"/>
          <w:sz w:val="16"/>
          <w:szCs w:val="16"/>
          <w:color w:val="auto"/>
        </w:rPr>
        <w:t xml:space="preserve"> so long as (A) no Event of Default or Default shall have occurred and be continuing or result therefrom, (B) at least U.S.$25,000,000 of the Revolving Commitments is unused and available after giving effect to such Restricted Payment,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(C)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would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be in compliance with the covenants set forth in Sections 6.10 and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6.11</w:t>
      </w:r>
      <w:r>
        <w:rPr>
          <w:rFonts w:ascii="Arial" w:cs="Arial" w:eastAsia="Arial" w:hAnsi="Arial"/>
          <w:sz w:val="16"/>
          <w:szCs w:val="16"/>
          <w:b w:val="1"/>
          <w:bCs w:val="1"/>
          <w:u w:val="single" w:color="auto"/>
          <w:color w:val="auto"/>
        </w:rPr>
        <w:t>(2) have a Leverage Ratio less than 3.50:1.00,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most recently completed period of four consecutive fiscal quarters ending prior to such transaction for which the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with respect to the Exchangeable Shares, Civeo Holdco (with funds advanced by the U.S. Borrower) may make Restricted Payments in any amount </w:t>
      </w:r>
      <w:r>
        <w:rPr>
          <w:rFonts w:ascii="Arial" w:cs="Arial" w:eastAsia="Arial" w:hAnsi="Arial"/>
          <w:sz w:val="16"/>
          <w:szCs w:val="16"/>
          <w:b w:val="1"/>
          <w:bCs w:val="1"/>
          <w:color w:val="auto"/>
        </w:rPr>
        <w:t>and (iv) the U.S. Borrower</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may make a one-time distribution to Oil States on the Funding Date in an amount not to exceed U.S.$850,000,000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-220345</wp:posOffset>
            </wp:positionV>
            <wp:extent cx="133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pacing w:after="0" w:line="158" w:lineRule="exact"/>
        <w:rPr>
          <w:sz w:val="20"/>
          <w:szCs w:val="20"/>
          <w:color w:val="auto"/>
        </w:rPr>
      </w:pPr>
    </w:p>
    <w:p>
      <w:pPr>
        <w:jc w:val="both"/>
        <w:ind w:firstLine="656"/>
        <w:spacing w:after="0" w:line="268" w:lineRule="auto"/>
        <w:tabs>
          <w:tab w:leader="none" w:pos="110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Enter into, incur or permit to exist any agreement or other arrangement that prohibits, restricts or imposes any condition upon (i) the ability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other Subsidiary or to Guarantee Indebtedness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other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restrictions and conditions apply only to the Subsidiary that is to be sold and such sale is permitted hereunder, (C) the foregoing shall not apply to restrictions and conditions imposed on any Foreign Subsidiary (other than the Canadian </w:t>
      </w:r>
      <w:r>
        <w:rPr>
          <w:rFonts w:ascii="Arial" w:cs="Arial" w:eastAsia="Arial" w:hAnsi="Arial"/>
          <w:sz w:val="17"/>
          <w:szCs w:val="17"/>
          <w:b w:val="1"/>
          <w:bCs w:val="1"/>
          <w:color w:val="auto"/>
          <w:strike w:val="1"/>
        </w:rPr>
        <w:t>Borrowers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Civeo Premium</w:t>
      </w:r>
      <w:r>
        <w:rPr>
          <w:rFonts w:ascii="Arial" w:cs="Arial" w:eastAsia="Arial" w:hAnsi="Arial"/>
          <w:sz w:val="17"/>
          <w:szCs w:val="17"/>
          <w:color w:val="auto"/>
        </w:rPr>
        <w:t>, any Canadian Subsidiary, the Australian Borrower or any Australian Subsidiary) by the terms of any Indebtedness of such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clause (ii) of the foregoing (solely as it relates to dividends) shall not apply to the restrictions on Civeo Holdco required by the terms of the Exchangeable Shares as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9" w:name="page180"/>
    <w:bookmarkEnd w:id="179"/>
    <w:p>
      <w:pPr>
        <w:jc w:val="both"/>
        <w:ind w:firstLine="648"/>
        <w:spacing w:after="0" w:line="277" w:lineRule="auto"/>
        <w:rPr>
          <w:sz w:val="20"/>
          <w:szCs w:val="20"/>
          <w:color w:val="auto"/>
        </w:rPr>
      </w:pPr>
      <w:r>
        <w:rPr>
          <w:rFonts w:ascii="Arial" w:cs="Arial" w:eastAsia="Arial" w:hAnsi="Arial"/>
          <w:sz w:val="17"/>
          <w:szCs w:val="17"/>
          <w:b w:val="1"/>
          <w:bCs w:val="1"/>
          <w:i w:val="1"/>
          <w:iCs w:val="1"/>
          <w:color w:val="auto"/>
        </w:rPr>
        <w:t>Section 6.07 Transactions with Affiliates</w:t>
      </w:r>
      <w:r>
        <w:rPr>
          <w:rFonts w:ascii="Arial" w:cs="Arial" w:eastAsia="Arial" w:hAnsi="Arial"/>
          <w:sz w:val="17"/>
          <w:szCs w:val="17"/>
          <w:color w:val="auto"/>
        </w:rPr>
        <w:t>. Except for transactions by or among Loan Parties, transactions under</w:t>
      </w:r>
      <w:r>
        <w:rPr>
          <w:rFonts w:ascii="Arial" w:cs="Arial" w:eastAsia="Arial" w:hAnsi="Arial"/>
          <w:sz w:val="17"/>
          <w:szCs w:val="17"/>
          <w:b w:val="1"/>
          <w:bCs w:val="1"/>
          <w:u w:val="single" w:color="auto"/>
          <w:color w:val="auto"/>
        </w:rPr>
        <w:t>, in connection with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to</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Spin</w:t>
      </w:r>
      <w:r>
        <w:rPr>
          <w:rFonts w:ascii="Arial" w:cs="Arial" w:eastAsia="Arial" w:hAnsi="Arial"/>
          <w:sz w:val="17"/>
          <w:szCs w:val="17"/>
          <w:b w:val="1"/>
          <w:bCs w:val="1"/>
          <w:u w:val="single" w:color="auto"/>
          <w:color w:val="auto"/>
        </w:rPr>
        <w:t>Inversion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transactions expressly permitted under this Agreement, sell or transfer any property or assets to, or purchase or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6.08 Business of Borrowers and Subsidiaries</w:t>
      </w:r>
      <w:r>
        <w:rPr>
          <w:rFonts w:ascii="Arial" w:cs="Arial" w:eastAsia="Arial" w:hAnsi="Arial"/>
          <w:sz w:val="18"/>
          <w:szCs w:val="18"/>
          <w:color w:val="auto"/>
        </w:rPr>
        <w:t>. Engage at any time in any business or business activity other than providing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the energy industry, accommodations and business activities reasonably incidental thereto.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6.09 Other Indebtedness and Agreements</w:t>
      </w:r>
      <w:r>
        <w:rPr>
          <w:rFonts w:ascii="Arial" w:cs="Arial" w:eastAsia="Arial" w:hAnsi="Arial"/>
          <w:sz w:val="18"/>
          <w:szCs w:val="18"/>
          <w:color w:val="auto"/>
        </w:rPr>
        <w:t>. (a) Permit any waiver, supplement, modification, amendment, termination or release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87" w:lineRule="exact"/>
        <w:rPr>
          <w:sz w:val="20"/>
          <w:szCs w:val="20"/>
          <w:color w:val="auto"/>
        </w:rPr>
      </w:pPr>
    </w:p>
    <w:p>
      <w:pPr>
        <w:jc w:val="both"/>
        <w:ind w:firstLine="656"/>
        <w:spacing w:after="0" w:line="255" w:lineRule="auto"/>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could make a Restricted Payment pursuant to Section 6.06(a) or (ii) to the extent any Subordinated Indebtedness is repaid with the proceeds of a refinancing of such Subordinated Indebtedness permitted under Section 6.01(a) or Section 6.01(e).</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i w:val="1"/>
          <w:iCs w:val="1"/>
          <w:color w:val="auto"/>
        </w:rPr>
        <w:t>Section 6.10 Interest Coverage Ratio</w:t>
      </w:r>
      <w:r>
        <w:rPr>
          <w:rFonts w:ascii="Arial" w:cs="Arial" w:eastAsia="Arial" w:hAnsi="Arial"/>
          <w:sz w:val="18"/>
          <w:szCs w:val="18"/>
          <w:color w:val="auto"/>
        </w:rPr>
        <w:t>. Permit the Interest Coverage Ratio for any period of four consecutive fiscal quarters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in each case taken as one accounting period, to be less than 3.0 to 1.0.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0" w:name="page181"/>
    <w:bookmarkEnd w:id="180"/>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6.11 Maximum Leverage Ratio</w:t>
      </w:r>
      <w:r>
        <w:rPr>
          <w:rFonts w:ascii="Arial" w:cs="Arial" w:eastAsia="Arial" w:hAnsi="Arial"/>
          <w:sz w:val="18"/>
          <w:szCs w:val="18"/>
          <w:color w:val="auto"/>
        </w:rPr>
        <w:t>. Permit the Leverage Ratio for any period of four consecutive fiscal quarters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each case taken as one accounting period, </w:t>
      </w:r>
      <w:r>
        <w:rPr>
          <w:rFonts w:ascii="Arial" w:cs="Arial" w:eastAsia="Arial" w:hAnsi="Arial"/>
          <w:sz w:val="18"/>
          <w:szCs w:val="18"/>
          <w:b w:val="1"/>
          <w:bCs w:val="1"/>
          <w:u w:val="single" w:color="auto"/>
          <w:color w:val="auto"/>
        </w:rPr>
        <w:t>as of the last day of any fiscal quarter</w:t>
      </w:r>
      <w:r>
        <w:rPr>
          <w:rFonts w:ascii="Arial" w:cs="Arial" w:eastAsia="Arial" w:hAnsi="Arial"/>
          <w:sz w:val="18"/>
          <w:szCs w:val="18"/>
          <w:color w:val="auto"/>
        </w:rPr>
        <w:t xml:space="preserve"> to be greater than </w:t>
      </w:r>
      <w:r>
        <w:rPr>
          <w:rFonts w:ascii="Arial" w:cs="Arial" w:eastAsia="Arial" w:hAnsi="Arial"/>
          <w:sz w:val="18"/>
          <w:szCs w:val="18"/>
          <w:b w:val="1"/>
          <w:bCs w:val="1"/>
          <w:color w:val="auto"/>
          <w:strike w:val="1"/>
        </w:rPr>
        <w:t>3.50 to 1.0.</w:t>
      </w:r>
      <w:r>
        <w:rPr>
          <w:rFonts w:ascii="Arial" w:cs="Arial" w:eastAsia="Arial" w:hAnsi="Arial"/>
          <w:sz w:val="18"/>
          <w:szCs w:val="18"/>
          <w:b w:val="1"/>
          <w:bCs w:val="1"/>
          <w:u w:val="single" w:color="auto"/>
          <w:color w:val="auto"/>
        </w:rPr>
        <w:t>:</w:t>
      </w:r>
    </w:p>
    <w:p>
      <w:pPr>
        <w:spacing w:after="0" w:line="157" w:lineRule="exact"/>
        <w:rPr>
          <w:sz w:val="20"/>
          <w:szCs w:val="20"/>
          <w:color w:val="auto"/>
        </w:rPr>
      </w:pPr>
    </w:p>
    <w:tbl>
      <w:tblPr>
        <w:tblLayout w:type="fixed"/>
        <w:tblInd w:w="1730" w:type="dxa"/>
        <w:tblCellMar>
          <w:top w:w="0" w:type="dxa"/>
          <w:left w:w="0" w:type="dxa"/>
          <w:bottom w:w="0" w:type="dxa"/>
          <w:right w:w="0" w:type="dxa"/>
        </w:tblCellMar>
      </w:tblPr>
      <w:tr>
        <w:trPr>
          <w:trHeight w:val="192"/>
        </w:trPr>
        <w:tc>
          <w:tcPr>
            <w:tcW w:w="440" w:type="dxa"/>
            <w:vAlign w:val="bottom"/>
            <w:tcBorders>
              <w:top w:val="single" w:sz="8" w:color="auto"/>
              <w:lef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320" w:type="dxa"/>
            <w:vAlign w:val="bottom"/>
            <w:tcBorders>
              <w:top w:val="single" w:sz="8" w:color="auto"/>
              <w:right w:val="single" w:sz="8" w:color="auto"/>
            </w:tcBorders>
            <w:gridSpan w:val="14"/>
          </w:tcPr>
          <w:p>
            <w:pPr>
              <w:jc w:val="center"/>
              <w:ind w:right="640"/>
              <w:spacing w:after="0" w:line="192" w:lineRule="exact"/>
              <w:rPr>
                <w:sz w:val="20"/>
                <w:szCs w:val="20"/>
                <w:color w:val="auto"/>
              </w:rPr>
            </w:pPr>
            <w:r>
              <w:rPr>
                <w:rFonts w:ascii="Arial" w:cs="Arial" w:eastAsia="Arial" w:hAnsi="Arial"/>
                <w:sz w:val="18"/>
                <w:szCs w:val="18"/>
                <w:b w:val="1"/>
                <w:bCs w:val="1"/>
                <w:color w:val="auto"/>
                <w:w w:val="91"/>
              </w:rPr>
              <w:t>Fiscal Quarter Ending</w:t>
            </w:r>
          </w:p>
        </w:tc>
        <w:tc>
          <w:tcPr>
            <w:tcW w:w="1420" w:type="dxa"/>
            <w:vAlign w:val="bottom"/>
            <w:tcBorders>
              <w:top w:val="single" w:sz="8" w:color="auto"/>
            </w:tcBorders>
          </w:tcPr>
          <w:p>
            <w:pPr>
              <w:spacing w:after="0"/>
              <w:rPr>
                <w:sz w:val="16"/>
                <w:szCs w:val="16"/>
                <w:color w:val="auto"/>
              </w:rPr>
            </w:pPr>
          </w:p>
        </w:tc>
        <w:tc>
          <w:tcPr>
            <w:tcW w:w="2600" w:type="dxa"/>
            <w:vAlign w:val="bottom"/>
            <w:tcBorders>
              <w:top w:val="single" w:sz="8" w:color="auto"/>
              <w:right w:val="single" w:sz="8" w:color="auto"/>
            </w:tcBorders>
            <w:gridSpan w:val="6"/>
          </w:tcPr>
          <w:p>
            <w:pPr>
              <w:jc w:val="center"/>
              <w:ind w:right="1440"/>
              <w:spacing w:after="0" w:line="192" w:lineRule="exact"/>
              <w:rPr>
                <w:sz w:val="20"/>
                <w:szCs w:val="20"/>
                <w:color w:val="auto"/>
              </w:rPr>
            </w:pPr>
            <w:r>
              <w:rPr>
                <w:rFonts w:ascii="Arial" w:cs="Arial" w:eastAsia="Arial" w:hAnsi="Arial"/>
                <w:sz w:val="18"/>
                <w:szCs w:val="18"/>
                <w:b w:val="1"/>
                <w:bCs w:val="1"/>
                <w:color w:val="auto"/>
                <w:w w:val="89"/>
              </w:rPr>
              <w:t>Leverage Ratio</w:t>
            </w: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960" w:type="dxa"/>
            <w:vAlign w:val="bottom"/>
            <w:tcBorders>
              <w:left w:val="single" w:sz="8" w:color="auto"/>
              <w:right w:val="single" w:sz="8" w:color="auto"/>
            </w:tcBorders>
            <w:gridSpan w:val="16"/>
            <w:shd w:val="clear" w:color="auto" w:fill="CCEEFF"/>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Any fiscal quarter ending on or prior to</w:t>
            </w:r>
          </w:p>
        </w:tc>
        <w:tc>
          <w:tcPr>
            <w:tcW w:w="2360" w:type="dxa"/>
            <w:vAlign w:val="bottom"/>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3.50:1.00</w:t>
            </w:r>
          </w:p>
        </w:tc>
        <w:tc>
          <w:tcPr>
            <w:tcW w:w="22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r>
      <w:tr>
        <w:trPr>
          <w:trHeight w:val="196"/>
        </w:trPr>
        <w:tc>
          <w:tcPr>
            <w:tcW w:w="440" w:type="dxa"/>
            <w:vAlign w:val="bottom"/>
            <w:tcBorders>
              <w:top w:val="single" w:sz="8" w:color="CCEEFF"/>
              <w:left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2380" w:type="dxa"/>
            <w:vAlign w:val="bottom"/>
            <w:tcBorders>
              <w:top w:val="single" w:sz="8" w:color="auto"/>
              <w:bottom w:val="single" w:sz="8" w:color="auto"/>
            </w:tcBorders>
            <w:gridSpan w:val="11"/>
            <w:shd w:val="clear" w:color="auto" w:fill="CCEEFF"/>
          </w:tcPr>
          <w:p>
            <w:pPr>
              <w:jc w:val="center"/>
              <w:ind w:right="680"/>
              <w:spacing w:after="0" w:line="156" w:lineRule="exact"/>
              <w:rPr>
                <w:sz w:val="20"/>
                <w:szCs w:val="20"/>
                <w:color w:val="auto"/>
              </w:rPr>
            </w:pPr>
            <w:r>
              <w:rPr>
                <w:rFonts w:ascii="Arial" w:cs="Arial" w:eastAsia="Arial" w:hAnsi="Arial"/>
                <w:sz w:val="18"/>
                <w:szCs w:val="18"/>
                <w:b w:val="1"/>
                <w:bCs w:val="1"/>
                <w:color w:val="auto"/>
                <w:w w:val="89"/>
              </w:rPr>
              <w:t>September 30, 2015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c>
          <w:tcPr>
            <w:tcW w:w="1420" w:type="dxa"/>
            <w:vAlign w:val="bottom"/>
            <w:tcBorders>
              <w:top w:val="single" w:sz="8" w:color="CCEEFF"/>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auto"/>
            </w:tcBorders>
            <w:shd w:val="clear" w:color="auto" w:fill="CCEEFF"/>
          </w:tcPr>
          <w:p>
            <w:pPr>
              <w:spacing w:after="0"/>
              <w:rPr>
                <w:sz w:val="17"/>
                <w:szCs w:val="17"/>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2015</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2016</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2016</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right w:val="single" w:sz="8" w:color="auto"/>
            </w:tcBorders>
            <w:gridSpan w:val="13"/>
            <w:shd w:val="clear" w:color="auto" w:fill="CCEEFF"/>
          </w:tcPr>
          <w:p>
            <w:pPr>
              <w:jc w:val="center"/>
              <w:ind w:right="1140"/>
              <w:spacing w:after="0" w:line="170" w:lineRule="exact"/>
              <w:rPr>
                <w:sz w:val="20"/>
                <w:szCs w:val="20"/>
                <w:color w:val="auto"/>
              </w:rPr>
            </w:pPr>
            <w:r>
              <w:rPr>
                <w:rFonts w:ascii="Arial" w:cs="Arial" w:eastAsia="Arial" w:hAnsi="Arial"/>
                <w:sz w:val="18"/>
                <w:szCs w:val="18"/>
                <w:b w:val="1"/>
                <w:bCs w:val="1"/>
                <w:color w:val="auto"/>
                <w:w w:val="89"/>
              </w:rPr>
              <w:t>September 30, 2016</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2016</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2017</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2017</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right w:val="single" w:sz="8" w:color="auto"/>
            </w:tcBorders>
            <w:gridSpan w:val="13"/>
            <w:shd w:val="clear" w:color="auto" w:fill="CCEEFF"/>
          </w:tcPr>
          <w:p>
            <w:pPr>
              <w:jc w:val="center"/>
              <w:ind w:right="1140"/>
              <w:spacing w:after="0" w:line="170" w:lineRule="exact"/>
              <w:rPr>
                <w:sz w:val="20"/>
                <w:szCs w:val="20"/>
                <w:color w:val="auto"/>
              </w:rPr>
            </w:pPr>
            <w:r>
              <w:rPr>
                <w:rFonts w:ascii="Arial" w:cs="Arial" w:eastAsia="Arial" w:hAnsi="Arial"/>
                <w:sz w:val="18"/>
                <w:szCs w:val="18"/>
                <w:b w:val="1"/>
                <w:bCs w:val="1"/>
                <w:color w:val="auto"/>
                <w:w w:val="89"/>
              </w:rPr>
              <w:t>September 30, 2017</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2017</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2018</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3.75:1.00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2018</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3.75:1.00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440" w:type="dxa"/>
            <w:vAlign w:val="bottom"/>
            <w:tcBorders>
              <w:left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320" w:type="dxa"/>
            <w:vAlign w:val="bottom"/>
            <w:tcBorders>
              <w:bottom w:val="single" w:sz="8" w:color="auto"/>
              <w:right w:val="single" w:sz="8" w:color="auto"/>
            </w:tcBorders>
            <w:gridSpan w:val="14"/>
            <w:shd w:val="clear" w:color="auto" w:fill="CCEEFF"/>
          </w:tcPr>
          <w:p>
            <w:pPr>
              <w:jc w:val="center"/>
              <w:ind w:right="660"/>
              <w:spacing w:after="0" w:line="170" w:lineRule="exact"/>
              <w:rPr>
                <w:sz w:val="20"/>
                <w:szCs w:val="20"/>
                <w:color w:val="auto"/>
              </w:rPr>
            </w:pPr>
            <w:r>
              <w:rPr>
                <w:rFonts w:ascii="Arial" w:cs="Arial" w:eastAsia="Arial" w:hAnsi="Arial"/>
                <w:sz w:val="18"/>
                <w:szCs w:val="18"/>
                <w:b w:val="1"/>
                <w:bCs w:val="1"/>
                <w:color w:val="auto"/>
                <w:w w:val="90"/>
              </w:rPr>
              <w:t>September 30, 2018 and thereafter</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3.50:1.00</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-1759585</wp:posOffset>
            </wp:positionV>
            <wp:extent cx="5051425"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-1468120</wp:posOffset>
            </wp:positionV>
            <wp:extent cx="5051425"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-1176020</wp:posOffset>
            </wp:positionV>
            <wp:extent cx="5051425"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-884555</wp:posOffset>
            </wp:positionV>
            <wp:extent cx="505142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-593090</wp:posOffset>
            </wp:positionV>
            <wp:extent cx="5051425"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-301625</wp:posOffset>
            </wp:positionV>
            <wp:extent cx="505142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51425" cy="146050"/>
                    </a:xfrm>
                    <a:prstGeom prst="rect">
                      <a:avLst/>
                    </a:prstGeom>
                    <a:noFill/>
                  </pic:spPr>
                </pic:pic>
              </a:graphicData>
            </a:graphic>
          </wp:anchor>
        </w:drawing>
      </w:r>
    </w:p>
    <w:p>
      <w:pPr>
        <w:spacing w:after="0" w:line="23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Section 6.12 Hedging Agreements</w:t>
      </w:r>
      <w:r>
        <w:rPr>
          <w:rFonts w:ascii="Arial" w:cs="Arial" w:eastAsia="Arial" w:hAnsi="Arial"/>
          <w:sz w:val="16"/>
          <w:szCs w:val="16"/>
          <w:color w:val="auto"/>
        </w:rPr>
        <w:t>. Enter into any Hedging Agreement, other than Hedging Agreements entered into in the ordinary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to hedge or mitigate risks to which a Borrower or any Subsidiary is exposed in the conduct of its business or the management of its liabilities.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6.13 Pension Plans</w:t>
      </w:r>
      <w:r>
        <w:rPr>
          <w:rFonts w:ascii="Arial" w:cs="Arial" w:eastAsia="Arial" w:hAnsi="Arial"/>
          <w:sz w:val="16"/>
          <w:szCs w:val="16"/>
          <w:color w:val="auto"/>
        </w:rPr>
        <w:t>. (a) Terminate, in whole or in part, or initiate the termination of, in whole or in part, any Canadian Pension Plan so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result in any liability to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its applicable Canadian </w:t>
      </w:r>
      <w:r>
        <w:rPr>
          <w:rFonts w:ascii="Arial" w:cs="Arial" w:eastAsia="Arial" w:hAnsi="Arial"/>
          <w:sz w:val="16"/>
          <w:szCs w:val="16"/>
          <w:b w:val="1"/>
          <w:bCs w:val="1"/>
          <w:color w:val="auto"/>
          <w:strike w:val="1"/>
        </w:rPr>
        <w:t>Subsidiary</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xml:space="preserve"> which could reasonably be expected to have a Material Adverse Effect; (b) permit to exist any event or condition in respect of any Canadian Pension Plan or Defined Benefit Plan which presents the risk of liability of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w:t>
      </w:r>
      <w:r>
        <w:rPr>
          <w:rFonts w:ascii="Arial" w:cs="Arial" w:eastAsia="Arial" w:hAnsi="Arial"/>
          <w:sz w:val="16"/>
          <w:szCs w:val="16"/>
          <w:b w:val="1"/>
          <w:bCs w:val="1"/>
          <w:color w:val="auto"/>
          <w:strike w:val="1"/>
        </w:rPr>
        <w:t>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in excess of C$10,000,000 in respect of any Canadian Pension Plan, Defined Benefit Plan or Canadian Benefit Plan which fine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penalty has not been paid within 30 days of final assessment unless (i) such fine or penalty is being contested in good faith by appropriate proceedings, (ii)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has set aside on its books adequate reserves with respect thereto in accordance with Canadian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1" w:name="page182"/>
    <w:bookmarkEnd w:id="18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Section 6.14 Amendment of the </w:t>
      </w:r>
      <w:r>
        <w:rPr>
          <w:rFonts w:ascii="Arial" w:cs="Arial" w:eastAsia="Arial" w:hAnsi="Arial"/>
          <w:sz w:val="18"/>
          <w:szCs w:val="18"/>
          <w:b w:val="1"/>
          <w:bCs w:val="1"/>
          <w:i w:val="1"/>
          <w:iCs w:val="1"/>
          <w:color w:val="auto"/>
          <w:strike w:val="1"/>
        </w:rPr>
        <w:t>Spin</w:t>
      </w:r>
      <w:r>
        <w:rPr>
          <w:rFonts w:ascii="Arial" w:cs="Arial" w:eastAsia="Arial" w:hAnsi="Arial"/>
          <w:sz w:val="18"/>
          <w:szCs w:val="18"/>
          <w:b w:val="1"/>
          <w:bCs w:val="1"/>
          <w:i w:val="1"/>
          <w:iCs w:val="1"/>
          <w:u w:val="single" w:color="auto"/>
          <w:color w:val="auto"/>
        </w:rPr>
        <w:t>Inversion</w:t>
      </w:r>
      <w:r>
        <w:rPr>
          <w:rFonts w:ascii="Arial" w:cs="Arial" w:eastAsia="Arial" w:hAnsi="Arial"/>
          <w:sz w:val="18"/>
          <w:szCs w:val="18"/>
          <w:b w:val="1"/>
          <w:bCs w:val="1"/>
          <w:i w:val="1"/>
          <w:iCs w:val="1"/>
          <w:color w:val="auto"/>
        </w:rPr>
        <w:t xml:space="preserve"> Documents</w:t>
      </w:r>
      <w:r>
        <w:rPr>
          <w:rFonts w:ascii="Arial" w:cs="Arial" w:eastAsia="Arial" w:hAnsi="Arial"/>
          <w:sz w:val="18"/>
          <w:szCs w:val="18"/>
          <w:color w:val="auto"/>
        </w:rPr>
        <w:t>. Permit any supplement, amendment or other modification of, or any waiver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Spin</w:t>
      </w:r>
      <w:r>
        <w:rPr>
          <w:rFonts w:ascii="Arial" w:cs="Arial" w:eastAsia="Arial" w:hAnsi="Arial"/>
          <w:sz w:val="18"/>
          <w:szCs w:val="18"/>
          <w:b w:val="1"/>
          <w:bCs w:val="1"/>
          <w:u w:val="single" w:color="auto"/>
          <w:color w:val="auto"/>
        </w:rPr>
        <w:t>Inversion</w:t>
      </w:r>
      <w:r>
        <w:rPr>
          <w:rFonts w:ascii="Arial" w:cs="Arial" w:eastAsia="Arial" w:hAnsi="Arial"/>
          <w:sz w:val="18"/>
          <w:szCs w:val="18"/>
          <w:color w:val="auto"/>
        </w:rPr>
        <w:t xml:space="preserve"> Documents in a manner that is materially adverse to the interests of the Lenders.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Section 6.15 Sanction Laws and Regulations</w:t>
      </w:r>
      <w:r>
        <w:rPr>
          <w:rFonts w:ascii="Arial" w:cs="Arial" w:eastAsia="Arial" w:hAnsi="Arial"/>
          <w:sz w:val="16"/>
          <w:szCs w:val="16"/>
          <w:color w:val="auto"/>
        </w:rPr>
        <w:t>. (a) Use the proceeds of the facilities under the Loan Documents, or lend, contribute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54" w:lineRule="exact"/>
        <w:rPr>
          <w:sz w:val="20"/>
          <w:szCs w:val="20"/>
          <w:color w:val="auto"/>
        </w:rPr>
      </w:pPr>
    </w:p>
    <w:p>
      <w:pPr>
        <w:jc w:val="both"/>
        <w:ind w:right="20" w:firstLine="656"/>
        <w:spacing w:after="0" w:line="264" w:lineRule="auto"/>
        <w:tabs>
          <w:tab w:leader="none" w:pos="11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6.16</w:t>
      </w:r>
      <w:r>
        <w:rPr>
          <w:sz w:val="20"/>
          <w:szCs w:val="20"/>
          <w:color w:val="auto"/>
        </w:rPr>
        <w:tab/>
      </w:r>
      <w:r>
        <w:rPr>
          <w:rFonts w:ascii="Arial" w:cs="Arial" w:eastAsia="Arial" w:hAnsi="Arial"/>
          <w:sz w:val="16"/>
          <w:szCs w:val="16"/>
          <w:b w:val="1"/>
          <w:bCs w:val="1"/>
          <w:i w:val="1"/>
          <w:iCs w:val="1"/>
          <w:color w:val="auto"/>
        </w:rPr>
        <w:t>Anti-Corruption Laws</w:t>
      </w:r>
      <w:r>
        <w:rPr>
          <w:rFonts w:ascii="Arial" w:cs="Arial" w:eastAsia="Arial" w:hAnsi="Arial"/>
          <w:sz w:val="16"/>
          <w:szCs w:val="16"/>
          <w:color w:val="auto"/>
        </w:rPr>
        <w:t>. Violate the laws or regulations described in Section 3.23 in such a manner as to result in a Material Adverse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6.17 Cross-Guarantee</w:t>
      </w:r>
      <w:r>
        <w:rPr>
          <w:rFonts w:ascii="Arial" w:cs="Arial" w:eastAsia="Arial" w:hAnsi="Arial"/>
          <w:sz w:val="18"/>
          <w:szCs w:val="18"/>
          <w:color w:val="auto"/>
        </w:rPr>
        <w:t>. No Loan Party shall enter into a deed of cross-guarantee for the purposes of ASIC Class Order CO 98/1418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with Civeo Holdings Company 1 Pty Limited and its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2" w:name="page183"/>
    <w:bookmarkEnd w:id="182"/>
    <w:p>
      <w:pPr>
        <w:jc w:val="center"/>
        <w:ind w:right="220"/>
        <w:spacing w:after="0"/>
        <w:rPr>
          <w:sz w:val="20"/>
          <w:szCs w:val="20"/>
          <w:color w:val="auto"/>
        </w:rPr>
      </w:pPr>
      <w:r>
        <w:rPr>
          <w:rFonts w:ascii="Arial" w:cs="Arial" w:eastAsia="Arial" w:hAnsi="Arial"/>
          <w:sz w:val="18"/>
          <w:szCs w:val="18"/>
          <w:b w:val="1"/>
          <w:bCs w:val="1"/>
          <w:i w:val="1"/>
          <w:i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7.01</w:t>
      </w:r>
      <w:r>
        <w:rPr>
          <w:sz w:val="20"/>
          <w:szCs w:val="20"/>
          <w:color w:val="auto"/>
        </w:rPr>
        <w:tab/>
      </w: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In case of the happening of any of the following events (“</w:t>
      </w:r>
      <w:r>
        <w:rPr>
          <w:rFonts w:ascii="Arial" w:cs="Arial" w:eastAsia="Arial" w:hAnsi="Arial"/>
          <w:sz w:val="16"/>
          <w:szCs w:val="16"/>
          <w:i w:val="1"/>
          <w:iCs w:val="1"/>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6" w:lineRule="auto"/>
        <w:tabs>
          <w:tab w:leader="none" w:pos="107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1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81" w:lineRule="exact"/>
        <w:rPr>
          <w:rFonts w:ascii="Arial" w:cs="Arial" w:eastAsia="Arial" w:hAnsi="Arial"/>
          <w:sz w:val="18"/>
          <w:szCs w:val="18"/>
          <w:color w:val="auto"/>
        </w:rPr>
      </w:pPr>
    </w:p>
    <w:p>
      <w:pPr>
        <w:ind w:firstLine="656"/>
        <w:spacing w:after="0" w:line="277" w:lineRule="auto"/>
        <w:tabs>
          <w:tab w:leader="none" w:pos="121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Section 5.01(a), 5.05(a), 5.08 or in Article VI;</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(ii) any Responsible Officer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obtains actual knowledge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15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(ii) shall not apply to secured Indebtedness that becomes due as a result of the voluntary sale or transfer of the property or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jc w:val="both"/>
        <w:ind w:firstLine="656"/>
        <w:spacing w:after="0" w:line="255" w:lineRule="auto"/>
        <w:tabs>
          <w:tab w:leader="none" w:pos="109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08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w:t>
      </w:r>
    </w:p>
    <w:p>
      <w:pPr>
        <w:spacing w:after="0" w:line="1" w:lineRule="exact"/>
        <w:rPr>
          <w:rFonts w:ascii="Arial" w:cs="Arial" w:eastAsia="Arial" w:hAnsi="Arial"/>
          <w:sz w:val="16"/>
          <w:szCs w:val="16"/>
          <w:color w:val="auto"/>
        </w:rPr>
      </w:pPr>
    </w:p>
    <w:p>
      <w:pPr>
        <w:jc w:val="both"/>
        <w:ind w:firstLine="8"/>
        <w:spacing w:after="0" w:line="268" w:lineRule="auto"/>
        <w:tabs>
          <w:tab w:leader="none" w:pos="28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84" w:lineRule="exact"/>
        <w:rPr>
          <w:rFonts w:ascii="Arial" w:cs="Arial" w:eastAsia="Arial" w:hAnsi="Arial"/>
          <w:sz w:val="17"/>
          <w:szCs w:val="17"/>
          <w:color w:val="auto"/>
        </w:rPr>
      </w:pPr>
    </w:p>
    <w:p>
      <w:pPr>
        <w:jc w:val="both"/>
        <w:ind w:firstLine="656"/>
        <w:spacing w:after="0" w:line="259" w:lineRule="auto"/>
        <w:tabs>
          <w:tab w:leader="none" w:pos="11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86" w:lineRule="exact"/>
        <w:rPr>
          <w:rFonts w:ascii="Arial" w:cs="Arial" w:eastAsia="Arial" w:hAnsi="Arial"/>
          <w:sz w:val="18"/>
          <w:szCs w:val="18"/>
          <w:color w:val="auto"/>
        </w:rPr>
      </w:pPr>
    </w:p>
    <w:p>
      <w:pPr>
        <w:ind w:right="20" w:firstLine="656"/>
        <w:spacing w:after="0" w:line="308" w:lineRule="auto"/>
        <w:tabs>
          <w:tab w:leader="none" w:pos="104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7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4" w:name="page185"/>
    <w:bookmarkEnd w:id="184"/>
    <w:p>
      <w:pPr>
        <w:jc w:val="both"/>
        <w:ind w:firstLine="656"/>
        <w:spacing w:after="0" w:line="257" w:lineRule="auto"/>
        <w:tabs>
          <w:tab w:leader="none" w:pos="10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206" w:lineRule="exact"/>
        <w:rPr>
          <w:rFonts w:ascii="Arial" w:cs="Arial" w:eastAsia="Arial" w:hAnsi="Arial"/>
          <w:sz w:val="18"/>
          <w:szCs w:val="18"/>
          <w:color w:val="auto"/>
        </w:rPr>
      </w:pPr>
    </w:p>
    <w:p>
      <w:pPr>
        <w:ind w:left="1240" w:hanging="584"/>
        <w:spacing w:after="0"/>
        <w:tabs>
          <w:tab w:leader="none" w:pos="1240" w:val="left"/>
        </w:tabs>
        <w:numPr>
          <w:ilvl w:val="0"/>
          <w:numId w:val="149"/>
        </w:numPr>
        <w:rPr>
          <w:rFonts w:ascii="Arial" w:cs="Arial" w:eastAsia="Arial" w:hAnsi="Arial"/>
          <w:sz w:val="22"/>
          <w:szCs w:val="22"/>
          <w:color w:val="auto"/>
        </w:rPr>
      </w:pPr>
      <w:r>
        <w:rPr>
          <w:rFonts w:ascii="Arial" w:cs="Arial" w:eastAsia="Arial" w:hAnsi="Arial"/>
          <w:sz w:val="18"/>
          <w:szCs w:val="18"/>
          <w:b w:val="1"/>
          <w:bCs w:val="1"/>
          <w:color w:val="auto"/>
          <w:strike w:val="1"/>
        </w:rPr>
        <w:t>there shall have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in Control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shall have occurred</w:t>
      </w:r>
      <w:r>
        <w:rPr>
          <w:rFonts w:ascii="Arial" w:cs="Arial" w:eastAsia="Arial" w:hAnsi="Arial"/>
          <w:sz w:val="18"/>
          <w:szCs w:val="18"/>
          <w:color w:val="auto"/>
        </w:rPr>
        <w:t>.</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7.02 Optional Acceleration of Maturity</w:t>
      </w:r>
      <w:r>
        <w:rPr>
          <w:rFonts w:ascii="Arial" w:cs="Arial" w:eastAsia="Arial" w:hAnsi="Arial"/>
          <w:sz w:val="18"/>
          <w:szCs w:val="18"/>
          <w:color w:val="auto"/>
        </w:rPr>
        <w:t>. If any Event of Default (other than an Event of Default pursuant to Section 7.01(g) or (h))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occurred and be continuing, then, and in any such event:</w:t>
      </w:r>
    </w:p>
    <w:p>
      <w:pPr>
        <w:spacing w:after="0" w:line="166" w:lineRule="exact"/>
        <w:rPr>
          <w:sz w:val="20"/>
          <w:szCs w:val="20"/>
          <w:color w:val="auto"/>
        </w:rPr>
      </w:pPr>
    </w:p>
    <w:p>
      <w:pPr>
        <w:jc w:val="both"/>
        <w:ind w:firstLine="656"/>
        <w:spacing w:after="0" w:line="255" w:lineRule="auto"/>
        <w:tabs>
          <w:tab w:leader="none" w:pos="113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Administrative Agent (i) shall at the request, or may, with the consent, of the Required Revolving Lenders, by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5" w:name="page186"/>
    <w:bookmarkEnd w:id="185"/>
    <w:p>
      <w:pPr>
        <w:ind w:firstLine="656"/>
        <w:spacing w:after="0" w:line="277" w:lineRule="auto"/>
        <w:tabs>
          <w:tab w:leader="none" w:pos="117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on demand of any Administrative Agent at the request or with the consent of the Required Revolving Lenders, Cash Collateralize the Letters of Credit in accordance with Section 2.21(k); and</w:t>
      </w:r>
    </w:p>
    <w:p>
      <w:pPr>
        <w:spacing w:after="0" w:line="170" w:lineRule="exact"/>
        <w:rPr>
          <w:rFonts w:ascii="Arial" w:cs="Arial" w:eastAsia="Arial" w:hAnsi="Arial"/>
          <w:sz w:val="18"/>
          <w:szCs w:val="18"/>
          <w:color w:val="auto"/>
        </w:rPr>
      </w:pPr>
    </w:p>
    <w:p>
      <w:pPr>
        <w:ind w:firstLine="656"/>
        <w:spacing w:after="0" w:line="342" w:lineRule="auto"/>
        <w:tabs>
          <w:tab w:leader="none" w:pos="112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i w:val="1"/>
          <w:iCs w:val="1"/>
          <w:color w:val="auto"/>
        </w:rPr>
        <w:t>Section 7.03</w:t>
      </w:r>
      <w:r>
        <w:rPr>
          <w:sz w:val="20"/>
          <w:szCs w:val="20"/>
          <w:color w:val="auto"/>
        </w:rPr>
        <w:tab/>
      </w:r>
      <w:r>
        <w:rPr>
          <w:rFonts w:ascii="Arial" w:cs="Arial" w:eastAsia="Arial" w:hAnsi="Arial"/>
          <w:sz w:val="16"/>
          <w:szCs w:val="16"/>
          <w:b w:val="1"/>
          <w:bCs w:val="1"/>
          <w:i w:val="1"/>
          <w:iCs w:val="1"/>
          <w:color w:val="auto"/>
        </w:rPr>
        <w:t>Automatic Acceleration of Maturity</w:t>
      </w:r>
      <w:r>
        <w:rPr>
          <w:rFonts w:ascii="Arial" w:cs="Arial" w:eastAsia="Arial" w:hAnsi="Arial"/>
          <w:sz w:val="16"/>
          <w:szCs w:val="16"/>
          <w:color w:val="auto"/>
        </w:rPr>
        <w:t>. If any Event of Default pursuant to Section 7.01(g) or (h) shall occur:</w:t>
      </w:r>
    </w:p>
    <w:p>
      <w:pPr>
        <w:spacing w:after="0" w:line="225" w:lineRule="exact"/>
        <w:rPr>
          <w:sz w:val="20"/>
          <w:szCs w:val="20"/>
          <w:color w:val="auto"/>
        </w:rPr>
      </w:pPr>
    </w:p>
    <w:p>
      <w:pPr>
        <w:jc w:val="both"/>
        <w:ind w:firstLine="656"/>
        <w:spacing w:after="0" w:line="276" w:lineRule="auto"/>
        <w:tabs>
          <w:tab w:leader="none" w:pos="114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72" w:lineRule="exact"/>
        <w:rPr>
          <w:rFonts w:ascii="Arial" w:cs="Arial" w:eastAsia="Arial" w:hAnsi="Arial"/>
          <w:sz w:val="17"/>
          <w:szCs w:val="17"/>
          <w:color w:val="auto"/>
        </w:rPr>
      </w:pPr>
    </w:p>
    <w:p>
      <w:pPr>
        <w:ind w:left="1100" w:hanging="444"/>
        <w:spacing w:after="0"/>
        <w:tabs>
          <w:tab w:leader="none" w:pos="11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Borrowers shall Cash Collateralize the Letters of Credit in accordance with Section 2.21(k); and</w:t>
      </w:r>
    </w:p>
    <w:p>
      <w:pPr>
        <w:spacing w:after="0" w:line="225" w:lineRule="exact"/>
        <w:rPr>
          <w:rFonts w:ascii="Arial" w:cs="Arial" w:eastAsia="Arial" w:hAnsi="Arial"/>
          <w:sz w:val="18"/>
          <w:szCs w:val="18"/>
          <w:color w:val="auto"/>
        </w:rPr>
      </w:pPr>
    </w:p>
    <w:p>
      <w:pPr>
        <w:ind w:firstLine="656"/>
        <w:spacing w:after="0" w:line="308" w:lineRule="auto"/>
        <w:tabs>
          <w:tab w:leader="none" w:pos="108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Section 7.04 Non-exclusivity of Remedies</w:t>
      </w:r>
      <w:r>
        <w:rPr>
          <w:rFonts w:ascii="Arial" w:cs="Arial" w:eastAsia="Arial" w:hAnsi="Arial"/>
          <w:sz w:val="17"/>
          <w:szCs w:val="17"/>
          <w:color w:val="auto"/>
        </w:rPr>
        <w:t>. No remedy conferred upon the Agents, the Issuing Banks and the Lenders is intended to be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any other remedy, and each remedy shall be cumulative of all other remedies existing by contract, at law, in equity, by statute or otherwise.</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i w:val="1"/>
          <w:iCs w:val="1"/>
          <w:color w:val="auto"/>
        </w:rPr>
        <w:t>Section 7.05 Application of Proceeds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and during the continuance of any Event of Default, any monies or property actually received by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pursuant to this Agreement or any other Loan Document, the exercise of any rights or remedies under any Security Document or any other agreement with any Loan Party which secures any of the Obligations, shall be applied in accordance with the CAM Exchange Agreement.</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VIII</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The Administrative Agents, the Collateral Agents,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b w:val="1"/>
          <w:bCs w:val="1"/>
          <w:i w:val="1"/>
          <w:iCs w:val="1"/>
          <w:color w:val="auto"/>
        </w:rPr>
        <w:t>the Issuing Banks and the Swing Line Lenders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Section 8.01 Appointment and Authority</w:t>
      </w:r>
      <w:r>
        <w:rPr>
          <w:rFonts w:ascii="Arial" w:cs="Arial" w:eastAsia="Arial" w:hAnsi="Arial"/>
          <w:sz w:val="16"/>
          <w:szCs w:val="16"/>
          <w:color w:val="auto"/>
        </w:rPr>
        <w:t>. Each of the Lenders, the Swing Line Lenders and the Issuing Banks hereby irrevocably appoints RBC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8.02 Rights as a Lender</w:t>
      </w:r>
      <w:r>
        <w:rPr>
          <w:rFonts w:ascii="Arial" w:cs="Arial" w:eastAsia="Arial" w:hAnsi="Arial"/>
          <w:sz w:val="18"/>
          <w:szCs w:val="18"/>
          <w:color w:val="auto"/>
        </w:rPr>
        <w:t>. The person serving as an Agent or an Issuing Bank or a Swing Line Lender hereunder shall have the same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6" w:name="page187"/>
    <w:bookmarkEnd w:id="186"/>
    <w:p>
      <w:pPr>
        <w:ind w:firstLine="648"/>
        <w:spacing w:after="0" w:line="342" w:lineRule="auto"/>
        <w:rPr>
          <w:sz w:val="20"/>
          <w:szCs w:val="20"/>
          <w:color w:val="auto"/>
        </w:rPr>
      </w:pPr>
      <w:r>
        <w:rPr>
          <w:rFonts w:ascii="Arial" w:cs="Arial" w:eastAsia="Arial" w:hAnsi="Arial"/>
          <w:sz w:val="16"/>
          <w:szCs w:val="16"/>
          <w:b w:val="1"/>
          <w:bCs w:val="1"/>
          <w:i w:val="1"/>
          <w:iCs w:val="1"/>
          <w:color w:val="auto"/>
        </w:rPr>
        <w:t>Section 8.03 Exculpatory Provisions</w:t>
      </w:r>
      <w:r>
        <w:rPr>
          <w:rFonts w:ascii="Arial" w:cs="Arial" w:eastAsia="Arial" w:hAnsi="Arial"/>
          <w:sz w:val="16"/>
          <w:szCs w:val="16"/>
          <w:color w:val="auto"/>
        </w:rPr>
        <w:t>. None of the Agents, Issuing Banks or the Swing Line Lenders shall have any duties or obligations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expressly set forth herein and in the other Loan Documents. Without limiting the generality of the foregoing, none of the Agents or the Issuing Banks:</w:t>
      </w:r>
    </w:p>
    <w:p>
      <w:pPr>
        <w:spacing w:after="0" w:line="124" w:lineRule="exact"/>
        <w:rPr>
          <w:sz w:val="20"/>
          <w:szCs w:val="20"/>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15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0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shall, except as expressly set forth herein and in the other Loan Documents, have any duty to disclose, and shall not be liable for the failure to disclose, any information relating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Affiliates or Subsidiaries that is communicated to or obtained by the person serving as Agent, Issuing Bank, Swing Line Lender or any of their respective Affiliates in any capacity.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7" w:name="page188"/>
    <w:bookmarkEnd w:id="187"/>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8.04 Reliance by the Agents, the Issuing Banks and the Swing Line Lenders</w:t>
      </w:r>
      <w:r>
        <w:rPr>
          <w:rFonts w:ascii="Arial" w:cs="Arial" w:eastAsia="Arial" w:hAnsi="Arial"/>
          <w:sz w:val="18"/>
          <w:szCs w:val="18"/>
          <w:color w:val="auto"/>
        </w:rPr>
        <w:t>. Each of the Agents, Issuing Banks and the Swing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Section 8.05 Delegation of Duties</w:t>
      </w:r>
      <w:r>
        <w:rPr>
          <w:rFonts w:ascii="Arial" w:cs="Arial" w:eastAsia="Arial" w:hAnsi="Arial"/>
          <w:sz w:val="17"/>
          <w:szCs w:val="17"/>
          <w:color w:val="auto"/>
        </w:rPr>
        <w:t>. Each of the Agents may perform any and all of its duties and exercise its rights and powers hereunder or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8.06</w:t>
      </w:r>
      <w:r>
        <w:rPr>
          <w:sz w:val="20"/>
          <w:szCs w:val="20"/>
          <w:color w:val="auto"/>
        </w:rPr>
        <w:tab/>
      </w:r>
      <w:r>
        <w:rPr>
          <w:rFonts w:ascii="Arial" w:cs="Arial" w:eastAsia="Arial" w:hAnsi="Arial"/>
          <w:sz w:val="15"/>
          <w:szCs w:val="15"/>
          <w:b w:val="1"/>
          <w:bCs w:val="1"/>
          <w:i w:val="1"/>
          <w:iCs w:val="1"/>
          <w:color w:val="auto"/>
        </w:rPr>
        <w:t>Resignation of an Agent or a Swing Line Lender</w:t>
      </w:r>
      <w:r>
        <w:rPr>
          <w:rFonts w:ascii="Arial" w:cs="Arial" w:eastAsia="Arial" w:hAnsi="Arial"/>
          <w:sz w:val="15"/>
          <w:szCs w:val="15"/>
          <w:color w:val="auto"/>
        </w:rPr>
        <w:t>.</w:t>
      </w:r>
    </w:p>
    <w:p>
      <w:pPr>
        <w:spacing w:after="0" w:line="221" w:lineRule="exact"/>
        <w:rPr>
          <w:sz w:val="20"/>
          <w:szCs w:val="20"/>
          <w:color w:val="auto"/>
        </w:rPr>
      </w:pPr>
    </w:p>
    <w:p>
      <w:pPr>
        <w:jc w:val="both"/>
        <w:ind w:firstLine="656"/>
        <w:spacing w:after="0" w:line="285" w:lineRule="auto"/>
        <w:tabs>
          <w:tab w:leader="none" w:pos="11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An Agent may resign at any time by giving prior written notice thereof to the Lenders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Canadian Borrowers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8" w:name="page189"/>
    <w:bookmarkEnd w:id="188"/>
    <w:p>
      <w:pPr>
        <w:jc w:val="both"/>
        <w:ind w:firstLine="656"/>
        <w:spacing w:after="0" w:line="287" w:lineRule="auto"/>
        <w:tabs>
          <w:tab w:leader="none" w:pos="107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w:t>
      </w:r>
      <w:r>
        <w:rPr>
          <w:rFonts w:ascii="Arial" w:cs="Arial" w:eastAsia="Arial" w:hAnsi="Arial"/>
          <w:sz w:val="16"/>
          <w:szCs w:val="16"/>
          <w:b w:val="1"/>
          <w:bCs w:val="1"/>
          <w:u w:val="single" w:color="auto"/>
          <w:color w:val="auto"/>
        </w:rPr>
        <w:t>Tranche A Revolving Credit Facility and the Canadian Tranche B</w:t>
      </w:r>
      <w:r>
        <w:rPr>
          <w:rFonts w:ascii="Arial" w:cs="Arial" w:eastAsia="Arial" w:hAnsi="Arial"/>
          <w:sz w:val="16"/>
          <w:szCs w:val="16"/>
          <w:color w:val="auto"/>
        </w:rPr>
        <w:t xml:space="preserve">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72" w:lineRule="exact"/>
        <w:rPr>
          <w:rFonts w:ascii="Arial" w:cs="Arial" w:eastAsia="Arial" w:hAnsi="Arial"/>
          <w:sz w:val="16"/>
          <w:szCs w:val="16"/>
          <w:color w:val="auto"/>
        </w:rPr>
      </w:pPr>
    </w:p>
    <w:p>
      <w:pPr>
        <w:jc w:val="both"/>
        <w:ind w:firstLine="656"/>
        <w:spacing w:after="0" w:line="286" w:lineRule="auto"/>
        <w:tabs>
          <w:tab w:leader="none" w:pos="108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 shall have the right to appoint a successor U.S. Swing Line Lender. The Canadian Swing Line Lender may resign at any time by giving prior written notice thereof to the Canadian Administrative Agent and the Canadian Borrowers,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Canadian Borrowers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9" w:name="page190"/>
    <w:bookmarkEnd w:id="189"/>
    <w:p>
      <w:pPr>
        <w:ind w:left="640"/>
        <w:spacing w:after="0"/>
        <w:tabs>
          <w:tab w:leader="none" w:pos="1760" w:val="left"/>
        </w:tabs>
        <w:rPr>
          <w:sz w:val="20"/>
          <w:szCs w:val="20"/>
          <w:color w:val="auto"/>
        </w:rPr>
      </w:pPr>
      <w:r>
        <w:rPr>
          <w:rFonts w:ascii="Arial" w:cs="Arial" w:eastAsia="Arial" w:hAnsi="Arial"/>
          <w:sz w:val="18"/>
          <w:szCs w:val="18"/>
          <w:b w:val="1"/>
          <w:bCs w:val="1"/>
          <w:i w:val="1"/>
          <w:iCs w:val="1"/>
          <w:color w:val="auto"/>
        </w:rPr>
        <w:t>Section 8.07</w:t>
      </w:r>
      <w:r>
        <w:rPr>
          <w:sz w:val="20"/>
          <w:szCs w:val="20"/>
          <w:color w:val="auto"/>
        </w:rPr>
        <w:tab/>
      </w:r>
      <w:r>
        <w:rPr>
          <w:rFonts w:ascii="Arial" w:cs="Arial" w:eastAsia="Arial" w:hAnsi="Arial"/>
          <w:sz w:val="15"/>
          <w:szCs w:val="15"/>
          <w:b w:val="1"/>
          <w:bCs w:val="1"/>
          <w:i w:val="1"/>
          <w:iCs w:val="1"/>
          <w:color w:val="auto"/>
        </w:rPr>
        <w:t>Non-Reliance on Agents and Other Lenders; Certain Acknowledgments</w:t>
      </w:r>
      <w:r>
        <w:rPr>
          <w:rFonts w:ascii="Arial" w:cs="Arial" w:eastAsia="Arial" w:hAnsi="Arial"/>
          <w:sz w:val="15"/>
          <w:szCs w:val="15"/>
          <w:color w:val="auto"/>
        </w:rPr>
        <w:t>.</w:t>
      </w:r>
    </w:p>
    <w:p>
      <w:pPr>
        <w:spacing w:after="0" w:line="225" w:lineRule="exact"/>
        <w:rPr>
          <w:sz w:val="20"/>
          <w:szCs w:val="20"/>
          <w:color w:val="auto"/>
        </w:rPr>
      </w:pPr>
    </w:p>
    <w:p>
      <w:pPr>
        <w:jc w:val="both"/>
        <w:ind w:left="-20" w:firstLine="656"/>
        <w:spacing w:after="0" w:line="270" w:lineRule="auto"/>
        <w:tabs>
          <w:tab w:leader="none" w:pos="111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Lender shall be deemed by delivering its signature page to this Agreement and making any Loan on the Funding Date to have consented to, approved or accepted each Loan Document and each other document or other matter referred to in Section 4.01, 4.02 or 4.03 required to be consented to or approved by or acceptable or satisfactory to the Agents, the Lead Arrangers or the Lenders and to have been satisfied with the satisfaction of all other conditions precedent required to be satisfied under Section 4.01, 4.02 or 4.03.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90" w:name="page191"/>
    <w:bookmarkEnd w:id="190"/>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8.08 Indemnification</w:t>
      </w:r>
      <w:r>
        <w:rPr>
          <w:rFonts w:ascii="Arial" w:cs="Arial" w:eastAsia="Arial" w:hAnsi="Arial"/>
          <w:sz w:val="17"/>
          <w:szCs w:val="17"/>
          <w:color w:val="auto"/>
        </w:rPr>
        <w:t>. The Lenders severally agree to indemnify upon demand the Agents, the Issuing Banks, the Swing Line Lenders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7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8.09</w:t>
      </w:r>
      <w:r>
        <w:rPr>
          <w:sz w:val="20"/>
          <w:szCs w:val="20"/>
          <w:color w:val="auto"/>
        </w:rPr>
        <w:tab/>
      </w:r>
      <w:r>
        <w:rPr>
          <w:rFonts w:ascii="Arial" w:cs="Arial" w:eastAsia="Arial" w:hAnsi="Arial"/>
          <w:sz w:val="16"/>
          <w:szCs w:val="16"/>
          <w:b w:val="1"/>
          <w:bCs w:val="1"/>
          <w:color w:val="auto"/>
        </w:rPr>
        <w:t>Collateral and Guaranty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0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Each Lender (as a Lender and in its capacity as a potential provider of Banking Services, as a potential counterparty to a Hedging Agreement or, in the case of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as lender under the </w:t>
      </w:r>
      <w:r>
        <w:rPr>
          <w:rFonts w:ascii="Arial" w:cs="Arial" w:eastAsia="Arial" w:hAnsi="Arial"/>
          <w:sz w:val="17"/>
          <w:szCs w:val="17"/>
          <w:b w:val="1"/>
          <w:bCs w:val="1"/>
          <w:color w:val="auto"/>
          <w:strike w:val="1"/>
        </w:rPr>
        <w:t>NAB</w:t>
      </w:r>
      <w:r>
        <w:rPr>
          <w:rFonts w:ascii="Arial" w:cs="Arial" w:eastAsia="Arial" w:hAnsi="Arial"/>
          <w:sz w:val="17"/>
          <w:szCs w:val="17"/>
          <w:color w:val="auto"/>
        </w:rPr>
        <w:t xml:space="preserve">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Each Lender (as a Lender and in its capacity as a potential provider of Banking Services, as a potential counterparty to a Hedging Agreement or, in the case of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as lender under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1" w:name="page192"/>
    <w:bookmarkEnd w:id="191"/>
    <w:p>
      <w:pPr>
        <w:jc w:val="both"/>
        <w:ind w:left="660" w:firstLine="645"/>
        <w:spacing w:after="0" w:line="264" w:lineRule="auto"/>
        <w:tabs>
          <w:tab w:leader="none" w:pos="17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81" w:lineRule="exact"/>
        <w:rPr>
          <w:rFonts w:ascii="Arial" w:cs="Arial" w:eastAsia="Arial" w:hAnsi="Arial"/>
          <w:sz w:val="18"/>
          <w:szCs w:val="18"/>
          <w:color w:val="auto"/>
        </w:rPr>
      </w:pPr>
    </w:p>
    <w:p>
      <w:pPr>
        <w:ind w:left="660" w:firstLine="645"/>
        <w:spacing w:after="0" w:line="277" w:lineRule="auto"/>
        <w:tabs>
          <w:tab w:leader="none" w:pos="18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80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take any action in exigent circumstances as may be reasonably necessary to preserve any rights or privileges of the Secured Parties under the Loan Documents or applicable law;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3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Collateral Agent under any Loan Document to the holder of any Lien on such property that is permitted by Section 6.02(j).</w:t>
      </w:r>
    </w:p>
    <w:p>
      <w:pPr>
        <w:spacing w:after="0" w:line="170" w:lineRule="exact"/>
        <w:rPr>
          <w:rFonts w:ascii="Arial" w:cs="Arial" w:eastAsia="Arial" w:hAnsi="Arial"/>
          <w:sz w:val="18"/>
          <w:szCs w:val="18"/>
          <w:color w:val="auto"/>
        </w:rPr>
      </w:pPr>
    </w:p>
    <w:p>
      <w:pPr>
        <w:ind w:firstLine="656"/>
        <w:spacing w:after="0" w:line="277" w:lineRule="auto"/>
        <w:tabs>
          <w:tab w:leader="none" w:pos="113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the Secured Parties will confirm in writing the Collateral Agent’s authority to release particular types or items of Collateral pursuant to this Section 8.09.</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18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72" w:lineRule="exact"/>
        <w:rPr>
          <w:rFonts w:ascii="Arial" w:cs="Arial" w:eastAsia="Arial" w:hAnsi="Arial"/>
          <w:sz w:val="16"/>
          <w:szCs w:val="16"/>
          <w:color w:val="auto"/>
        </w:rPr>
      </w:pPr>
    </w:p>
    <w:p>
      <w:pPr>
        <w:jc w:val="both"/>
        <w:ind w:firstLine="656"/>
        <w:spacing w:after="0" w:line="290" w:lineRule="auto"/>
        <w:tabs>
          <w:tab w:leader="none" w:pos="11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selected by an Agent in good faith.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2" w:name="page193"/>
    <w:bookmarkEnd w:id="192"/>
    <w:p>
      <w:pPr>
        <w:jc w:val="both"/>
        <w:ind w:firstLine="656"/>
        <w:spacing w:after="0" w:line="257" w:lineRule="auto"/>
        <w:tabs>
          <w:tab w:leader="none" w:pos="107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Borrowers, the Agents and each Secured Party hereby agree that no Secured Party shall have any right individually to realize upon any of the Collateral or to enforce any of the Guarantees in the Guarantee Agreements,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8.10 No Other Duties, etc</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 Anything herein to the contrary notwithstanding, the Lead Arranger and the Sole Bookrunner listed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 page hereof shall not have any powers, duties or responsibilities under this Agreement or any of the other Loan Documents, except in its capacity, as applicable, as an Agent, a Lender or an Issuing Bank.</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8.11 Agents May File Proofs of Claim</w:t>
      </w:r>
      <w:r>
        <w:rPr>
          <w:rFonts w:ascii="Arial" w:cs="Arial" w:eastAsia="Arial" w:hAnsi="Arial"/>
          <w:sz w:val="18"/>
          <w:szCs w:val="18"/>
          <w:color w:val="auto"/>
        </w:rPr>
        <w:t>. In case of the pendency of any proceeding under any Insolvency Law or any other judicial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87" w:lineRule="exact"/>
        <w:rPr>
          <w:sz w:val="20"/>
          <w:szCs w:val="20"/>
          <w:color w:val="auto"/>
        </w:rPr>
      </w:pPr>
    </w:p>
    <w:p>
      <w:pPr>
        <w:jc w:val="both"/>
        <w:ind w:firstLine="656"/>
        <w:spacing w:after="0" w:line="255" w:lineRule="auto"/>
        <w:tabs>
          <w:tab w:leader="none" w:pos="10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Disbursements and all other Obligations (other than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its Subsidiaries owing to any Lender or Affiliate thereof pursuant to any Hedging Agreement, any Banking Services Obligations or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93" w:lineRule="exact"/>
        <w:rPr>
          <w:rFonts w:ascii="Arial" w:cs="Arial" w:eastAsia="Arial" w:hAnsi="Arial"/>
          <w:sz w:val="18"/>
          <w:szCs w:val="18"/>
          <w:color w:val="auto"/>
        </w:rPr>
      </w:pPr>
    </w:p>
    <w:p>
      <w:pPr>
        <w:ind w:left="1100" w:hanging="444"/>
        <w:spacing w:after="0"/>
        <w:tabs>
          <w:tab w:leader="none" w:pos="11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3" w:name="page194"/>
    <w:bookmarkEnd w:id="193"/>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Miscellaneous</w:t>
      </w:r>
    </w:p>
    <w:p>
      <w:pPr>
        <w:spacing w:after="0" w:line="22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6" w:lineRule="auto"/>
        <w:tabs>
          <w:tab w:leader="none" w:pos="1199" w:val="left"/>
        </w:tabs>
        <w:numPr>
          <w:ilvl w:val="0"/>
          <w:numId w:val="1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Notices Generally. </w:t>
      </w:r>
      <w:r>
        <w:rPr>
          <w:rFonts w:ascii="Arial" w:cs="Arial" w:eastAsia="Arial" w:hAnsi="Arial"/>
          <w:sz w:val="17"/>
          <w:szCs w:val="17"/>
          <w:color w:val="auto"/>
        </w:rPr>
        <w:t>Except in the case of notices and other communications expressly permitted to be given by telephone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61" w:lineRule="exact"/>
        <w:rPr>
          <w:rFonts w:ascii="Arial" w:cs="Arial" w:eastAsia="Arial" w:hAnsi="Arial"/>
          <w:sz w:val="17"/>
          <w:szCs w:val="17"/>
          <w:i w:val="1"/>
          <w:iCs w:val="1"/>
          <w:color w:val="auto"/>
        </w:rPr>
      </w:pPr>
    </w:p>
    <w:p>
      <w:pPr>
        <w:ind w:left="660" w:firstLine="645"/>
        <w:spacing w:after="0" w:line="282" w:lineRule="auto"/>
        <w:tabs>
          <w:tab w:leader="none" w:pos="1755" w:val="left"/>
        </w:tabs>
        <w:numPr>
          <w:ilvl w:val="1"/>
          <w:numId w:val="1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If to the Parent Borrower, to it at Three Allen Center, 333 Clay Street, Suite 4980, Houston, Texas 77002, Attention of Chief Financial Officer (Fax No. (713) 651-0369);</w:t>
      </w:r>
    </w:p>
    <w:p>
      <w:pPr>
        <w:spacing w:after="0" w:line="202" w:lineRule="exact"/>
        <w:rPr>
          <w:rFonts w:ascii="Arial" w:cs="Arial" w:eastAsia="Arial" w:hAnsi="Arial"/>
          <w:sz w:val="18"/>
          <w:szCs w:val="18"/>
          <w:b w:val="1"/>
          <w:bCs w:val="1"/>
          <w:u w:val="single" w:color="auto"/>
          <w:color w:val="auto"/>
        </w:rPr>
      </w:pPr>
    </w:p>
    <w:p>
      <w:pPr>
        <w:ind w:left="660" w:firstLine="645"/>
        <w:spacing w:after="0" w:line="244" w:lineRule="auto"/>
        <w:tabs>
          <w:tab w:leader="none" w:pos="1937"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U.S. Borrower, to it at Three Allen Center, 333 Clay Street, Suite 4980, Houston, Texas 77002, Attention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(Fax No. (713) 651-0369);</w:t>
      </w:r>
    </w:p>
    <w:p>
      <w:pPr>
        <w:spacing w:after="0" w:line="234" w:lineRule="exact"/>
        <w:rPr>
          <w:rFonts w:ascii="Arial" w:cs="Arial" w:eastAsia="Arial" w:hAnsi="Arial"/>
          <w:sz w:val="22"/>
          <w:szCs w:val="22"/>
          <w:b w:val="1"/>
          <w:bCs w:val="1"/>
          <w:color w:val="auto"/>
        </w:rPr>
      </w:pPr>
    </w:p>
    <w:p>
      <w:pPr>
        <w:jc w:val="both"/>
        <w:ind w:left="660" w:firstLine="645"/>
        <w:spacing w:after="0" w:line="246" w:lineRule="auto"/>
        <w:tabs>
          <w:tab w:leader="none" w:pos="1956"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if to</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Borrower</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 than the Parent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to it at Civeo Canada Inc., at 3790 98th Street NW,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Edmonton, Alberta T6E 6B4, Attention of Chief Financial Officer (Fax No. (780) 462-6784), with a copy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at the address above;</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2039"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(iii)</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Australian Borrower, to it at Civeo Pty Limited, c/o Civeo Corporation, Three Allen Center, 333 Clay Street,</w:t>
      </w:r>
      <w:r>
        <w:rPr>
          <w:rFonts w:ascii="Arial" w:cs="Arial" w:eastAsia="Arial" w:hAnsi="Arial"/>
          <w:sz w:val="18"/>
          <w:szCs w:val="18"/>
          <w:b w:val="1"/>
          <w:bCs w:val="1"/>
          <w:color w:val="auto"/>
        </w:rPr>
        <w:t xml:space="preserve"> </w:t>
      </w:r>
      <w:r>
        <w:rPr>
          <w:rFonts w:ascii="Arial" w:cs="Arial" w:eastAsia="Arial" w:hAnsi="Arial"/>
          <w:sz w:val="18"/>
          <w:szCs w:val="18"/>
          <w:color w:val="auto"/>
        </w:rPr>
        <w:t>Suite 4980, Houston, Texas 77002, Attention of Chief Financial Officer (Fax No. (713) 462-6784);</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1938"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(iv)</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Administrative Agent or the U.S. Collateral Agent, to Royal Bank of Canada, at 4th Floor, 20 King Street West,</w:t>
      </w:r>
      <w:r>
        <w:rPr>
          <w:rFonts w:ascii="Arial" w:cs="Arial" w:eastAsia="Arial" w:hAnsi="Arial"/>
          <w:sz w:val="18"/>
          <w:szCs w:val="18"/>
          <w:b w:val="1"/>
          <w:bCs w:val="1"/>
          <w:color w:val="auto"/>
        </w:rPr>
        <w:t xml:space="preserve"> </w:t>
      </w:r>
      <w:r>
        <w:rPr>
          <w:rFonts w:ascii="Arial" w:cs="Arial" w:eastAsia="Arial" w:hAnsi="Arial"/>
          <w:sz w:val="18"/>
          <w:szCs w:val="18"/>
          <w:color w:val="auto"/>
        </w:rPr>
        <w:t>Toronto, Ontario M5H 1C4, Attention: Manager, Agency Services Group (Fax No. (416) 842-4023);</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1971"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(v)</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Canadian Administrative Agent or the Canadian Collateral Agent, to Royal Bank of Canada, at 4th Floor, 20 King</w:t>
      </w:r>
      <w:r>
        <w:rPr>
          <w:rFonts w:ascii="Arial" w:cs="Arial" w:eastAsia="Arial" w:hAnsi="Arial"/>
          <w:sz w:val="18"/>
          <w:szCs w:val="18"/>
          <w:b w:val="1"/>
          <w:bCs w:val="1"/>
          <w:color w:val="auto"/>
        </w:rPr>
        <w:t xml:space="preserve"> </w:t>
      </w:r>
      <w:r>
        <w:rPr>
          <w:rFonts w:ascii="Arial" w:cs="Arial" w:eastAsia="Arial" w:hAnsi="Arial"/>
          <w:sz w:val="18"/>
          <w:szCs w:val="18"/>
          <w:color w:val="auto"/>
        </w:rPr>
        <w:t>Street West, Toronto, Ontario M5H 1C4, Attention: Manager, Agency Services Group (Fax No. (416) 842-4023);</w:t>
      </w:r>
    </w:p>
    <w:p>
      <w:pPr>
        <w:spacing w:after="0" w:line="234" w:lineRule="exact"/>
        <w:rPr>
          <w:rFonts w:ascii="Arial" w:cs="Arial" w:eastAsia="Arial" w:hAnsi="Arial"/>
          <w:sz w:val="22"/>
          <w:szCs w:val="22"/>
          <w:b w:val="1"/>
          <w:bCs w:val="1"/>
          <w:color w:val="auto"/>
        </w:rPr>
      </w:pPr>
    </w:p>
    <w:p>
      <w:pPr>
        <w:ind w:left="660" w:firstLine="645"/>
        <w:spacing w:after="0" w:line="320" w:lineRule="auto"/>
        <w:tabs>
          <w:tab w:leader="none" w:pos="1950" w:val="left"/>
        </w:tabs>
        <w:numPr>
          <w:ilvl w:val="1"/>
          <w:numId w:val="162"/>
        </w:numPr>
        <w:rPr>
          <w:rFonts w:ascii="Arial" w:cs="Arial" w:eastAsia="Arial" w:hAnsi="Arial"/>
          <w:sz w:val="19"/>
          <w:szCs w:val="19"/>
          <w:b w:val="1"/>
          <w:bCs w:val="1"/>
          <w:color w:val="auto"/>
        </w:rPr>
      </w:pPr>
      <w:r>
        <w:rPr>
          <w:rFonts w:ascii="Arial" w:cs="Arial" w:eastAsia="Arial" w:hAnsi="Arial"/>
          <w:sz w:val="16"/>
          <w:szCs w:val="16"/>
          <w:b w:val="1"/>
          <w:bCs w:val="1"/>
          <w:color w:val="auto"/>
          <w:strike w:val="1"/>
        </w:rPr>
        <w:t>(vi)</w:t>
      </w:r>
      <w:r>
        <w:rPr>
          <w:rFonts w:ascii="Arial" w:cs="Arial" w:eastAsia="Arial" w:hAnsi="Arial"/>
          <w:sz w:val="16"/>
          <w:szCs w:val="16"/>
          <w:b w:val="1"/>
          <w:bCs w:val="1"/>
          <w:color w:val="auto"/>
        </w:rPr>
        <w:t xml:space="preserve"> </w:t>
      </w:r>
      <w:r>
        <w:rPr>
          <w:rFonts w:ascii="Arial" w:cs="Arial" w:eastAsia="Arial" w:hAnsi="Arial"/>
          <w:sz w:val="16"/>
          <w:szCs w:val="16"/>
          <w:color w:val="auto"/>
        </w:rPr>
        <w:t>if to the Australian Administrative Agent or the Australian Collateral Agent, to RBC Europe Limited, at RBC Europe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Thames Court, One Queenhithe, London, EC4V 3DQ, United Kingdom, Attention: Manager Loans Agency, (Fax No. +44 20 7029 7914);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4" w:name="page195"/>
    <w:bookmarkEnd w:id="194"/>
    <w:p>
      <w:pPr>
        <w:ind w:left="2000" w:hanging="695"/>
        <w:spacing w:after="0"/>
        <w:tabs>
          <w:tab w:leader="none" w:pos="2000" w:val="left"/>
        </w:tabs>
        <w:numPr>
          <w:ilvl w:val="0"/>
          <w:numId w:val="163"/>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(vii)</w:t>
      </w:r>
      <w:r>
        <w:rPr>
          <w:rFonts w:ascii="Arial" w:cs="Arial" w:eastAsia="Arial" w:hAnsi="Arial"/>
          <w:sz w:val="18"/>
          <w:szCs w:val="18"/>
          <w:b w:val="1"/>
          <w:bCs w:val="1"/>
          <w:color w:val="auto"/>
        </w:rPr>
        <w:t xml:space="preserve"> </w:t>
      </w:r>
      <w:r>
        <w:rPr>
          <w:rFonts w:ascii="Arial" w:cs="Arial" w:eastAsia="Arial" w:hAnsi="Arial"/>
          <w:sz w:val="18"/>
          <w:szCs w:val="18"/>
          <w:color w:val="auto"/>
        </w:rPr>
        <w:t>if to a Lender or an Issuing Bank, to it at its address (or fax number) set forth in its Administrative Questionnaire.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shall be required only to provide notice of such change to the Applicable Borrower and the Applicable Administrative Agent.</w:t>
      </w:r>
    </w:p>
    <w:p>
      <w:pPr>
        <w:spacing w:after="0" w:line="193" w:lineRule="exact"/>
        <w:rPr>
          <w:sz w:val="20"/>
          <w:szCs w:val="20"/>
          <w:color w:val="auto"/>
        </w:rPr>
      </w:pPr>
    </w:p>
    <w:p>
      <w:pPr>
        <w:jc w:val="both"/>
        <w:ind w:firstLine="656"/>
        <w:spacing w:after="0" w:line="293" w:lineRule="auto"/>
        <w:tabs>
          <w:tab w:leader="none" w:pos="1094"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Issuing Banks hereunder may be delivered or furnished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electronic communication (including e-mail and Internet or intranet websites) pursuant to procedures approved by the Applicable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apply to notices to any Lender or Issuing Bank pursuant to Article II if such Lender or Issuing Bank, as applicable,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firstLine="656"/>
        <w:spacing w:after="0" w:line="257" w:lineRule="auto"/>
        <w:tabs>
          <w:tab w:leader="none" w:pos="1127"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Effectiveness of Facsimile Documents and Signatures</w:t>
      </w:r>
      <w:r>
        <w:rPr>
          <w:rFonts w:ascii="Arial" w:cs="Arial" w:eastAsia="Arial" w:hAnsi="Arial"/>
          <w:sz w:val="18"/>
          <w:szCs w:val="18"/>
          <w:color w:val="auto"/>
        </w:rPr>
        <w:t>. Loan Documents may be transmitted and/or signed by facsimile or in electronic (i.e.,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request or deliver the same shall not limit the effectiveness of any facsimile document or signature.</w:t>
      </w:r>
    </w:p>
    <w:p>
      <w:pPr>
        <w:spacing w:after="0" w:line="188" w:lineRule="exact"/>
        <w:rPr>
          <w:rFonts w:ascii="Arial" w:cs="Arial" w:eastAsia="Arial" w:hAnsi="Arial"/>
          <w:sz w:val="18"/>
          <w:szCs w:val="18"/>
          <w:i w:val="1"/>
          <w:iCs w:val="1"/>
          <w:color w:val="auto"/>
        </w:rPr>
      </w:pPr>
    </w:p>
    <w:p>
      <w:pPr>
        <w:jc w:val="both"/>
        <w:ind w:firstLine="656"/>
        <w:spacing w:after="0" w:line="269" w:lineRule="auto"/>
        <w:tabs>
          <w:tab w:leader="none" w:pos="1128" w:val="left"/>
        </w:tabs>
        <w:numPr>
          <w:ilvl w:val="0"/>
          <w:numId w:val="165"/>
        </w:numPr>
        <w:rPr>
          <w:rFonts w:ascii="Arial" w:cs="Arial" w:eastAsia="Arial" w:hAnsi="Arial"/>
          <w:sz w:val="17"/>
          <w:szCs w:val="17"/>
          <w:i w:val="1"/>
          <w:iCs w:val="1"/>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i w:val="1"/>
          <w:iCs w:val="1"/>
          <w:color w:val="auto"/>
        </w:rPr>
        <w:t xml:space="preserve"> </w:t>
      </w:r>
      <w:r>
        <w:rPr>
          <w:rFonts w:ascii="Arial" w:cs="Arial" w:eastAsia="Arial" w:hAnsi="Arial"/>
          <w:sz w:val="17"/>
          <w:szCs w:val="17"/>
          <w:color w:val="auto"/>
        </w:rPr>
        <w:t>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Arial" w:cs="Arial" w:eastAsia="Arial" w:hAnsi="Arial"/>
          <w:sz w:val="17"/>
          <w:szCs w:val="17"/>
          <w:i w:val="1"/>
          <w:iCs w:val="1"/>
          <w:color w:val="auto"/>
        </w:rPr>
        <w:t>Agent Parties</w:t>
      </w:r>
      <w:r>
        <w:rPr>
          <w:rFonts w:ascii="Arial" w:cs="Arial" w:eastAsia="Arial" w:hAnsi="Arial"/>
          <w:sz w:val="17"/>
          <w:szCs w:val="17"/>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95" w:name="page196"/>
    <w:bookmarkEnd w:id="195"/>
    <w:p>
      <w:pPr>
        <w:jc w:val="both"/>
        <w:ind w:firstLine="656"/>
        <w:spacing w:after="0" w:line="288" w:lineRule="auto"/>
        <w:tabs>
          <w:tab w:leader="none" w:pos="1104" w:val="left"/>
        </w:tabs>
        <w:numPr>
          <w:ilvl w:val="1"/>
          <w:numId w:val="166"/>
        </w:numPr>
        <w:rPr>
          <w:rFonts w:ascii="Arial" w:cs="Arial" w:eastAsia="Arial" w:hAnsi="Arial"/>
          <w:sz w:val="16"/>
          <w:szCs w:val="16"/>
          <w:i w:val="1"/>
          <w:iCs w:val="1"/>
          <w:color w:val="auto"/>
        </w:rPr>
      </w:pPr>
      <w:r>
        <w:rPr>
          <w:rFonts w:ascii="Arial" w:cs="Arial" w:eastAsia="Arial" w:hAnsi="Arial"/>
          <w:sz w:val="16"/>
          <w:szCs w:val="16"/>
          <w:i w:val="1"/>
          <w:iCs w:val="1"/>
          <w:color w:val="auto"/>
        </w:rPr>
        <w:t>Reliance by Agents, Issuing Banks and Lenders</w:t>
      </w:r>
      <w:r>
        <w:rPr>
          <w:rFonts w:ascii="Arial" w:cs="Arial" w:eastAsia="Arial" w:hAnsi="Arial"/>
          <w:sz w:val="16"/>
          <w:szCs w:val="16"/>
          <w:color w:val="auto"/>
        </w:rPr>
        <w:t>. Each of the Agents, Issuing Banks and the Lenders shall be entitled to rely and act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w:t>
      </w:r>
    </w:p>
    <w:p>
      <w:pPr>
        <w:jc w:val="both"/>
        <w:ind w:firstLine="8"/>
        <w:spacing w:after="0" w:line="273" w:lineRule="auto"/>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any</w:t>
      </w:r>
      <w:r>
        <w:rPr>
          <w:rFonts w:ascii="Arial" w:cs="Arial" w:eastAsia="Arial" w:hAnsi="Arial"/>
          <w:sz w:val="17"/>
          <w:szCs w:val="17"/>
          <w:color w:val="auto"/>
        </w:rPr>
        <w:t xml:space="preserve"> Borrower. All telephonic notices to and other communications with any Agent, Issuing Bank or Lender may be recorded by such Agent, Issuing Bank or Lender, and each of the parties hereto hereby consents to such recording.</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Section 9.02 Survival of Agreement</w:t>
      </w:r>
      <w:r>
        <w:rPr>
          <w:rFonts w:ascii="Arial" w:cs="Arial" w:eastAsia="Arial" w:hAnsi="Arial"/>
          <w:sz w:val="17"/>
          <w:szCs w:val="17"/>
          <w:color w:val="auto"/>
        </w:rPr>
        <w:t>. All covenants, agreements, representations and warranties made by a Borrower herein and in the certificates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6" w:name="page197"/>
    <w:bookmarkEnd w:id="196"/>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9.03 Binding Effect</w:t>
      </w:r>
      <w:r>
        <w:rPr>
          <w:rFonts w:ascii="Arial" w:cs="Arial" w:eastAsia="Arial" w:hAnsi="Arial"/>
          <w:sz w:val="18"/>
          <w:szCs w:val="18"/>
          <w:color w:val="auto"/>
        </w:rPr>
        <w:t>. This Agreement shall become effective when it shall have been executed by the Borrowers and the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and when the Administrative Agent shall have received counterparts hereof which, when taken together, bear the signatures of each of the other parties hereto.</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9.04</w:t>
      </w:r>
      <w:r>
        <w:rPr>
          <w:sz w:val="20"/>
          <w:szCs w:val="20"/>
          <w:color w:val="auto"/>
        </w:rPr>
        <w:tab/>
      </w:r>
      <w:r>
        <w:rPr>
          <w:rFonts w:ascii="Arial" w:cs="Arial" w:eastAsia="Arial" w:hAnsi="Arial"/>
          <w:sz w:val="14"/>
          <w:szCs w:val="14"/>
          <w:b w:val="1"/>
          <w:bCs w:val="1"/>
          <w:i w:val="1"/>
          <w:iCs w:val="1"/>
          <w:color w:val="auto"/>
        </w:rPr>
        <w:t>Successors and Assigns</w:t>
      </w:r>
      <w:r>
        <w:rPr>
          <w:rFonts w:ascii="Arial" w:cs="Arial" w:eastAsia="Arial" w:hAnsi="Arial"/>
          <w:sz w:val="14"/>
          <w:szCs w:val="14"/>
          <w:i w:val="1"/>
          <w:iCs w:val="1"/>
          <w:color w:val="auto"/>
        </w:rPr>
        <w:t>.</w:t>
      </w:r>
    </w:p>
    <w:p>
      <w:pPr>
        <w:spacing w:after="0" w:line="225" w:lineRule="exact"/>
        <w:rPr>
          <w:sz w:val="20"/>
          <w:szCs w:val="20"/>
          <w:color w:val="auto"/>
        </w:rPr>
      </w:pPr>
    </w:p>
    <w:p>
      <w:pPr>
        <w:jc w:val="both"/>
        <w:ind w:firstLine="656"/>
        <w:spacing w:after="0" w:line="287" w:lineRule="auto"/>
        <w:tabs>
          <w:tab w:leader="none" w:pos="1137" w:val="left"/>
        </w:tabs>
        <w:numPr>
          <w:ilvl w:val="0"/>
          <w:numId w:val="168"/>
        </w:numPr>
        <w:rPr>
          <w:rFonts w:ascii="Arial" w:cs="Arial" w:eastAsia="Arial" w:hAnsi="Arial"/>
          <w:sz w:val="16"/>
          <w:szCs w:val="16"/>
          <w:i w:val="1"/>
          <w:iCs w:val="1"/>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terms and provisions of this Agreement and the other Loan Documents shall be binding upon and inure to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68" w:lineRule="exact"/>
        <w:rPr>
          <w:rFonts w:ascii="Arial" w:cs="Arial" w:eastAsia="Arial" w:hAnsi="Arial"/>
          <w:sz w:val="16"/>
          <w:szCs w:val="16"/>
          <w:i w:val="1"/>
          <w:iCs w:val="1"/>
          <w:color w:val="auto"/>
        </w:rPr>
      </w:pPr>
    </w:p>
    <w:p>
      <w:pPr>
        <w:jc w:val="both"/>
        <w:ind w:firstLine="656"/>
        <w:spacing w:after="0" w:line="286" w:lineRule="auto"/>
        <w:tabs>
          <w:tab w:leader="none" w:pos="1128" w:val="left"/>
        </w:tabs>
        <w:numPr>
          <w:ilvl w:val="0"/>
          <w:numId w:val="168"/>
        </w:numPr>
        <w:rPr>
          <w:rFonts w:ascii="Arial" w:cs="Arial" w:eastAsia="Arial" w:hAnsi="Arial"/>
          <w:sz w:val="17"/>
          <w:szCs w:val="17"/>
          <w:i w:val="1"/>
          <w:iCs w:val="1"/>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Eligible Assignees all or a portion of its rights and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this Agreement (including all or a portion of its Commitments (including, for purposes of this Section 9.04(b), participations in Letters of Credit and Swing Line Loans) and the Loans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i w:val="1"/>
          <w:iCs w:val="1"/>
          <w:color w:val="auto"/>
        </w:rPr>
      </w:pPr>
    </w:p>
    <w:p>
      <w:pPr>
        <w:ind w:left="1700" w:hanging="395"/>
        <w:spacing w:after="0"/>
        <w:tabs>
          <w:tab w:leader="none" w:pos="1700" w:val="left"/>
        </w:tabs>
        <w:numPr>
          <w:ilvl w:val="1"/>
          <w:numId w:val="168"/>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jc w:val="both"/>
        <w:ind w:left="1300" w:firstLine="653"/>
        <w:spacing w:after="0" w:line="264" w:lineRule="auto"/>
        <w:tabs>
          <w:tab w:leader="none" w:pos="2426"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472" w:val="left"/>
        </w:tabs>
        <w:numPr>
          <w:ilvl w:val="2"/>
          <w:numId w:val="168"/>
        </w:numPr>
        <w:rPr>
          <w:rFonts w:ascii="Arial" w:cs="Arial" w:eastAsia="Arial" w:hAnsi="Arial"/>
          <w:sz w:val="17"/>
          <w:szCs w:val="17"/>
          <w:color w:val="auto"/>
        </w:rPr>
      </w:pPr>
      <w:r>
        <w:rPr>
          <w:rFonts w:ascii="Arial" w:cs="Arial" w:eastAsia="Arial" w:hAnsi="Arial"/>
          <w:sz w:val="17"/>
          <w:szCs w:val="17"/>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otherwise consents (each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7" w:name="page198"/>
    <w:bookmarkEnd w:id="197"/>
    <w:p>
      <w:pPr>
        <w:jc w:val="both"/>
        <w:ind w:left="-540" w:firstLine="645"/>
        <w:spacing w:after="0" w:line="259" w:lineRule="auto"/>
        <w:tabs>
          <w:tab w:leader="none" w:pos="576"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and obligations under this Agreement with respect to the Loan or the Commitment assigned </w:t>
      </w:r>
      <w:r>
        <w:rPr>
          <w:rFonts w:ascii="Arial" w:cs="Arial" w:eastAsia="Arial" w:hAnsi="Arial"/>
          <w:sz w:val="18"/>
          <w:szCs w:val="18"/>
          <w:b w:val="1"/>
          <w:bCs w:val="1"/>
          <w:color w:val="auto"/>
        </w:rPr>
        <w:t>and shall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among the separate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Facilities of such Lender</w:t>
      </w:r>
      <w:r>
        <w:rPr>
          <w:rFonts w:ascii="Arial" w:cs="Arial" w:eastAsia="Arial" w:hAnsi="Arial"/>
          <w:sz w:val="18"/>
          <w:szCs w:val="18"/>
          <w:color w:val="auto"/>
        </w:rPr>
        <w:t>, except that this clause (ii) shall not apply to the Applicable Swing Line Lender’s rights and obligations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Swing Line Loans.</w:t>
      </w:r>
    </w:p>
    <w:p>
      <w:pPr>
        <w:spacing w:after="0" w:line="186" w:lineRule="exact"/>
        <w:rPr>
          <w:rFonts w:ascii="Arial" w:cs="Arial" w:eastAsia="Arial" w:hAnsi="Arial"/>
          <w:sz w:val="18"/>
          <w:szCs w:val="18"/>
          <w:i w:val="1"/>
          <w:iCs w:val="1"/>
          <w:color w:val="auto"/>
        </w:rPr>
      </w:pPr>
    </w:p>
    <w:p>
      <w:pPr>
        <w:ind w:left="-540" w:firstLine="645"/>
        <w:spacing w:after="0" w:line="277" w:lineRule="auto"/>
        <w:tabs>
          <w:tab w:leader="none" w:pos="693"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paragraph (b)(i)(B)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166" w:lineRule="exact"/>
        <w:rPr>
          <w:rFonts w:ascii="Arial" w:cs="Arial" w:eastAsia="Arial" w:hAnsi="Arial"/>
          <w:sz w:val="18"/>
          <w:szCs w:val="18"/>
          <w:i w:val="1"/>
          <w:iCs w:val="1"/>
          <w:color w:val="auto"/>
        </w:rPr>
      </w:pPr>
    </w:p>
    <w:p>
      <w:pPr>
        <w:jc w:val="both"/>
        <w:ind w:left="100" w:firstLine="653"/>
        <w:spacing w:after="0" w:line="272" w:lineRule="auto"/>
        <w:tabs>
          <w:tab w:leader="none" w:pos="129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the consent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(such consent not to be unreasonably withheld or delayed) shall be required for assignments in respect of the U.S. Revolving Credit Facility,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Canadian </w:t>
      </w:r>
      <w:r>
        <w:rPr>
          <w:rFonts w:ascii="Arial" w:cs="Arial" w:eastAsia="Arial" w:hAnsi="Arial"/>
          <w:sz w:val="17"/>
          <w:szCs w:val="17"/>
          <w:b w:val="1"/>
          <w:bCs w:val="1"/>
          <w:u w:val="single" w:color="auto"/>
          <w:color w:val="auto"/>
        </w:rPr>
        <w:t>Tranche A Revolving Credit Facility, the Canadian Tranche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Facility 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Revolving Credit Facility, if such assignment is to a person that is not a Lender under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Credit Facility,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Canadian </w:t>
      </w:r>
      <w:r>
        <w:rPr>
          <w:rFonts w:ascii="Arial" w:cs="Arial" w:eastAsia="Arial" w:hAnsi="Arial"/>
          <w:sz w:val="17"/>
          <w:szCs w:val="17"/>
          <w:b w:val="1"/>
          <w:bCs w:val="1"/>
          <w:u w:val="single" w:color="auto"/>
          <w:color w:val="auto"/>
        </w:rPr>
        <w:t>Tranche A Revolving Credit Facility, the Canadian Tranche B</w:t>
      </w:r>
      <w:r>
        <w:rPr>
          <w:rFonts w:ascii="Arial" w:cs="Arial" w:eastAsia="Arial" w:hAnsi="Arial"/>
          <w:sz w:val="17"/>
          <w:szCs w:val="17"/>
          <w:color w:val="auto"/>
        </w:rPr>
        <w:t xml:space="preserve"> Revolving Credit Facility or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Australian Revolving Credit Facility, an Affiliate of such Lender or any Approved Fund with respect to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consent shall be required if an Event of Default shall have occurred and is continuing;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shall fail to respond to a request for consent to an assignment within ten (10) Business Days following receipt of such request,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be deemed to have given such consent.</w:t>
      </w:r>
    </w:p>
    <w:p>
      <w:pPr>
        <w:spacing w:after="0" w:line="176" w:lineRule="exact"/>
        <w:rPr>
          <w:rFonts w:ascii="Arial" w:cs="Arial" w:eastAsia="Arial" w:hAnsi="Arial"/>
          <w:sz w:val="17"/>
          <w:szCs w:val="17"/>
          <w:color w:val="auto"/>
        </w:rPr>
      </w:pPr>
    </w:p>
    <w:p>
      <w:pPr>
        <w:jc w:val="both"/>
        <w:ind w:left="100" w:firstLine="653"/>
        <w:spacing w:after="0" w:line="255" w:lineRule="auto"/>
        <w:tabs>
          <w:tab w:leader="none" w:pos="131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the consent of the Applicable Administrative Agent (such consent not to be unreasonably withheld or delayed) shall be required (1) for assignments in respect of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 Revolving Credit Facility,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Revolving Credit Facility if such assignment is to a person that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under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 Revolving Credit Facility, the Canadian Tranche B</w:t>
      </w:r>
      <w:r>
        <w:rPr>
          <w:rFonts w:ascii="Arial" w:cs="Arial" w:eastAsia="Arial" w:hAnsi="Arial"/>
          <w:sz w:val="18"/>
          <w:szCs w:val="18"/>
          <w:color w:val="auto"/>
        </w:rPr>
        <w:t xml:space="preserve"> Revolving Credit Facility or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Australian Revolving Credit Facility, an Affiliate of such Lender or an Approved Fund with respect to such Lender or (2) for assignments of U.S. Term </w:t>
      </w:r>
      <w:r>
        <w:rPr>
          <w:rFonts w:ascii="Arial" w:cs="Arial" w:eastAsia="Arial" w:hAnsi="Arial"/>
          <w:sz w:val="18"/>
          <w:szCs w:val="18"/>
          <w:b w:val="1"/>
          <w:bCs w:val="1"/>
          <w:u w:val="single" w:color="auto"/>
          <w:color w:val="auto"/>
        </w:rPr>
        <w:t>Loans, Canadian Term</w:t>
      </w:r>
      <w:r>
        <w:rPr>
          <w:rFonts w:ascii="Arial" w:cs="Arial" w:eastAsia="Arial" w:hAnsi="Arial"/>
          <w:sz w:val="18"/>
          <w:szCs w:val="18"/>
          <w:color w:val="auto"/>
        </w:rPr>
        <w:t xml:space="preserve"> Commitments </w:t>
      </w:r>
      <w:r>
        <w:rPr>
          <w:rFonts w:ascii="Arial" w:cs="Arial" w:eastAsia="Arial" w:hAnsi="Arial"/>
          <w:sz w:val="18"/>
          <w:szCs w:val="18"/>
          <w:b w:val="1"/>
          <w:bCs w:val="1"/>
          <w:u w:val="single" w:color="auto"/>
          <w:color w:val="auto"/>
        </w:rPr>
        <w:t>or Canadian Term Loans</w:t>
      </w:r>
      <w:r>
        <w:rPr>
          <w:rFonts w:ascii="Arial" w:cs="Arial" w:eastAsia="Arial" w:hAnsi="Arial"/>
          <w:sz w:val="18"/>
          <w:szCs w:val="18"/>
          <w:color w:val="auto"/>
        </w:rPr>
        <w:t xml:space="preserve"> to a person who is not a Lender, an Affiliate of a Lender or an Approved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-3094355</wp:posOffset>
            </wp:positionV>
            <wp:extent cx="21291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29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98" w:name="page199"/>
    <w:bookmarkEnd w:id="198"/>
    <w:p>
      <w:pPr>
        <w:jc w:val="both"/>
        <w:ind w:left="1300" w:firstLine="653"/>
        <w:spacing w:after="0" w:line="264" w:lineRule="auto"/>
        <w:tabs>
          <w:tab w:leader="none" w:pos="253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the consent of each Issuing Bank (such consent not to be unreasonably withheld or delayed) shall be required for any assignment in respect of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Facility or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Australian Revolving Credit Facility; and</w:t>
      </w:r>
    </w:p>
    <w:p>
      <w:pPr>
        <w:spacing w:after="0" w:line="181" w:lineRule="exact"/>
        <w:rPr>
          <w:rFonts w:ascii="Arial" w:cs="Arial" w:eastAsia="Arial" w:hAnsi="Arial"/>
          <w:sz w:val="18"/>
          <w:szCs w:val="18"/>
          <w:color w:val="auto"/>
        </w:rPr>
      </w:pPr>
    </w:p>
    <w:p>
      <w:pPr>
        <w:jc w:val="both"/>
        <w:ind w:left="1300" w:right="20" w:firstLine="653"/>
        <w:spacing w:after="0" w:line="264" w:lineRule="auto"/>
        <w:tabs>
          <w:tab w:leader="none" w:pos="255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the consent of the Applicable Swing Line Lender (such consent not to be unreasonably withheld or delayed) shall be required for any assignment in respect of the U.S. Revolving Credit Facility or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Facility, as applicable.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857" w:val="left"/>
        </w:tabs>
        <w:numPr>
          <w:ilvl w:val="0"/>
          <w:numId w:val="171"/>
        </w:numPr>
        <w:rPr>
          <w:rFonts w:ascii="Arial" w:cs="Arial" w:eastAsia="Arial" w:hAnsi="Arial"/>
          <w:sz w:val="17"/>
          <w:szCs w:val="17"/>
          <w:i w:val="1"/>
          <w:iCs w:val="1"/>
          <w:color w:val="auto"/>
        </w:rPr>
      </w:pPr>
      <w:r>
        <w:rPr>
          <w:rFonts w:ascii="Arial" w:cs="Arial" w:eastAsia="Arial" w:hAnsi="Arial"/>
          <w:sz w:val="17"/>
          <w:szCs w:val="17"/>
          <w:i w:val="1"/>
          <w:iCs w:val="1"/>
          <w:color w:val="auto"/>
        </w:rPr>
        <w:t>Assignment and Acceptance</w:t>
      </w:r>
      <w:r>
        <w:rPr>
          <w:rFonts w:ascii="Arial" w:cs="Arial" w:eastAsia="Arial" w:hAnsi="Arial"/>
          <w:sz w:val="17"/>
          <w:szCs w:val="17"/>
          <w:color w:val="auto"/>
        </w:rPr>
        <w:t>. The parties to each assignment shall execute and deliver to the Applicable Administrative Agent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Assignment and Acceptance, together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Applicable Administrative Agent may, in its sole discretion, elect to waive such processing and recordation fee in the case of any assignment;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74" w:lineRule="exact"/>
        <w:rPr>
          <w:rFonts w:ascii="Arial" w:cs="Arial" w:eastAsia="Arial" w:hAnsi="Arial"/>
          <w:sz w:val="17"/>
          <w:szCs w:val="17"/>
          <w:i w:val="1"/>
          <w:iCs w:val="1"/>
          <w:color w:val="auto"/>
        </w:rPr>
      </w:pPr>
    </w:p>
    <w:p>
      <w:pPr>
        <w:ind w:left="660" w:firstLine="645"/>
        <w:spacing w:after="0" w:line="282" w:lineRule="auto"/>
        <w:tabs>
          <w:tab w:leader="none" w:pos="1801"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No Assignment to Borrower</w:t>
      </w:r>
      <w:r>
        <w:rPr>
          <w:rFonts w:ascii="Arial" w:cs="Arial" w:eastAsia="Arial" w:hAnsi="Arial"/>
          <w:sz w:val="18"/>
          <w:szCs w:val="18"/>
          <w:color w:val="auto"/>
        </w:rPr>
        <w:t>. No such assignment shall be made to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any of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Subsidiaries.</w:t>
      </w:r>
    </w:p>
    <w:p>
      <w:pPr>
        <w:spacing w:after="0" w:line="165" w:lineRule="exact"/>
        <w:rPr>
          <w:rFonts w:ascii="Arial" w:cs="Arial" w:eastAsia="Arial" w:hAnsi="Arial"/>
          <w:sz w:val="18"/>
          <w:szCs w:val="18"/>
          <w:i w:val="1"/>
          <w:iCs w:val="1"/>
          <w:color w:val="auto"/>
        </w:rPr>
      </w:pPr>
    </w:p>
    <w:p>
      <w:pPr>
        <w:ind w:left="1780" w:hanging="475"/>
        <w:spacing w:after="0"/>
        <w:tabs>
          <w:tab w:leader="none" w:pos="1780"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i w:val="1"/>
          <w:iCs w:val="1"/>
          <w:color w:val="auto"/>
        </w:rPr>
      </w:pPr>
    </w:p>
    <w:p>
      <w:pPr>
        <w:ind w:left="660" w:firstLine="645"/>
        <w:spacing w:after="0" w:line="277" w:lineRule="auto"/>
        <w:tabs>
          <w:tab w:leader="none" w:pos="1912"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Defaulting Lenders</w:t>
      </w:r>
      <w:r>
        <w:rPr>
          <w:rFonts w:ascii="Arial" w:cs="Arial" w:eastAsia="Arial" w:hAnsi="Arial"/>
          <w:sz w:val="18"/>
          <w:szCs w:val="18"/>
          <w:color w:val="auto"/>
        </w:rPr>
        <w:t>. No assignment shall be made to any Defaulting Lender or any of its Subsidiaries, or any person who, upon</w:t>
      </w:r>
      <w:r>
        <w:rPr>
          <w:rFonts w:ascii="Arial" w:cs="Arial" w:eastAsia="Arial" w:hAnsi="Arial"/>
          <w:sz w:val="18"/>
          <w:szCs w:val="18"/>
          <w:i w:val="1"/>
          <w:iCs w:val="1"/>
          <w:color w:val="auto"/>
        </w:rPr>
        <w:t xml:space="preserve"> </w:t>
      </w:r>
      <w:r>
        <w:rPr>
          <w:rFonts w:ascii="Arial" w:cs="Arial" w:eastAsia="Arial" w:hAnsi="Arial"/>
          <w:sz w:val="18"/>
          <w:szCs w:val="18"/>
          <w:color w:val="auto"/>
        </w:rPr>
        <w:t>becoming a Lender hereunder, would constitute any of the foregoing persons.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9" w:name="page200"/>
    <w:bookmarkEnd w:id="199"/>
    <w:p>
      <w:pPr>
        <w:jc w:val="both"/>
        <w:spacing w:after="0" w:line="269" w:lineRule="auto"/>
        <w:rPr>
          <w:sz w:val="20"/>
          <w:szCs w:val="20"/>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jc w:val="both"/>
        <w:ind w:firstLine="656"/>
        <w:spacing w:after="0" w:line="272" w:lineRule="auto"/>
        <w:tabs>
          <w:tab w:leader="none" w:pos="1141" w:val="left"/>
        </w:tabs>
        <w:numPr>
          <w:ilvl w:val="0"/>
          <w:numId w:val="172"/>
        </w:numPr>
        <w:rPr>
          <w:rFonts w:ascii="Arial" w:cs="Arial" w:eastAsia="Arial" w:hAnsi="Arial"/>
          <w:sz w:val="17"/>
          <w:szCs w:val="17"/>
          <w:i w:val="1"/>
          <w:iCs w:val="1"/>
          <w:color w:val="auto"/>
        </w:rPr>
      </w:pPr>
      <w:r>
        <w:rPr>
          <w:rFonts w:ascii="Arial" w:cs="Arial" w:eastAsia="Arial" w:hAnsi="Arial"/>
          <w:sz w:val="17"/>
          <w:szCs w:val="17"/>
          <w:i w:val="1"/>
          <w:iCs w:val="1"/>
          <w:color w:val="auto"/>
        </w:rPr>
        <w:t>Register</w:t>
      </w:r>
      <w:r>
        <w:rPr>
          <w:rFonts w:ascii="Arial" w:cs="Arial" w:eastAsia="Arial" w:hAnsi="Arial"/>
          <w:sz w:val="17"/>
          <w:szCs w:val="17"/>
          <w:color w:val="auto"/>
        </w:rPr>
        <w:t>. The Applicable Administrative Agent shall maintain at its Applicable Lending Office a copy of each Assignment and Acceptance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to and accepted by it and a register for the recordation of the names and addresses of the Lenders and the Commitments of, and principal amount of the Loans owing to, each Lender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xml:space="preserve">”).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w:t>
      </w:r>
      <w:r>
        <w:rPr>
          <w:rFonts w:ascii="Arial" w:cs="Arial" w:eastAsia="Arial" w:hAnsi="Arial"/>
          <w:sz w:val="17"/>
          <w:szCs w:val="17"/>
          <w:b w:val="1"/>
          <w:bCs w:val="1"/>
          <w:u w:val="single" w:color="auto"/>
          <w:color w:val="auto"/>
        </w:rPr>
        <w:t>Parent Borrower,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U.S. Borrower or any Lender at any reasonable time and from time to time upon reasonable prior notice.</w:t>
      </w:r>
    </w:p>
    <w:p>
      <w:pPr>
        <w:spacing w:after="0" w:line="173" w:lineRule="exact"/>
        <w:rPr>
          <w:rFonts w:ascii="Arial" w:cs="Arial" w:eastAsia="Arial" w:hAnsi="Arial"/>
          <w:sz w:val="17"/>
          <w:szCs w:val="17"/>
          <w:i w:val="1"/>
          <w:iCs w:val="1"/>
          <w:color w:val="auto"/>
        </w:rPr>
      </w:pPr>
    </w:p>
    <w:p>
      <w:pPr>
        <w:jc w:val="both"/>
        <w:ind w:firstLine="656"/>
        <w:spacing w:after="0" w:line="284" w:lineRule="auto"/>
        <w:tabs>
          <w:tab w:leader="none" w:pos="1110" w:val="left"/>
        </w:tabs>
        <w:numPr>
          <w:ilvl w:val="0"/>
          <w:numId w:val="172"/>
        </w:numPr>
        <w:rPr>
          <w:rFonts w:ascii="Arial" w:cs="Arial" w:eastAsia="Arial" w:hAnsi="Arial"/>
          <w:sz w:val="16"/>
          <w:szCs w:val="16"/>
          <w:i w:val="1"/>
          <w:iCs w:val="1"/>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Any Lender may at any time, without the consent of, or notice to,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or the Applicable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sell participations to any person (other than a natural person, a Defaulting Lender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Borrower’s or a Defaulting Lender’s Affiliates or subsidiaries)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shall have any obligation to disclose all or any portion of the Participant Register (including the identity of any Participant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relating to a Participant's interest in any commitments, loans, letters of credit or its other obligations under any Loan Document) to any </w:t>
      </w:r>
      <w:r>
        <w:rPr>
          <w:rFonts w:ascii="Arial" w:cs="Arial" w:eastAsia="Arial" w:hAnsi="Arial"/>
          <w:sz w:val="16"/>
          <w:szCs w:val="16"/>
          <w:b w:val="1"/>
          <w:bCs w:val="1"/>
          <w:color w:val="auto"/>
          <w:strike w:val="1"/>
        </w:rPr>
        <w:t>Person</w:t>
      </w:r>
      <w:r>
        <w:rPr>
          <w:rFonts w:ascii="Arial" w:cs="Arial" w:eastAsia="Arial" w:hAnsi="Arial"/>
          <w:sz w:val="16"/>
          <w:szCs w:val="16"/>
          <w:b w:val="1"/>
          <w:bCs w:val="1"/>
          <w:u w:val="single" w:color="auto"/>
          <w:color w:val="auto"/>
        </w:rPr>
        <w:t>person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that such disclosure is necessary to establish that such commitment, loan, letter of credit or other obligation is in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under Section 5f.103-1(c) of the United States Treasury Regulations. The entries in the Participant Register shall be conclusive absent manifest error, and such Lender shall treat each </w:t>
      </w:r>
      <w:r>
        <w:rPr>
          <w:rFonts w:ascii="Arial" w:cs="Arial" w:eastAsia="Arial" w:hAnsi="Arial"/>
          <w:sz w:val="16"/>
          <w:szCs w:val="16"/>
          <w:b w:val="1"/>
          <w:bCs w:val="1"/>
          <w:color w:val="auto"/>
          <w:strike w:val="1"/>
        </w:rPr>
        <w:t>Person</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xml:space="preserve">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0" w:name="page201"/>
    <w:bookmarkEnd w:id="200"/>
    <w:p>
      <w:pPr>
        <w:jc w:val="both"/>
        <w:ind w:firstLine="656"/>
        <w:spacing w:after="0" w:line="257" w:lineRule="auto"/>
        <w:tabs>
          <w:tab w:leader="none" w:pos="115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 xml:space="preserve">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88" w:lineRule="exact"/>
        <w:rPr>
          <w:rFonts w:ascii="Arial" w:cs="Arial" w:eastAsia="Arial" w:hAnsi="Arial"/>
          <w:sz w:val="18"/>
          <w:szCs w:val="18"/>
          <w:color w:val="auto"/>
        </w:rPr>
      </w:pPr>
    </w:p>
    <w:p>
      <w:pPr>
        <w:jc w:val="both"/>
        <w:ind w:firstLine="656"/>
        <w:spacing w:after="0" w:line="312" w:lineRule="auto"/>
        <w:tabs>
          <w:tab w:leader="none" w:pos="105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Arial" w:cs="Arial" w:eastAsia="Arial" w:hAnsi="Arial"/>
          <w:sz w:val="16"/>
          <w:szCs w:val="16"/>
          <w:color w:val="auto"/>
        </w:rPr>
      </w:pPr>
    </w:p>
    <w:p>
      <w:pPr>
        <w:jc w:val="both"/>
        <w:ind w:firstLine="656"/>
        <w:spacing w:after="0" w:line="283" w:lineRule="auto"/>
        <w:tabs>
          <w:tab w:leader="none" w:pos="111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i w:val="1"/>
          <w:iCs w:val="1"/>
          <w:color w:val="auto"/>
        </w:rPr>
        <w:t>Granting Lender</w:t>
      </w:r>
      <w:r>
        <w:rPr>
          <w:rFonts w:ascii="Arial" w:cs="Arial" w:eastAsia="Arial" w:hAnsi="Arial"/>
          <w:sz w:val="16"/>
          <w:szCs w:val="16"/>
          <w:color w:val="auto"/>
        </w:rPr>
        <w:t xml:space="preserve">”) may grant to a special purpose funding vehicle identified as such in writing from time to time by the Granting Lender to the Applicable Administrative Agent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 “</w:t>
      </w:r>
      <w:r>
        <w:rPr>
          <w:rFonts w:ascii="Arial" w:cs="Arial" w:eastAsia="Arial" w:hAnsi="Arial"/>
          <w:sz w:val="16"/>
          <w:szCs w:val="16"/>
          <w:i w:val="1"/>
          <w:i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Applicable Administrative Agent and without paying any processing fee therefor, assign all or any portion of its right to receive payment with respect to any Loan to the Granting Lender and</w:t>
      </w:r>
    </w:p>
    <w:p>
      <w:pPr>
        <w:spacing w:after="0" w:line="1" w:lineRule="exact"/>
        <w:rPr>
          <w:rFonts w:ascii="Arial" w:cs="Arial" w:eastAsia="Arial" w:hAnsi="Arial"/>
          <w:sz w:val="16"/>
          <w:szCs w:val="16"/>
          <w:color w:val="auto"/>
        </w:rPr>
      </w:pPr>
    </w:p>
    <w:p>
      <w:pPr>
        <w:ind w:firstLine="8"/>
        <w:spacing w:after="0" w:line="261" w:lineRule="auto"/>
        <w:tabs>
          <w:tab w:leader="none" w:pos="2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1" w:name="page202"/>
    <w:bookmarkEnd w:id="201"/>
    <w:p>
      <w:pPr>
        <w:jc w:val="both"/>
        <w:ind w:firstLine="656"/>
        <w:spacing w:after="0" w:line="255" w:lineRule="auto"/>
        <w:tabs>
          <w:tab w:leader="none" w:pos="110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Expenses; Indemnity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7" w:lineRule="auto"/>
        <w:tabs>
          <w:tab w:leader="none" w:pos="1108" w:val="left"/>
        </w:tabs>
        <w:numPr>
          <w:ilvl w:val="0"/>
          <w:numId w:val="1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Costs and Expenses. </w:t>
      </w:r>
      <w:r>
        <w:rPr>
          <w:rFonts w:ascii="Arial" w:cs="Arial" w:eastAsia="Arial" w:hAnsi="Arial"/>
          <w:sz w:val="17"/>
          <w:szCs w:val="17"/>
          <w:color w:val="auto"/>
        </w:rPr>
        <w:t>The Borrowers agree, jointly and severally, to pay or reimburse (i) all reasonable out-of-pocket expenses incurred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The agreements in this Section shall survive the termination of the Commitments and repayment of all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jc w:val="both"/>
        <w:ind w:firstLine="656"/>
        <w:spacing w:after="0" w:line="285" w:lineRule="auto"/>
        <w:tabs>
          <w:tab w:leader="none" w:pos="1269"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Indemnification by the </w:t>
      </w:r>
      <w:r>
        <w:rPr>
          <w:rFonts w:ascii="Arial" w:cs="Arial" w:eastAsia="Arial" w:hAnsi="Arial"/>
          <w:sz w:val="16"/>
          <w:szCs w:val="16"/>
          <w:b w:val="1"/>
          <w:bCs w:val="1"/>
          <w:i w:val="1"/>
          <w:iCs w:val="1"/>
          <w:color w:val="auto"/>
          <w:strike w:val="1"/>
        </w:rPr>
        <w:t>Borrower</w:t>
      </w:r>
      <w:r>
        <w:rPr>
          <w:rFonts w:ascii="Arial" w:cs="Arial" w:eastAsia="Arial" w:hAnsi="Arial"/>
          <w:sz w:val="16"/>
          <w:szCs w:val="16"/>
          <w:b w:val="1"/>
          <w:bCs w:val="1"/>
          <w:i w:val="1"/>
          <w:iCs w:val="1"/>
          <w:u w:val="single" w:color="auto"/>
          <w:color w:val="auto"/>
        </w:rPr>
        <w:t>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Borrowers agree, jointly and severally, to indemnify the Administrative Agents,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Agents, each Lender, each Issuing Bank and the Related Parties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Arial" w:cs="Arial" w:eastAsia="Arial" w:hAnsi="Arial"/>
          <w:sz w:val="16"/>
          <w:szCs w:val="16"/>
          <w:i w:val="1"/>
          <w:i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SUCH INDEMNITY SHALL EXPRESSLY INCLUDE ANY SUCH LOSSES, LIABILITIES, CLAIMS, DAMAGES OR EXPENSE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INCURRED BY REASON OF THE PERSON BEING INDEMNIFIED’S OWN NEGLIGENCE;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foregoing indemnity will not, as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Indemnitee, apply to losses, claims, damages, liabilities or related expenses to the extent they are found in a final, </w:t>
      </w:r>
      <w:r>
        <w:rPr>
          <w:rFonts w:ascii="Arial" w:cs="Arial" w:eastAsia="Arial" w:hAnsi="Arial"/>
          <w:sz w:val="16"/>
          <w:szCs w:val="16"/>
          <w:b w:val="1"/>
          <w:bCs w:val="1"/>
          <w:color w:val="auto"/>
          <w:strike w:val="1"/>
        </w:rPr>
        <w:t>non appealable</w:t>
      </w:r>
      <w:r>
        <w:rPr>
          <w:rFonts w:ascii="Arial" w:cs="Arial" w:eastAsia="Arial" w:hAnsi="Arial"/>
          <w:sz w:val="16"/>
          <w:szCs w:val="16"/>
          <w:b w:val="1"/>
          <w:bCs w:val="1"/>
          <w:u w:val="single" w:color="auto"/>
          <w:color w:val="auto"/>
        </w:rPr>
        <w:t>non-appealable</w:t>
      </w:r>
      <w:r>
        <w:rPr>
          <w:rFonts w:ascii="Arial" w:cs="Arial" w:eastAsia="Arial" w:hAnsi="Arial"/>
          <w:sz w:val="16"/>
          <w:szCs w:val="16"/>
          <w:color w:val="auto"/>
        </w:rPr>
        <w:t xml:space="preserv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3" w:name="page204"/>
    <w:bookmarkEnd w:id="203"/>
    <w:p>
      <w:pPr>
        <w:jc w:val="both"/>
        <w:ind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 Borrower shall be liable for any settlement of any claim, litigation, investigation or proceeding (any of the foregoing, a “</w:t>
      </w:r>
      <w:r>
        <w:rPr>
          <w:rFonts w:ascii="Arial" w:cs="Arial" w:eastAsia="Arial" w:hAnsi="Arial"/>
          <w:sz w:val="16"/>
          <w:szCs w:val="16"/>
          <w:i w:val="1"/>
          <w:iCs w:val="1"/>
          <w:color w:val="auto"/>
        </w:rPr>
        <w:t>Proceeding</w:t>
      </w:r>
      <w:r>
        <w:rPr>
          <w:rFonts w:ascii="Arial" w:cs="Arial" w:eastAsia="Arial" w:hAnsi="Arial"/>
          <w:sz w:val="16"/>
          <w:szCs w:val="16"/>
          <w:color w:val="auto"/>
        </w:rPr>
        <w:t>”) effected without its consent (which consent shall not be unreasonably conditioned, withheld or delayed) unless (x) 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73" w:lineRule="exact"/>
        <w:rPr>
          <w:sz w:val="20"/>
          <w:szCs w:val="20"/>
          <w:color w:val="auto"/>
        </w:rPr>
      </w:pPr>
    </w:p>
    <w:p>
      <w:pPr>
        <w:jc w:val="both"/>
        <w:ind w:firstLine="656"/>
        <w:spacing w:after="0" w:line="271" w:lineRule="auto"/>
        <w:tabs>
          <w:tab w:leader="none" w:pos="1131" w:val="left"/>
        </w:tabs>
        <w:numPr>
          <w:ilvl w:val="0"/>
          <w:numId w:val="178"/>
        </w:numPr>
        <w:rPr>
          <w:rFonts w:ascii="Arial" w:cs="Arial" w:eastAsia="Arial" w:hAnsi="Arial"/>
          <w:sz w:val="17"/>
          <w:szCs w:val="17"/>
          <w:i w:val="1"/>
          <w:iCs w:val="1"/>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a Borrower for any reason fails to indefeasibly pay any amount required under paragraph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(b) of this Section to be paid by it to an Agent (or any sub-agent thereof), an Issuing Bank, a Swing Line Lender or any Related Party of any of the foregoing, each Lender severally agrees to pay to the Applicable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Applicable Agent (or any such sub-agent), the Applicable Issuing Bank or the Applicable Swing Line Lender in its capacity as such, or against any Related Party of any of the foregoing acting for the Applicable Agent (or any such sub-agent), Applicable Issuing Bank or the Applicable Swing Line Lender in connection with such capacity.</w:t>
      </w:r>
    </w:p>
    <w:p>
      <w:pPr>
        <w:spacing w:after="0" w:line="178" w:lineRule="exact"/>
        <w:rPr>
          <w:rFonts w:ascii="Arial" w:cs="Arial" w:eastAsia="Arial" w:hAnsi="Arial"/>
          <w:sz w:val="17"/>
          <w:szCs w:val="17"/>
          <w:i w:val="1"/>
          <w:iCs w:val="1"/>
          <w:color w:val="auto"/>
        </w:rPr>
      </w:pPr>
    </w:p>
    <w:p>
      <w:pPr>
        <w:jc w:val="both"/>
        <w:ind w:firstLine="656"/>
        <w:spacing w:after="0" w:line="302" w:lineRule="auto"/>
        <w:tabs>
          <w:tab w:leader="none" w:pos="123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04" w:name="page205"/>
    <w:bookmarkEnd w:id="204"/>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Section 9.06 Right of Setoff</w:t>
      </w:r>
      <w:r>
        <w:rPr>
          <w:rFonts w:ascii="Arial" w:cs="Arial" w:eastAsia="Arial" w:hAnsi="Arial"/>
          <w:sz w:val="16"/>
          <w:szCs w:val="16"/>
          <w:color w:val="auto"/>
        </w:rPr>
        <w:t>. If an Event of Default shall have occurred and be continuing, each Agent, Lender, Issuing Bank and each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Administrative Agent promptly after any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9.07 Applicable Law</w:t>
      </w:r>
      <w:r>
        <w:rPr>
          <w:rFonts w:ascii="Arial" w:cs="Arial" w:eastAsia="Arial" w:hAnsi="Arial"/>
          <w:sz w:val="18"/>
          <w:szCs w:val="18"/>
          <w:color w:val="auto"/>
        </w:rPr>
        <w:t>. THIS AGREEMENT SHALL BE CONSTRUED IN ACCORDANCE WITH AND GOVERNED BY THE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STATE OF NEW YORK.</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9.08 Waivers; Amendment</w:t>
      </w:r>
      <w:r>
        <w:rPr>
          <w:rFonts w:ascii="Arial" w:cs="Arial" w:eastAsia="Arial" w:hAnsi="Arial"/>
          <w:sz w:val="16"/>
          <w:szCs w:val="16"/>
          <w:color w:val="auto"/>
        </w:rPr>
        <w:t>. (a) No failure or delay of any Agent, any Lender or any Issuing Bank in exercising any power or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5" w:name="page206"/>
    <w:bookmarkEnd w:id="205"/>
    <w:p>
      <w:pPr>
        <w:jc w:val="both"/>
        <w:ind w:firstLine="656"/>
        <w:spacing w:after="0" w:line="253" w:lineRule="auto"/>
        <w:tabs>
          <w:tab w:leader="none" w:pos="11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waiver or consent shall be effective only in the specific instance and for the specific purpose for which given;</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(x)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 of this Agreement or any other Loan Document may be amended by an agreement in writing signed by the Administrative Agent and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cure any ambiguity, omission, defect or inconsistency so long as, in each case, the Lenders shall have received at least five (5)</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97" w:lineRule="exact"/>
        <w:rPr>
          <w:rFonts w:ascii="Arial" w:cs="Arial" w:eastAsia="Arial" w:hAnsi="Arial"/>
          <w:sz w:val="18"/>
          <w:szCs w:val="18"/>
          <w:color w:val="auto"/>
        </w:rPr>
      </w:pPr>
    </w:p>
    <w:p>
      <w:pPr>
        <w:ind w:left="660" w:firstLine="645"/>
        <w:spacing w:after="0" w:line="277" w:lineRule="auto"/>
        <w:tabs>
          <w:tab w:leader="none" w:pos="17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extend the Maturity Date of or increase the stated amount of any Commitment of any Lender or reinstate any Commitment of any Lender terminated pursuant to the terms hereof without the written consent of such Lender;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79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postpone any date fixed by this Agreement for any scheduled payment (but not any prepayment) of principal, interest or fees due to any Lender hereunder without the written consent of such Lender;</w:t>
      </w:r>
    </w:p>
    <w:p>
      <w:pPr>
        <w:spacing w:after="0" w:line="170" w:lineRule="exact"/>
        <w:rPr>
          <w:rFonts w:ascii="Arial" w:cs="Arial" w:eastAsia="Arial" w:hAnsi="Arial"/>
          <w:sz w:val="18"/>
          <w:szCs w:val="18"/>
          <w:color w:val="auto"/>
        </w:rPr>
      </w:pPr>
    </w:p>
    <w:p>
      <w:pPr>
        <w:jc w:val="both"/>
        <w:ind w:left="660" w:firstLine="645"/>
        <w:spacing w:after="0" w:line="283" w:lineRule="auto"/>
        <w:tabs>
          <w:tab w:leader="none" w:pos="187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“Leverage Ratio”, or in the component definitions thereof, shall not constitute a reduction of rate of interest or any interest or Fees payable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Required Revolving Lenders </w:t>
      </w:r>
      <w:r>
        <w:rPr>
          <w:rFonts w:ascii="Arial" w:cs="Arial" w:eastAsia="Arial" w:hAnsi="Arial"/>
          <w:sz w:val="16"/>
          <w:szCs w:val="16"/>
          <w:b w:val="1"/>
          <w:bCs w:val="1"/>
          <w:u w:val="single" w:color="auto"/>
          <w:color w:val="auto"/>
        </w:rPr>
        <w:t>or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Canadian Tranche B Required Revolving Lenders,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required to waive any obligation of</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either</w:t>
      </w:r>
      <w:r>
        <w:rPr>
          <w:rFonts w:ascii="Arial" w:cs="Arial" w:eastAsia="Arial" w:hAnsi="Arial"/>
          <w:sz w:val="16"/>
          <w:szCs w:val="16"/>
          <w:b w:val="1"/>
          <w:bCs w:val="1"/>
          <w:u w:val="single" w:color="auto"/>
          <w:color w:val="auto"/>
        </w:rPr>
        <w:t>any</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Borrower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default interest pursuant to Section 2.07 with respect to the Canadian </w:t>
      </w:r>
      <w:r>
        <w:rPr>
          <w:rFonts w:ascii="Arial" w:cs="Arial" w:eastAsia="Arial" w:hAnsi="Arial"/>
          <w:sz w:val="16"/>
          <w:szCs w:val="16"/>
          <w:b w:val="1"/>
          <w:bCs w:val="1"/>
          <w:u w:val="single" w:color="auto"/>
          <w:color w:val="auto"/>
        </w:rPr>
        <w:t>Tranche A Revolving Credit Facility or the Canadian Tranche B</w:t>
      </w:r>
      <w:r>
        <w:rPr>
          <w:rFonts w:ascii="Arial" w:cs="Arial" w:eastAsia="Arial" w:hAnsi="Arial"/>
          <w:sz w:val="16"/>
          <w:szCs w:val="16"/>
          <w:color w:val="auto"/>
        </w:rPr>
        <w:t xml:space="preserve">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w:t>
      </w:r>
      <w:r>
        <w:rPr>
          <w:rFonts w:ascii="Arial" w:cs="Arial" w:eastAsia="Arial" w:hAnsi="Arial"/>
          <w:sz w:val="16"/>
          <w:szCs w:val="16"/>
          <w:b w:val="1"/>
          <w:bCs w:val="1"/>
          <w:color w:val="auto"/>
          <w:strike w:val="1"/>
        </w:rPr>
        <w:t>and</w:t>
      </w:r>
    </w:p>
    <w:p>
      <w:pPr>
        <w:spacing w:after="0" w:line="4" w:lineRule="exact"/>
        <w:rPr>
          <w:rFonts w:ascii="Arial" w:cs="Arial" w:eastAsia="Arial" w:hAnsi="Arial"/>
          <w:sz w:val="16"/>
          <w:szCs w:val="16"/>
          <w:color w:val="auto"/>
        </w:rPr>
      </w:pPr>
    </w:p>
    <w:p>
      <w:pPr>
        <w:jc w:val="both"/>
        <w:ind w:left="6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(D) only the consent of the Required U.S. Term Lenders shall be required to waive </w:t>
      </w:r>
      <w:r>
        <w:rPr>
          <w:rFonts w:ascii="Arial" w:cs="Arial" w:eastAsia="Arial" w:hAnsi="Arial"/>
          <w:sz w:val="18"/>
          <w:szCs w:val="18"/>
          <w:b w:val="1"/>
          <w:bCs w:val="1"/>
          <w:u w:val="single" w:color="auto"/>
          <w:color w:val="auto"/>
        </w:rPr>
        <w:t>(1)</w:t>
      </w:r>
      <w:r>
        <w:rPr>
          <w:rFonts w:ascii="Arial" w:cs="Arial" w:eastAsia="Arial" w:hAnsi="Arial"/>
          <w:sz w:val="18"/>
          <w:szCs w:val="18"/>
          <w:color w:val="auto"/>
        </w:rPr>
        <w:t xml:space="preserve"> any obligation of the U.S. Borrower to pay default interest pursuant to Section 2.07 with respect to the U.S. Term Loan Facility, including with respect to any amount payable thereunder or in connection therewith</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 (2) any mandatory prepayment of U.S. Term Loans and (E) only the consent of the Required Canadian Term Lenders shall be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required to waive (1) any obligation of the Parent Borrower to pay default interest pursuant to Section 2.07 with respect to the Canadian Term Loan Facility, including with respect to any amount payable thereunder or in connection therewith or (2) any mandatory prepayment of Canadian Term Loans;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6" w:name="page207"/>
    <w:bookmarkEnd w:id="206"/>
    <w:p>
      <w:pPr>
        <w:jc w:val="both"/>
        <w:ind w:left="4" w:firstLine="645"/>
        <w:spacing w:after="0" w:line="286" w:lineRule="auto"/>
        <w:tabs>
          <w:tab w:leader="none" w:pos="119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or in the CAM Exchange Agreement from the order set forth in such Section or in such agreement in a manner that adversely affects the Lenders under any Facility without the prior written consent of (A) if such Facility is the U.S. Term Loan Facility, the Required U.S. Term Lenders,</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30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such Facility is the U.S. Revolving Credit Facility, the Required U.S. Revolving Lenders, (C) if such Facility is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Facility, the Required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(D</w:t>
      </w:r>
      <w:r>
        <w:rPr>
          <w:rFonts w:ascii="Arial" w:cs="Arial" w:eastAsia="Arial" w:hAnsi="Arial"/>
          <w:sz w:val="16"/>
          <w:szCs w:val="16"/>
          <w:b w:val="1"/>
          <w:bCs w:val="1"/>
          <w:u w:val="single" w:color="auto"/>
          <w:color w:val="auto"/>
        </w:rPr>
        <w:t>) if such Facility is the Canadian Tranche B Revolving Credit Facility,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Required Canadian Tranche B Lenders, (E) if such Facility is the Canadian Term Loan Facility, the Required Canadian Term Lenders</w:t>
      </w:r>
    </w:p>
    <w:p>
      <w:pPr>
        <w:spacing w:after="0" w:line="2" w:lineRule="exact"/>
        <w:rPr>
          <w:rFonts w:ascii="Arial" w:cs="Arial" w:eastAsia="Arial" w:hAnsi="Arial"/>
          <w:sz w:val="16"/>
          <w:szCs w:val="16"/>
          <w:color w:val="auto"/>
        </w:rPr>
      </w:pPr>
    </w:p>
    <w:p>
      <w:pPr>
        <w:ind w:left="4" w:right="20" w:hanging="4"/>
        <w:spacing w:after="0" w:line="261" w:lineRule="auto"/>
        <w:tabs>
          <w:tab w:leader="none" w:pos="286" w:val="left"/>
        </w:tabs>
        <w:numPr>
          <w:ilvl w:val="0"/>
          <w:numId w:val="182"/>
        </w:numPr>
        <w:rPr>
          <w:rFonts w:ascii="Arial" w:cs="Arial" w:eastAsia="Arial" w:hAnsi="Arial"/>
          <w:sz w:val="18"/>
          <w:szCs w:val="18"/>
          <w:b w:val="1"/>
          <w:bCs w:val="1"/>
          <w:u w:val="single" w:color="auto"/>
          <w:color w:val="auto"/>
        </w:rPr>
      </w:pPr>
      <w:r>
        <w:rPr>
          <w:rFonts w:ascii="Arial" w:cs="Arial" w:eastAsia="Arial" w:hAnsi="Arial"/>
          <w:sz w:val="18"/>
          <w:szCs w:val="18"/>
          <w:color w:val="auto"/>
        </w:rPr>
        <w:t>if such Facility is the Australian Revolving Credit Facility, the Required Australian Lenders and (</w:t>
      </w:r>
      <w:r>
        <w:rPr>
          <w:rFonts w:ascii="Arial" w:cs="Arial" w:eastAsia="Arial" w:hAnsi="Arial"/>
          <w:sz w:val="18"/>
          <w:szCs w:val="18"/>
          <w:b w:val="1"/>
          <w:bCs w:val="1"/>
          <w:color w:val="auto"/>
          <w:strike w:val="1"/>
        </w:rPr>
        <w:t>E</w:t>
      </w:r>
      <w:r>
        <w:rPr>
          <w:rFonts w:ascii="Arial" w:cs="Arial" w:eastAsia="Arial" w:hAnsi="Arial"/>
          <w:sz w:val="18"/>
          <w:szCs w:val="18"/>
          <w:b w:val="1"/>
          <w:bCs w:val="1"/>
          <w:u w:val="single" w:color="auto"/>
          <w:color w:val="auto"/>
        </w:rPr>
        <w:t>G</w:t>
      </w:r>
      <w:r>
        <w:rPr>
          <w:rFonts w:ascii="Arial" w:cs="Arial" w:eastAsia="Arial" w:hAnsi="Arial"/>
          <w:sz w:val="18"/>
          <w:szCs w:val="18"/>
          <w:color w:val="auto"/>
        </w:rPr>
        <w:t xml:space="preserve">) if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is adversely affected by such change,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w:t>
      </w:r>
    </w:p>
    <w:p>
      <w:pPr>
        <w:spacing w:after="0" w:line="183" w:lineRule="exact"/>
        <w:rPr>
          <w:rFonts w:ascii="Arial" w:cs="Arial" w:eastAsia="Arial" w:hAnsi="Arial"/>
          <w:sz w:val="18"/>
          <w:szCs w:val="18"/>
          <w:b w:val="1"/>
          <w:bCs w:val="1"/>
          <w:u w:val="single" w:color="auto"/>
          <w:color w:val="auto"/>
        </w:rPr>
      </w:pPr>
    </w:p>
    <w:p>
      <w:pPr>
        <w:jc w:val="both"/>
        <w:ind w:left="4" w:firstLine="645"/>
        <w:spacing w:after="0" w:line="257" w:lineRule="auto"/>
        <w:tabs>
          <w:tab w:leader="none" w:pos="118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change any provision of this Section, or the percentage specified in definition of “Required Lenders,” “Required U.S. Revolving Lenders,”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w:t>
      </w:r>
      <w:r>
        <w:rPr>
          <w:rFonts w:ascii="Arial" w:cs="Arial" w:eastAsia="Arial" w:hAnsi="Arial"/>
          <w:sz w:val="18"/>
          <w:szCs w:val="18"/>
          <w:b w:val="1"/>
          <w:bCs w:val="1"/>
          <w:u w:val="single" w:color="auto"/>
          <w:color w:val="auto"/>
        </w:rPr>
        <w:t>Required Canadian Tranche B Lenders,” “Required Canadian Term Lenders,”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Required Australian Lenders,” “Required Revolving Lenders,” or “Required U.S. Term Lenders” or any other provision hereof specifying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or percentage of Lenders required to amend, waive or otherwise modify any rights hereunder or make any determination or grant any consent hereunder, without the written consent of each Lender directly affected thereby;</w:t>
      </w:r>
    </w:p>
    <w:p>
      <w:pPr>
        <w:spacing w:after="0" w:line="188" w:lineRule="exact"/>
        <w:rPr>
          <w:rFonts w:ascii="Arial" w:cs="Arial" w:eastAsia="Arial" w:hAnsi="Arial"/>
          <w:sz w:val="18"/>
          <w:szCs w:val="18"/>
          <w:color w:val="auto"/>
        </w:rPr>
      </w:pPr>
    </w:p>
    <w:p>
      <w:pPr>
        <w:jc w:val="both"/>
        <w:ind w:left="4" w:firstLine="645"/>
        <w:spacing w:after="0" w:line="279" w:lineRule="auto"/>
        <w:tabs>
          <w:tab w:leader="none" w:pos="119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except as expressly permitted hereunder or under any Security Document, (A) release the guaranty provided by the U.S. Borrower pursuant to the U.S. Guarantee Agreement without the written consent of each Canadian Lender, each Australian Lender and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or (B) release all or substantially all of the value of the guaranties provided by the other Guarantors hereunder or all or substantially all of the Collateral without the written consent of each Lender and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07" w:name="page208"/>
    <w:bookmarkEnd w:id="207"/>
    <w:p>
      <w:pPr>
        <w:jc w:val="both"/>
        <w:ind w:left="660" w:firstLine="645"/>
        <w:spacing w:after="0" w:line="286" w:lineRule="auto"/>
        <w:tabs>
          <w:tab w:leader="none" w:pos="185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change Section 9.04 in a manner that imposes additional restrictions on the ability of any Lender under any Facility to assign any of its rights or obligations hereunder without the prior written consent of (A) if such Facility is the U.S. Term Loan Facility, the Required U.S. Term Lenders, (B) if such Facility is the U.S. Revolving Credit Facility, the Required U.S. Revolving Lenders, (C) if such Facility is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Facility, the Required Canadian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Tranche A Lenders, (D) if such Facility is the Canadian Tranche B Revolving</w:t>
      </w:r>
    </w:p>
    <w:p>
      <w:pPr>
        <w:spacing w:after="0" w:line="1" w:lineRule="exact"/>
        <w:rPr>
          <w:rFonts w:ascii="Arial" w:cs="Arial" w:eastAsia="Arial" w:hAnsi="Arial"/>
          <w:sz w:val="16"/>
          <w:szCs w:val="16"/>
          <w:color w:val="auto"/>
        </w:rPr>
      </w:pPr>
    </w:p>
    <w:p>
      <w:pPr>
        <w:ind w:left="660"/>
        <w:spacing w:after="0" w:line="290" w:lineRule="auto"/>
        <w:rPr>
          <w:rFonts w:ascii="Arial" w:cs="Arial" w:eastAsia="Arial" w:hAnsi="Arial"/>
          <w:sz w:val="16"/>
          <w:szCs w:val="16"/>
          <w:color w:val="auto"/>
        </w:rPr>
      </w:pPr>
      <w:r>
        <w:rPr>
          <w:rFonts w:ascii="Arial" w:cs="Arial" w:eastAsia="Arial" w:hAnsi="Arial"/>
          <w:sz w:val="17"/>
          <w:szCs w:val="17"/>
          <w:b w:val="1"/>
          <w:bCs w:val="1"/>
          <w:u w:val="single" w:color="auto"/>
          <w:color w:val="auto"/>
        </w:rPr>
        <w:t>Credit Facility, the Required Canadian Tranche B Lenders, (E) if such Facility is the Canadian Term Loan Facility, the Required Canadian Term</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and (</w:t>
      </w:r>
      <w:r>
        <w:rPr>
          <w:rFonts w:ascii="Arial" w:cs="Arial" w:eastAsia="Arial" w:hAnsi="Arial"/>
          <w:sz w:val="17"/>
          <w:szCs w:val="17"/>
          <w:b w:val="1"/>
          <w:bCs w:val="1"/>
          <w:color w:val="auto"/>
          <w:strike w:val="1"/>
        </w:rPr>
        <w:t>D</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 if such Facility is the Australian Revolving Credit Facility, the Required Australian Lenders;</w:t>
      </w:r>
    </w:p>
    <w:p>
      <w:pPr>
        <w:spacing w:after="0" w:line="161" w:lineRule="exact"/>
        <w:rPr>
          <w:rFonts w:ascii="Arial" w:cs="Arial" w:eastAsia="Arial" w:hAnsi="Arial"/>
          <w:sz w:val="16"/>
          <w:szCs w:val="16"/>
          <w:color w:val="auto"/>
        </w:rPr>
      </w:pPr>
    </w:p>
    <w:p>
      <w:pPr>
        <w:jc w:val="both"/>
        <w:ind w:left="660" w:firstLine="645"/>
        <w:spacing w:after="0" w:line="272" w:lineRule="auto"/>
        <w:tabs>
          <w:tab w:leader="none" w:pos="189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Revolving Lenders (if the U.S. Revolving Lenders are the adversely affected Class), Required U.S. Term Lenders (if the U.S. Term Lenders are the adversely affected Class), Required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(if the Canadian </w:t>
      </w:r>
      <w:r>
        <w:rPr>
          <w:rFonts w:ascii="Arial" w:cs="Arial" w:eastAsia="Arial" w:hAnsi="Arial"/>
          <w:sz w:val="17"/>
          <w:szCs w:val="17"/>
          <w:b w:val="1"/>
          <w:bCs w:val="1"/>
          <w:u w:val="single" w:color="auto"/>
          <w:color w:val="auto"/>
        </w:rPr>
        <w:t>Tranche A Lenders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are the adversely affected Class), Required Canadian Tranche B Lenders (if the Canadian Tranche B Lenders are the adversely affected Class), Required Canadian Term Lenders (if the Canadian Term</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are the adversely affected Class) or Required Australian Lenders (if the</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Lenders are the adversely affected Class);</w:t>
      </w:r>
    </w:p>
    <w:p>
      <w:pPr>
        <w:spacing w:after="0" w:line="177" w:lineRule="exact"/>
        <w:rPr>
          <w:rFonts w:ascii="Arial" w:cs="Arial" w:eastAsia="Arial" w:hAnsi="Arial"/>
          <w:sz w:val="17"/>
          <w:szCs w:val="17"/>
          <w:color w:val="auto"/>
        </w:rPr>
      </w:pPr>
    </w:p>
    <w:p>
      <w:pPr>
        <w:ind w:left="1800" w:hanging="495"/>
        <w:spacing w:after="0"/>
        <w:tabs>
          <w:tab w:leader="none" w:pos="18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amend or modify the protections afforded to an SPC pursuant to the provisions of Section 9.04(g) without the written consent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SPC; or</w:t>
      </w:r>
    </w:p>
    <w:p>
      <w:pPr>
        <w:spacing w:after="0" w:line="206" w:lineRule="exact"/>
        <w:rPr>
          <w:rFonts w:ascii="Arial" w:cs="Arial" w:eastAsia="Arial" w:hAnsi="Arial"/>
          <w:sz w:val="16"/>
          <w:szCs w:val="16"/>
          <w:color w:val="auto"/>
        </w:rPr>
      </w:pPr>
    </w:p>
    <w:p>
      <w:pPr>
        <w:jc w:val="both"/>
        <w:ind w:left="660" w:firstLine="645"/>
        <w:spacing w:after="0" w:line="261" w:lineRule="auto"/>
        <w:tabs>
          <w:tab w:leader="none" w:pos="18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amend or modify any Security Document in a manner that results in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secured by such Security </w:t>
      </w:r>
      <w:r>
        <w:rPr>
          <w:rFonts w:ascii="Arial" w:cs="Arial" w:eastAsia="Arial" w:hAnsi="Arial"/>
          <w:sz w:val="18"/>
          <w:szCs w:val="18"/>
          <w:b w:val="1"/>
          <w:bCs w:val="1"/>
          <w:color w:val="auto"/>
          <w:strike w:val="1"/>
        </w:rPr>
        <w:t>Instrument</w:t>
      </w:r>
      <w:r>
        <w:rPr>
          <w:rFonts w:ascii="Arial" w:cs="Arial" w:eastAsia="Arial" w:hAnsi="Arial"/>
          <w:sz w:val="18"/>
          <w:szCs w:val="18"/>
          <w:b w:val="1"/>
          <w:bCs w:val="1"/>
          <w:u w:val="single" w:color="auto"/>
          <w:color w:val="auto"/>
        </w:rPr>
        <w:t>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being secured thereby on an equal and ratable basis with the principal of the Loans, or amend or otherwise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definition of “Obligations” in the Guarantee Agreements, in each case if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is adversely affected by such amendment, modification or change, without the written consent of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w:t>
      </w:r>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agreement shall amend, modify or otherwise affect the rights or duties of an Agent, an Issuing Bank or a Swing Line</w:t>
      </w:r>
      <w:r>
        <w:rPr>
          <w:rFonts w:ascii="Arial" w:cs="Arial" w:eastAsia="Arial" w:hAnsi="Arial"/>
          <w:sz w:val="18"/>
          <w:szCs w:val="18"/>
          <w:i w:val="1"/>
          <w:iCs w:val="1"/>
          <w:color w:val="auto"/>
        </w:rPr>
        <w:t xml:space="preserve"> </w:t>
      </w:r>
      <w:r>
        <w:rPr>
          <w:rFonts w:ascii="Arial" w:cs="Arial" w:eastAsia="Arial" w:hAnsi="Arial"/>
          <w:sz w:val="18"/>
          <w:szCs w:val="18"/>
          <w:color w:val="auto"/>
        </w:rPr>
        <w:t>Lender hereunder or under any other Loan Document without the prior written consent of such Agent, Issuing Bank or Swing Line Lender,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8" w:name="page209"/>
    <w:bookmarkEnd w:id="208"/>
    <w:p>
      <w:pPr>
        <w:jc w:val="both"/>
        <w:spacing w:after="0" w:line="277" w:lineRule="auto"/>
        <w:rPr>
          <w:sz w:val="20"/>
          <w:szCs w:val="20"/>
          <w:color w:val="auto"/>
        </w:rPr>
      </w:pPr>
      <w:r>
        <w:rPr>
          <w:rFonts w:ascii="Arial" w:cs="Arial" w:eastAsia="Arial" w:hAnsi="Arial"/>
          <w:sz w:val="18"/>
          <w:szCs w:val="18"/>
          <w:color w:val="auto"/>
        </w:rPr>
        <w:t xml:space="preserve">No Lender or any Affiliate of a Lender shall have any voting rights under any Loan Document as a result of the existence of obligations owed to it under Hedging Agreements, Banking Services Obligations or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9.09 Interest Rate Limitation</w:t>
      </w:r>
      <w:r>
        <w:rPr>
          <w:rFonts w:ascii="Arial" w:cs="Arial" w:eastAsia="Arial" w:hAnsi="Arial"/>
          <w:sz w:val="17"/>
          <w:szCs w:val="17"/>
          <w:color w:val="auto"/>
        </w:rPr>
        <w:t>. Regardless of any provisions contained in this Agreement or in any other Loan Documents, the Lenders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never be deemed to have contracted for or be entitled to receive, collect or apply as interest on any Loan or participation in any L/C Disbursement any amount in excess of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8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Section 9.10 Entire Agreement</w:t>
      </w:r>
      <w:r>
        <w:rPr>
          <w:rFonts w:ascii="Arial" w:cs="Arial" w:eastAsia="Arial" w:hAnsi="Arial"/>
          <w:sz w:val="16"/>
          <w:szCs w:val="16"/>
          <w:color w:val="auto"/>
        </w:rPr>
        <w:t>. This Agreement, the other Loan Documents and the Fee Letter constitute the entire contract among the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the subject matter hereof and supersede any and all previous agreements and understandings, oral or written, relating to the subject matter hereof.</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9.11 WAIVER OF JURY TRIAL</w:t>
      </w:r>
      <w:r>
        <w:rPr>
          <w:rFonts w:ascii="Arial" w:cs="Arial" w:eastAsia="Arial" w:hAnsi="Arial"/>
          <w:sz w:val="17"/>
          <w:szCs w:val="17"/>
          <w:color w:val="auto"/>
        </w:rPr>
        <w:t>. EACH PARTY HERETO HEREBY EXPRESSLY AND IRREVOCABLY WAIVES,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9" w:name="page210"/>
    <w:bookmarkEnd w:id="209"/>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9.12 Severability</w:t>
      </w:r>
      <w:r>
        <w:rPr>
          <w:rFonts w:ascii="Arial" w:cs="Arial" w:eastAsia="Arial" w:hAnsi="Arial"/>
          <w:sz w:val="18"/>
          <w:szCs w:val="18"/>
          <w:color w:val="auto"/>
        </w:rPr>
        <w:t>. In the event any one or more of the provisions contained in this Agreement or in any other Loan Document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9.13 Counterparts</w:t>
      </w:r>
      <w:r>
        <w:rPr>
          <w:rFonts w:ascii="Arial" w:cs="Arial" w:eastAsia="Arial" w:hAnsi="Arial"/>
          <w:sz w:val="18"/>
          <w:szCs w:val="18"/>
          <w:color w:val="auto"/>
        </w:rPr>
        <w:t>. This Agreement may be executed in counterparts (and by different parties hereto on different counterparts),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Section 9.14 Headings</w:t>
      </w:r>
      <w:r>
        <w:rPr>
          <w:rFonts w:ascii="Arial" w:cs="Arial" w:eastAsia="Arial" w:hAnsi="Arial"/>
          <w:sz w:val="18"/>
          <w:szCs w:val="18"/>
          <w:color w:val="auto"/>
        </w:rPr>
        <w:t>. Article and Section headings and the Table of Contents used herein are for convenience of reference only, are not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are not to affect the construction of, or to be taken into consideration in interpreting, this Agreement.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9.15 Jurisdiction; Consent to Service of Process</w:t>
      </w:r>
      <w:r>
        <w:rPr>
          <w:rFonts w:ascii="Arial" w:cs="Arial" w:eastAsia="Arial" w:hAnsi="Arial"/>
          <w:sz w:val="17"/>
          <w:szCs w:val="17"/>
          <w:color w:val="auto"/>
        </w:rPr>
        <w:t>. (a) Any legal action or proceeding with respect to this Agreement or any other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0" w:name="page211"/>
    <w:bookmarkEnd w:id="210"/>
    <w:p>
      <w:pPr>
        <w:jc w:val="both"/>
        <w:ind w:firstLine="656"/>
        <w:spacing w:after="0" w:line="259" w:lineRule="auto"/>
        <w:tabs>
          <w:tab w:leader="none" w:pos="111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3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61" w:lineRule="exact"/>
        <w:rPr>
          <w:rFonts w:ascii="Arial" w:cs="Arial" w:eastAsia="Arial" w:hAnsi="Arial"/>
          <w:sz w:val="17"/>
          <w:szCs w:val="17"/>
          <w:color w:val="auto"/>
        </w:rPr>
      </w:pPr>
    </w:p>
    <w:p>
      <w:pPr>
        <w:jc w:val="both"/>
        <w:ind w:firstLine="656"/>
        <w:spacing w:after="0" w:line="303" w:lineRule="auto"/>
        <w:tabs>
          <w:tab w:leader="none" w:pos="115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Each Loan Party (other than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hereby irrevocably appoints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Borrower’s address set forth in Section 9.01, and each such Loan Party hereby irrevocably authorizes and directs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to accept such service on its behalf.</w:t>
      </w:r>
    </w:p>
    <w:p>
      <w:pPr>
        <w:spacing w:after="0" w:line="15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9.16 Confidentiality</w:t>
      </w:r>
      <w:r>
        <w:rPr>
          <w:rFonts w:ascii="Arial" w:cs="Arial" w:eastAsia="Arial" w:hAnsi="Arial"/>
          <w:sz w:val="16"/>
          <w:szCs w:val="16"/>
          <w:color w:val="auto"/>
        </w:rPr>
        <w:t>. Each of the Agents, the Issuing Banks and the Lenders agrees to maintain, and cause their respective Affiliates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(h) to the extent such Information (x) becomes publicly available other than as a result of a breach of this Section or (y) becomes available to any Agent, any Issuing Bank or any Lender on a non-confidential basis from a source other than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Borrower. For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1" w:name="page212"/>
    <w:bookmarkEnd w:id="211"/>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Section 9.17 Judgment Currency</w:t>
      </w:r>
      <w:r>
        <w:rPr>
          <w:rFonts w:ascii="Arial" w:cs="Arial" w:eastAsia="Arial" w:hAnsi="Arial"/>
          <w:sz w:val="16"/>
          <w:szCs w:val="16"/>
          <w:color w:val="auto"/>
        </w:rPr>
        <w:t>. (a) The obligations of the Borrowers and the other Loan Parties hereunder and under the other Loan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make payments in U.S. dollars, Canadian dollars or Australian dollars (the “</w:t>
      </w:r>
      <w:r>
        <w:rPr>
          <w:rFonts w:ascii="Arial" w:cs="Arial" w:eastAsia="Arial" w:hAnsi="Arial"/>
          <w:sz w:val="16"/>
          <w:szCs w:val="16"/>
          <w:i w:val="1"/>
          <w:iCs w:val="1"/>
          <w:color w:val="auto"/>
        </w:rPr>
        <w:t>Obligation Currency</w:t>
      </w:r>
      <w:r>
        <w:rPr>
          <w:rFonts w:ascii="Arial" w:cs="Arial" w:eastAsia="Arial" w:hAnsi="Arial"/>
          <w:sz w:val="16"/>
          <w:szCs w:val="16"/>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Arial" w:cs="Arial" w:eastAsia="Arial" w:hAnsi="Arial"/>
          <w:sz w:val="16"/>
          <w:szCs w:val="16"/>
          <w:i w:val="1"/>
          <w:iCs w:val="1"/>
          <w:color w:val="auto"/>
        </w:rPr>
        <w:t>Judgment Currency</w:t>
      </w:r>
      <w:r>
        <w:rPr>
          <w:rFonts w:ascii="Arial" w:cs="Arial" w:eastAsia="Arial" w:hAnsi="Arial"/>
          <w:sz w:val="16"/>
          <w:szCs w:val="16"/>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6"/>
          <w:szCs w:val="16"/>
          <w:i w:val="1"/>
          <w:iCs w:val="1"/>
          <w:color w:val="auto"/>
        </w:rPr>
        <w:t>Judgment Currency Conversion Date</w:t>
      </w:r>
      <w:r>
        <w:rPr>
          <w:rFonts w:ascii="Arial" w:cs="Arial" w:eastAsia="Arial" w:hAnsi="Arial"/>
          <w:sz w:val="16"/>
          <w:szCs w:val="16"/>
          <w:color w:val="auto"/>
        </w:rPr>
        <w:t>”).</w:t>
      </w:r>
    </w:p>
    <w:p>
      <w:pPr>
        <w:spacing w:after="0" w:line="173" w:lineRule="exact"/>
        <w:rPr>
          <w:sz w:val="20"/>
          <w:szCs w:val="20"/>
          <w:color w:val="auto"/>
        </w:rPr>
      </w:pPr>
    </w:p>
    <w:p>
      <w:pPr>
        <w:jc w:val="both"/>
        <w:ind w:firstLine="656"/>
        <w:spacing w:after="0" w:line="297" w:lineRule="auto"/>
        <w:tabs>
          <w:tab w:leader="none" w:pos="111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58" w:lineRule="exact"/>
        <w:rPr>
          <w:rFonts w:ascii="Arial" w:cs="Arial" w:eastAsia="Arial" w:hAnsi="Arial"/>
          <w:sz w:val="16"/>
          <w:szCs w:val="16"/>
          <w:color w:val="auto"/>
        </w:rPr>
      </w:pPr>
    </w:p>
    <w:p>
      <w:pPr>
        <w:ind w:firstLine="656"/>
        <w:spacing w:after="0" w:line="308" w:lineRule="auto"/>
        <w:tabs>
          <w:tab w:leader="none" w:pos="112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9.18 Exculpation Provisions</w:t>
      </w:r>
      <w:r>
        <w:rPr>
          <w:rFonts w:ascii="Arial" w:cs="Arial" w:eastAsia="Arial" w:hAnsi="Arial"/>
          <w:sz w:val="18"/>
          <w:szCs w:val="18"/>
          <w:color w:val="auto"/>
        </w:rPr>
        <w:t>. EACH OF THE PARTIES HERETO SPECIFICALLY AGREES THAT IT HAS A DUTY TO READ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9.19 Payments Set Aside</w:t>
      </w:r>
      <w:r>
        <w:rPr>
          <w:rFonts w:ascii="Arial" w:cs="Arial" w:eastAsia="Arial" w:hAnsi="Arial"/>
          <w:sz w:val="16"/>
          <w:szCs w:val="16"/>
          <w:color w:val="auto"/>
        </w:rPr>
        <w:t>. To the extent that any payment by or on behalf of any Loan Party is made to any Agent, Issuing Bank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w:t>
      </w:r>
    </w:p>
    <w:p>
      <w:pPr>
        <w:spacing w:after="0" w:line="2" w:lineRule="exact"/>
        <w:rPr>
          <w:sz w:val="20"/>
          <w:szCs w:val="20"/>
          <w:color w:val="auto"/>
        </w:rPr>
      </w:pPr>
    </w:p>
    <w:p>
      <w:pPr>
        <w:jc w:val="both"/>
        <w:ind w:firstLine="8"/>
        <w:spacing w:after="0" w:line="270" w:lineRule="auto"/>
        <w:tabs>
          <w:tab w:leader="none" w:pos="25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9.20 Termination</w:t>
      </w:r>
      <w:r>
        <w:rPr>
          <w:rFonts w:ascii="Arial" w:cs="Arial" w:eastAsia="Arial" w:hAnsi="Arial"/>
          <w:sz w:val="18"/>
          <w:szCs w:val="18"/>
          <w:color w:val="auto"/>
        </w:rPr>
        <w:t>. This Agreement and each other Loan Document, and the covenants and agreements set forth herein and therein,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9.21 Patriot Act Notice</w:t>
      </w:r>
      <w:r>
        <w:rPr>
          <w:rFonts w:ascii="Arial" w:cs="Arial" w:eastAsia="Arial" w:hAnsi="Arial"/>
          <w:sz w:val="18"/>
          <w:szCs w:val="18"/>
          <w:color w:val="auto"/>
        </w:rPr>
        <w:t>. Each Lender hereby notifies each Borrower that pursuant to the requirements of the USA Patriot Act (Title III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 L. 107-56 (signed into law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9.22</w:t>
      </w:r>
      <w:r>
        <w:rPr>
          <w:sz w:val="20"/>
          <w:szCs w:val="20"/>
          <w:color w:val="auto"/>
        </w:rPr>
        <w:tab/>
      </w:r>
      <w:r>
        <w:rPr>
          <w:rFonts w:ascii="Arial" w:cs="Arial" w:eastAsia="Arial" w:hAnsi="Arial"/>
          <w:sz w:val="16"/>
          <w:szCs w:val="16"/>
          <w:b w:val="1"/>
          <w:bCs w:val="1"/>
          <w:i w:val="1"/>
          <w:iCs w:val="1"/>
          <w:color w:val="auto"/>
        </w:rPr>
        <w:t>Public Offer</w:t>
      </w:r>
      <w:r>
        <w:rPr>
          <w:rFonts w:ascii="Arial" w:cs="Arial" w:eastAsia="Arial" w:hAnsi="Arial"/>
          <w:sz w:val="16"/>
          <w:szCs w:val="16"/>
          <w:b w:val="1"/>
          <w:bCs w:val="1"/>
          <w:color w:val="auto"/>
          <w:strike w:val="1"/>
        </w:rPr>
        <w:t>.</w:t>
      </w:r>
    </w:p>
    <w:p>
      <w:pPr>
        <w:spacing w:after="0" w:line="229" w:lineRule="exact"/>
        <w:rPr>
          <w:sz w:val="20"/>
          <w:szCs w:val="20"/>
          <w:color w:val="auto"/>
        </w:rPr>
      </w:pPr>
    </w:p>
    <w:p>
      <w:pPr>
        <w:ind w:firstLine="656"/>
        <w:spacing w:after="0" w:line="277" w:lineRule="auto"/>
        <w:tabs>
          <w:tab w:leader="none" w:pos="1097" w:val="left"/>
        </w:tabs>
        <w:numPr>
          <w:ilvl w:val="1"/>
          <w:numId w:val="187"/>
        </w:numPr>
        <w:rPr>
          <w:rFonts w:ascii="Arial" w:cs="Arial" w:eastAsia="Arial" w:hAnsi="Arial"/>
          <w:sz w:val="18"/>
          <w:szCs w:val="18"/>
          <w:i w:val="1"/>
          <w:iCs w:val="1"/>
          <w:color w:val="auto"/>
        </w:rPr>
      </w:pPr>
      <w:r>
        <w:rPr>
          <w:rFonts w:ascii="Arial" w:cs="Arial" w:eastAsia="Arial" w:hAnsi="Arial"/>
          <w:sz w:val="18"/>
          <w:szCs w:val="18"/>
          <w:i w:val="1"/>
          <w:iCs w:val="1"/>
          <w:color w:val="auto"/>
        </w:rPr>
        <w:t>Lead Arranger’s representations, warranties and undertakings</w:t>
      </w:r>
      <w:r>
        <w:rPr>
          <w:rFonts w:ascii="Arial" w:cs="Arial" w:eastAsia="Arial" w:hAnsi="Arial"/>
          <w:sz w:val="18"/>
          <w:szCs w:val="18"/>
          <w:color w:val="auto"/>
        </w:rPr>
        <w:t>. The Lead Arranger undertakes, represents and warrants to the Australian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as follows:</w:t>
      </w:r>
    </w:p>
    <w:p>
      <w:pPr>
        <w:spacing w:after="0" w:line="170" w:lineRule="exact"/>
        <w:rPr>
          <w:rFonts w:ascii="Arial" w:cs="Arial" w:eastAsia="Arial" w:hAnsi="Arial"/>
          <w:sz w:val="18"/>
          <w:szCs w:val="18"/>
          <w:i w:val="1"/>
          <w:iCs w:val="1"/>
          <w:color w:val="auto"/>
        </w:rPr>
      </w:pPr>
    </w:p>
    <w:p>
      <w:pPr>
        <w:jc w:val="both"/>
        <w:ind w:left="660" w:firstLine="645"/>
        <w:spacing w:after="0" w:line="302" w:lineRule="auto"/>
        <w:tabs>
          <w:tab w:leader="none" w:pos="1731" w:val="left"/>
        </w:tabs>
        <w:numPr>
          <w:ilvl w:val="2"/>
          <w:numId w:val="187"/>
        </w:numPr>
        <w:rPr>
          <w:rFonts w:ascii="Arial" w:cs="Arial" w:eastAsia="Arial" w:hAnsi="Arial"/>
          <w:sz w:val="16"/>
          <w:szCs w:val="16"/>
          <w:color w:val="auto"/>
        </w:rPr>
      </w:pPr>
      <w:r>
        <w:rPr>
          <w:rFonts w:ascii="Arial" w:cs="Arial" w:eastAsia="Arial" w:hAnsi="Arial"/>
          <w:sz w:val="16"/>
          <w:szCs w:val="16"/>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804"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81" w:lineRule="exact"/>
        <w:rPr>
          <w:rFonts w:ascii="Arial" w:cs="Arial" w:eastAsia="Arial" w:hAnsi="Arial"/>
          <w:sz w:val="18"/>
          <w:szCs w:val="18"/>
          <w:color w:val="auto"/>
        </w:rPr>
      </w:pPr>
    </w:p>
    <w:p>
      <w:pPr>
        <w:ind w:left="660" w:firstLine="645"/>
        <w:spacing w:after="0" w:line="308" w:lineRule="auto"/>
        <w:tabs>
          <w:tab w:leader="none" w:pos="1901"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087" w:val="left"/>
        </w:tabs>
        <w:numPr>
          <w:ilvl w:val="1"/>
          <w:numId w:val="187"/>
        </w:numPr>
        <w:rPr>
          <w:rFonts w:ascii="Arial" w:cs="Arial" w:eastAsia="Arial" w:hAnsi="Arial"/>
          <w:sz w:val="16"/>
          <w:szCs w:val="16"/>
          <w:i w:val="1"/>
          <w:iCs w:val="1"/>
          <w:color w:val="auto"/>
        </w:rPr>
      </w:pPr>
      <w:r>
        <w:rPr>
          <w:rFonts w:ascii="Arial" w:cs="Arial" w:eastAsia="Arial" w:hAnsi="Arial"/>
          <w:sz w:val="16"/>
          <w:szCs w:val="16"/>
          <w:i w:val="1"/>
          <w:iCs w:val="1"/>
          <w:color w:val="auto"/>
        </w:rPr>
        <w:t>Australian Loan Parties’ representations and warranties</w:t>
      </w:r>
      <w:r>
        <w:rPr>
          <w:rFonts w:ascii="Arial" w:cs="Arial" w:eastAsia="Arial" w:hAnsi="Arial"/>
          <w:sz w:val="16"/>
          <w:szCs w:val="16"/>
          <w:color w:val="auto"/>
        </w:rPr>
        <w:t>. The Australian Loan Parties represent and warrant that none of the potential offerees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w:t>
      </w:r>
    </w:p>
    <w:p>
      <w:pPr>
        <w:spacing w:after="0" w:line="1" w:lineRule="exact"/>
        <w:rPr>
          <w:rFonts w:ascii="Arial" w:cs="Arial" w:eastAsia="Arial" w:hAnsi="Arial"/>
          <w:sz w:val="16"/>
          <w:szCs w:val="16"/>
          <w:i w:val="1"/>
          <w:iCs w:val="1"/>
          <w:color w:val="auto"/>
        </w:rPr>
      </w:pPr>
    </w:p>
    <w:p>
      <w:pPr>
        <w:jc w:val="both"/>
        <w:ind w:firstLine="8"/>
        <w:spacing w:after="0" w:line="255" w:lineRule="auto"/>
        <w:tabs>
          <w:tab w:leader="none" w:pos="2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107" w:val="left"/>
        </w:tabs>
        <w:numPr>
          <w:ilvl w:val="1"/>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Lenders’ representations and warranties</w:t>
      </w:r>
      <w:r>
        <w:rPr>
          <w:rFonts w:ascii="Arial" w:cs="Arial" w:eastAsia="Arial" w:hAnsi="Arial"/>
          <w:sz w:val="18"/>
          <w:szCs w:val="18"/>
          <w:color w:val="auto"/>
        </w:rPr>
        <w:t>. Each Lender represents and warrants to the Australian Loan Parties that, if it received an invitation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81" w:lineRule="exact"/>
        <w:rPr>
          <w:rFonts w:ascii="Arial" w:cs="Arial" w:eastAsia="Arial" w:hAnsi="Arial"/>
          <w:sz w:val="18"/>
          <w:szCs w:val="18"/>
          <w:i w:val="1"/>
          <w:iCs w:val="1"/>
          <w:color w:val="auto"/>
        </w:rPr>
      </w:pPr>
    </w:p>
    <w:p>
      <w:pPr>
        <w:jc w:val="both"/>
        <w:ind w:firstLine="656"/>
        <w:spacing w:after="0" w:line="259" w:lineRule="auto"/>
        <w:tabs>
          <w:tab w:leader="none" w:pos="1259" w:val="left"/>
        </w:tabs>
        <w:numPr>
          <w:ilvl w:val="1"/>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Lead Arranger and each Lender will provide to the Australian Loan Parties when reasonably requested any factual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4" w:name="page215"/>
    <w:bookmarkEnd w:id="214"/>
    <w:p>
      <w:pPr>
        <w:jc w:val="both"/>
        <w:ind w:firstLine="656"/>
        <w:spacing w:after="0" w:line="257" w:lineRule="auto"/>
        <w:tabs>
          <w:tab w:leader="none" w:pos="1114"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Cooperation if s128F requirement not satisfied</w:t>
      </w:r>
      <w:r>
        <w:rPr>
          <w:rFonts w:ascii="Arial" w:cs="Arial" w:eastAsia="Arial" w:hAnsi="Arial"/>
          <w:sz w:val="18"/>
          <w:szCs w:val="18"/>
          <w:color w:val="auto"/>
        </w:rPr>
        <w:t>. If, for any reason, the requirements of section 128F of the Australian Tax Act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88" w:lineRule="exact"/>
        <w:rPr>
          <w:rFonts w:ascii="Arial" w:cs="Arial" w:eastAsia="Arial" w:hAnsi="Arial"/>
          <w:sz w:val="18"/>
          <w:szCs w:val="18"/>
          <w:i w:val="1"/>
          <w:iCs w:val="1"/>
          <w:color w:val="auto"/>
        </w:rPr>
      </w:pPr>
    </w:p>
    <w:p>
      <w:pPr>
        <w:ind w:firstLine="656"/>
        <w:spacing w:after="0" w:line="277" w:lineRule="auto"/>
        <w:tabs>
          <w:tab w:leader="none" w:pos="1128"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Section 128F syndication statement</w:t>
      </w:r>
      <w:r>
        <w:rPr>
          <w:rFonts w:ascii="Arial" w:cs="Arial" w:eastAsia="Arial" w:hAnsi="Arial"/>
          <w:sz w:val="18"/>
          <w:szCs w:val="18"/>
          <w:color w:val="auto"/>
        </w:rPr>
        <w:t>. The parties agree that this Agreement is a “syndicated facility agreement” for the purposes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128F(11)(a) of the Australian Tax Act.</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Section 9.23 Keepwell</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hereby absolutely, unconditionally and irrevocably undertakes to provide such funds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as may be needed from time to time by each Guarantor to honor all of its obligations under its Guarantee in respect of Swap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only be liable under this Section 9.23 for the maximum amount of such liability that can be hereby incurred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rendering its obligations under this Section 9.23, or otherwise under this Agreement, voidable under applicable law relating to fraudulent conveyance or fraudulent transfer, and not for any greater amount). The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and the </w:t>
      </w:r>
      <w:r>
        <w:rPr>
          <w:rFonts w:ascii="Arial" w:cs="Arial" w:eastAsia="Arial" w:hAnsi="Arial"/>
          <w:sz w:val="18"/>
          <w:szCs w:val="18"/>
          <w:b w:val="1"/>
          <w:bCs w:val="1"/>
          <w:u w:val="single" w:color="auto"/>
          <w:color w:val="auto"/>
        </w:rPr>
        <w:t>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Issuing</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Lender</w:t>
      </w:r>
      <w:r>
        <w:rPr>
          <w:rFonts w:ascii="Arial" w:cs="Arial" w:eastAsia="Arial" w:hAnsi="Arial"/>
          <w:sz w:val="18"/>
          <w:szCs w:val="18"/>
          <w:color w:val="auto"/>
        </w:rPr>
        <w:t>Bank have been made).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intends that this Section 9.22 constitute, and this Section 9.22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constitute, a </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keepwell, support, or other agreement</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for the benefit of each Guarantor for all purposes of Section 1a(18)(A)(v)(II) of the Commodity Exchange Act</w:t>
      </w:r>
      <w:r>
        <w:rPr>
          <w:rFonts w:ascii="Arial" w:cs="Arial" w:eastAsia="Arial" w:hAnsi="Arial"/>
          <w:sz w:val="18"/>
          <w:szCs w:val="18"/>
          <w:b w:val="1"/>
          <w:bCs w:val="1"/>
          <w:u w:val="single" w:color="auto"/>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5" w:name="page216"/>
    <w:bookmarkEnd w:id="215"/>
    <w:p>
      <w:pPr>
        <w:ind w:firstLine="648"/>
        <w:spacing w:after="0" w:line="261" w:lineRule="auto"/>
        <w:rPr>
          <w:sz w:val="20"/>
          <w:szCs w:val="20"/>
          <w:color w:val="auto"/>
        </w:rPr>
      </w:pPr>
      <w:r>
        <w:rPr>
          <w:rFonts w:ascii="Arial" w:cs="Arial" w:eastAsia="Arial" w:hAnsi="Arial"/>
          <w:sz w:val="18"/>
          <w:szCs w:val="18"/>
          <w:b w:val="1"/>
          <w:bCs w:val="1"/>
          <w:color w:val="auto"/>
          <w:strike w:val="1"/>
        </w:rPr>
        <w:t>IN WITNESS WHEREOF, the parties hereto have caused this Agreement to be duly executed by their respective authorized officers as of the day and year first above written.</w:t>
      </w:r>
    </w:p>
    <w:p>
      <w:pPr>
        <w:ind w:left="3900"/>
        <w:spacing w:after="0"/>
        <w:rPr>
          <w:sz w:val="20"/>
          <w:szCs w:val="20"/>
          <w:color w:val="auto"/>
        </w:rPr>
      </w:pPr>
      <w:r>
        <w:rPr>
          <w:rFonts w:ascii="Arial" w:cs="Arial" w:eastAsia="Arial" w:hAnsi="Arial"/>
          <w:sz w:val="18"/>
          <w:szCs w:val="18"/>
          <w:b w:val="1"/>
          <w:bCs w:val="1"/>
          <w:color w:val="auto"/>
          <w:strike w:val="1"/>
        </w:rPr>
        <w:t>CIVEO CORPORATION.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Title: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CIVEO CANADA INC.</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strike w:val="1"/>
        </w:rPr>
        <w:t>CIVEO PREMIUM CAMP SERVICES LTD.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Title: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CIVEO PTY LIMITED</w:t>
      </w:r>
    </w:p>
    <w:p>
      <w:pPr>
        <w:spacing w:after="0" w:line="20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Signature of Director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 of Director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Signature of Director/Company Secretary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 of Director/Company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6" w:name="page217"/>
    <w:bookmarkEnd w:id="216"/>
    <w:p>
      <w:pPr>
        <w:ind w:left="2700"/>
        <w:spacing w:after="0"/>
        <w:rPr>
          <w:sz w:val="20"/>
          <w:szCs w:val="20"/>
          <w:color w:val="auto"/>
        </w:rPr>
      </w:pPr>
      <w:r>
        <w:rPr>
          <w:rFonts w:ascii="Arial" w:cs="Arial" w:eastAsia="Arial" w:hAnsi="Arial"/>
          <w:sz w:val="17"/>
          <w:szCs w:val="17"/>
          <w:b w:val="1"/>
          <w:bCs w:val="1"/>
          <w:color w:val="auto"/>
          <w:strike w:val="1"/>
        </w:rPr>
        <w:t>ROYAL BANK OF CANADA, as Administrative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Agent and U.S. Collateral Agent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1049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Manager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973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17" w:name="page218"/>
    <w:bookmarkEnd w:id="217"/>
    <w:p>
      <w:pPr>
        <w:ind w:left="2700"/>
        <w:spacing w:after="0"/>
        <w:rPr>
          <w:sz w:val="20"/>
          <w:szCs w:val="20"/>
          <w:color w:val="auto"/>
        </w:rPr>
      </w:pPr>
      <w:r>
        <w:rPr>
          <w:rFonts w:ascii="Arial" w:cs="Arial" w:eastAsia="Arial" w:hAnsi="Arial"/>
          <w:sz w:val="18"/>
          <w:szCs w:val="18"/>
          <w:b w:val="1"/>
          <w:bCs w:val="1"/>
          <w:color w:val="auto"/>
          <w:strike w:val="1"/>
        </w:rPr>
        <w:t>ROYAL BANK OF CANADA, as Canadian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strike w:val="1"/>
        </w:rPr>
        <w:t>Administrative Agent and Canadian Collateral Agent</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1049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Manager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973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18" w:name="page219"/>
    <w:bookmarkEnd w:id="218"/>
    <w:p>
      <w:pPr>
        <w:ind w:left="2700"/>
        <w:spacing w:after="0"/>
        <w:rPr>
          <w:sz w:val="20"/>
          <w:szCs w:val="20"/>
          <w:color w:val="auto"/>
        </w:rPr>
      </w:pPr>
      <w:r>
        <w:rPr>
          <w:rFonts w:ascii="Arial" w:cs="Arial" w:eastAsia="Arial" w:hAnsi="Arial"/>
          <w:sz w:val="17"/>
          <w:szCs w:val="17"/>
          <w:b w:val="1"/>
          <w:bCs w:val="1"/>
          <w:color w:val="auto"/>
          <w:strike w:val="1"/>
        </w:rPr>
        <w:t>ROYAL BANK OF CANADA, as a U.S. Lender, the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U.S. Swing Line Lender and an Issuing Bank</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103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195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9" w:name="page220"/>
    <w:bookmarkEnd w:id="219"/>
    <w:p>
      <w:pPr>
        <w:ind w:left="2700"/>
        <w:spacing w:after="0"/>
        <w:rPr>
          <w:sz w:val="20"/>
          <w:szCs w:val="20"/>
          <w:color w:val="auto"/>
        </w:rPr>
      </w:pPr>
      <w:r>
        <w:rPr>
          <w:rFonts w:ascii="Arial" w:cs="Arial" w:eastAsia="Arial" w:hAnsi="Arial"/>
          <w:sz w:val="18"/>
          <w:szCs w:val="18"/>
          <w:b w:val="1"/>
          <w:bCs w:val="1"/>
          <w:color w:val="auto"/>
          <w:strike w:val="1"/>
        </w:rPr>
        <w:t>ROYAL BANK OF CANADA, as a Canadian</w:t>
      </w:r>
    </w:p>
    <w:p>
      <w:pPr>
        <w:spacing w:after="0" w:line="27" w:lineRule="exact"/>
        <w:rPr>
          <w:sz w:val="20"/>
          <w:szCs w:val="20"/>
          <w:color w:val="auto"/>
        </w:rPr>
      </w:pPr>
    </w:p>
    <w:p>
      <w:pPr>
        <w:ind w:left="2700" w:right="1519"/>
        <w:spacing w:after="0" w:line="250" w:lineRule="auto"/>
        <w:rPr>
          <w:sz w:val="20"/>
          <w:szCs w:val="20"/>
          <w:color w:val="auto"/>
        </w:rPr>
      </w:pPr>
      <w:r>
        <w:rPr>
          <w:rFonts w:ascii="Arial" w:cs="Arial" w:eastAsia="Arial" w:hAnsi="Arial"/>
          <w:sz w:val="18"/>
          <w:szCs w:val="18"/>
          <w:b w:val="1"/>
          <w:bCs w:val="1"/>
          <w:color w:val="auto"/>
          <w:strike w:val="1"/>
        </w:rPr>
        <w:t>Lender, the Canadian Swing Line Lender and an Issuing Bank By: _____________________________</w:t>
      </w:r>
    </w:p>
    <w:p>
      <w:pPr>
        <w:spacing w:after="0" w:line="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Sonia Tibbatts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363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195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675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0" w:name="page221"/>
    <w:bookmarkEnd w:id="220"/>
    <w:p>
      <w:pPr>
        <w:ind w:left="2700"/>
        <w:spacing w:after="0"/>
        <w:rPr>
          <w:sz w:val="20"/>
          <w:szCs w:val="20"/>
          <w:color w:val="auto"/>
        </w:rPr>
      </w:pPr>
      <w:r>
        <w:rPr>
          <w:rFonts w:ascii="Arial" w:cs="Arial" w:eastAsia="Arial" w:hAnsi="Arial"/>
          <w:sz w:val="18"/>
          <w:szCs w:val="18"/>
          <w:b w:val="1"/>
          <w:bCs w:val="1"/>
          <w:color w:val="auto"/>
          <w:strike w:val="1"/>
        </w:rPr>
        <w:t>RBC EUROPE LIMITED, as Australian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strike w:val="1"/>
        </w:rPr>
        <w:t>Administrative Agent and Australian Collateral Agent</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R J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9398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481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48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1" w:name="page222"/>
    <w:bookmarkEnd w:id="221"/>
    <w:p>
      <w:pPr>
        <w:ind w:left="2700"/>
        <w:spacing w:after="0"/>
        <w:rPr>
          <w:sz w:val="20"/>
          <w:szCs w:val="20"/>
          <w:color w:val="auto"/>
        </w:rPr>
      </w:pPr>
      <w:r>
        <w:rPr>
          <w:rFonts w:ascii="Arial" w:cs="Arial" w:eastAsia="Arial" w:hAnsi="Arial"/>
          <w:sz w:val="17"/>
          <w:szCs w:val="17"/>
          <w:b w:val="1"/>
          <w:bCs w:val="1"/>
          <w:color w:val="auto"/>
          <w:strike w:val="1"/>
        </w:rPr>
        <w:t>ROYAL BANK OF CANADA, as an Australian</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Lender and an Issuing Bank</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Nicole Fawkner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3233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b w:val="1"/>
          <w:bCs w:val="1"/>
          <w:color w:val="auto"/>
        </w:rPr>
        <w:t>Title: Director,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8973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2" w:name="page223"/>
    <w:bookmarkEnd w:id="222"/>
    <w:p>
      <w:pPr>
        <w:ind w:left="2700"/>
        <w:spacing w:after="0"/>
        <w:rPr>
          <w:sz w:val="20"/>
          <w:szCs w:val="20"/>
          <w:color w:val="auto"/>
        </w:rPr>
      </w:pPr>
      <w:r>
        <w:rPr>
          <w:rFonts w:ascii="Arial" w:cs="Arial" w:eastAsia="Arial" w:hAnsi="Arial"/>
          <w:sz w:val="16"/>
          <w:szCs w:val="16"/>
          <w:b w:val="1"/>
          <w:bCs w:val="1"/>
          <w:color w:val="auto"/>
          <w:strike w:val="1"/>
        </w:rPr>
        <w:t>[____________________], as a U.S.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382905</wp:posOffset>
            </wp:positionV>
            <wp:extent cx="72675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3" w:name="page224"/>
    <w:bookmarkEnd w:id="223"/>
    <w:p>
      <w:pPr>
        <w:ind w:left="2700"/>
        <w:spacing w:after="0"/>
        <w:rPr>
          <w:sz w:val="20"/>
          <w:szCs w:val="20"/>
          <w:color w:val="auto"/>
        </w:rPr>
      </w:pPr>
      <w:r>
        <w:rPr>
          <w:rFonts w:ascii="Arial" w:cs="Arial" w:eastAsia="Arial" w:hAnsi="Arial"/>
          <w:sz w:val="16"/>
          <w:szCs w:val="16"/>
          <w:b w:val="1"/>
          <w:bCs w:val="1"/>
          <w:color w:val="auto"/>
          <w:strike w:val="1"/>
        </w:rPr>
        <w:t>[____________________], as a Canadian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4" w:name="page225"/>
    <w:bookmarkEnd w:id="224"/>
    <w:p>
      <w:pPr>
        <w:ind w:left="2700"/>
        <w:spacing w:after="0"/>
        <w:rPr>
          <w:sz w:val="20"/>
          <w:szCs w:val="20"/>
          <w:color w:val="auto"/>
        </w:rPr>
      </w:pPr>
      <w:r>
        <w:rPr>
          <w:rFonts w:ascii="Arial" w:cs="Arial" w:eastAsia="Arial" w:hAnsi="Arial"/>
          <w:sz w:val="16"/>
          <w:szCs w:val="16"/>
          <w:b w:val="1"/>
          <w:bCs w:val="1"/>
          <w:color w:val="auto"/>
          <w:strike w:val="1"/>
        </w:rPr>
        <w:t>[____________________], as an Australian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5" w:name="page226"/>
    <w:bookmarkEnd w:id="225"/>
    <w:p>
      <w:pPr>
        <w:jc w:val="center"/>
        <w:ind w:right="40"/>
        <w:spacing w:after="0"/>
        <w:rPr>
          <w:sz w:val="20"/>
          <w:szCs w:val="20"/>
          <w:color w:val="auto"/>
        </w:rPr>
      </w:pPr>
      <w:r>
        <w:rPr>
          <w:rFonts w:ascii="Arial" w:cs="Arial" w:eastAsia="Arial" w:hAnsi="Arial"/>
          <w:sz w:val="18"/>
          <w:szCs w:val="18"/>
          <w:b w:val="1"/>
          <w:bCs w:val="1"/>
          <w:color w:val="auto"/>
          <w:strike w:val="1"/>
        </w:rPr>
        <w:t>SCHEDULE 2.01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strike w:val="1"/>
        </w:rPr>
        <w:t>Lenders and Commitments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strike w:val="1"/>
        </w:rPr>
        <w:t>(all amounts in U.S. dollars)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440" w:type="dxa"/>
            <w:vAlign w:val="bottom"/>
            <w:tcBorders>
              <w:top w:val="single" w:sz="8" w:color="auto"/>
              <w:lef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93"/>
              </w:rPr>
              <w:t>Australian</w:t>
            </w:r>
          </w:p>
        </w:tc>
        <w:tc>
          <w:tcPr>
            <w:tcW w:w="16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4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strike w:val="1"/>
              </w:rPr>
              <w:t>U.S. Revolving</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w w:val="91"/>
              </w:rPr>
              <w:t>Canadian Revolving</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88"/>
              </w:rPr>
              <w:t>Revolving</w:t>
            </w:r>
          </w:p>
        </w:tc>
        <w:tc>
          <w:tcPr>
            <w:tcW w:w="16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strike w:val="1"/>
              </w:rPr>
              <w:t>U.S. Term</w:t>
            </w:r>
          </w:p>
        </w:tc>
        <w:tc>
          <w:tcPr>
            <w:tcW w:w="15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strike w:val="1"/>
              </w:rPr>
              <w:t>Total</w:t>
            </w:r>
          </w:p>
        </w:tc>
        <w:tc>
          <w:tcPr>
            <w:tcW w:w="40" w:type="dxa"/>
            <w:vAlign w:val="bottom"/>
          </w:tcPr>
          <w:p>
            <w:pPr>
              <w:spacing w:after="0"/>
              <w:rPr>
                <w:sz w:val="18"/>
                <w:szCs w:val="18"/>
                <w:color w:val="auto"/>
              </w:rPr>
            </w:pPr>
          </w:p>
        </w:tc>
      </w:tr>
      <w:tr>
        <w:trPr>
          <w:trHeight w:val="234"/>
        </w:trPr>
        <w:tc>
          <w:tcPr>
            <w:tcW w:w="1440" w:type="dxa"/>
            <w:vAlign w:val="bottom"/>
            <w:tcBorders>
              <w:left w:val="single" w:sz="8" w:color="auto"/>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strike w:val="1"/>
              </w:rPr>
              <w:t>Bank</w:t>
            </w:r>
          </w:p>
        </w:tc>
        <w:tc>
          <w:tcPr>
            <w:tcW w:w="16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strike w:val="1"/>
              </w:rPr>
              <w:t>Commitment</w:t>
            </w:r>
          </w:p>
        </w:tc>
        <w:tc>
          <w:tcPr>
            <w:tcW w:w="16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strike w:val="1"/>
              </w:rPr>
              <w:t>Commitment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92"/>
              </w:rPr>
              <w:t>Commitment</w:t>
            </w:r>
          </w:p>
        </w:tc>
        <w:tc>
          <w:tcPr>
            <w:tcW w:w="16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strike w:val="1"/>
              </w:rPr>
              <w:t>Commitment</w:t>
            </w:r>
          </w:p>
        </w:tc>
        <w:tc>
          <w:tcPr>
            <w:tcW w:w="15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strike w:val="1"/>
              </w:rPr>
              <w:t>Commitment</w:t>
            </w:r>
          </w:p>
        </w:tc>
        <w:tc>
          <w:tcPr>
            <w:tcW w:w="40" w:type="dxa"/>
            <w:vAlign w:val="bottom"/>
          </w:tcPr>
          <w:p>
            <w:pPr>
              <w:spacing w:after="0"/>
              <w:rPr>
                <w:sz w:val="20"/>
                <w:szCs w:val="20"/>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Royal Bank of Canada</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$68,307,913</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$3,744,721</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$110,666,664</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 Bank of Nova Scotia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$53,971,764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$3,744,720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$100,002,814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$157,719,298</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 Bank of Nova Scotia Asia Limited</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Wells Fargo Bank N.A.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$53,971,764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$100,002,814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$166,255,280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Wells Fargo Bank N.A., Canadian Branch</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$3,744,720</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National Australia Bank Limited</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$34,164,289</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$29,385,736</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$81,449,975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$145,000,000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Capital One, N.A.</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$58,550,025</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$86,449,975</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Regions Bank</w:t>
            </w:r>
          </w:p>
        </w:tc>
        <w:tc>
          <w:tcPr>
            <w:tcW w:w="19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$45,614,035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$54,385,965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HSBC Bank USA .N.A.</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$18,400,000</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$31,600,000</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HSBC Bank Canada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$25,000,000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8"/>
                <w:szCs w:val="18"/>
                <w:color w:val="auto"/>
              </w:rPr>
            </w:pPr>
          </w:p>
        </w:tc>
      </w:tr>
      <w:tr>
        <w:trPr>
          <w:trHeight w:val="191"/>
        </w:trPr>
        <w:tc>
          <w:tcPr>
            <w:tcW w:w="3360" w:type="dxa"/>
            <w:vAlign w:val="bottom"/>
            <w:tcBorders>
              <w:left w:val="single" w:sz="8" w:color="auto"/>
              <w:right w:val="single" w:sz="8" w:color="auto"/>
            </w:tcBorders>
            <w:gridSpan w:val="2"/>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The Hongkong and Shanghai Banking</w:t>
            </w:r>
          </w:p>
        </w:tc>
        <w:tc>
          <w:tcPr>
            <w:tcW w:w="162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6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0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164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54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6"/>
                <w:szCs w:val="16"/>
                <w:color w:val="auto"/>
              </w:rPr>
            </w:pPr>
          </w:p>
        </w:tc>
      </w:tr>
      <w:tr>
        <w:trPr>
          <w:trHeight w:val="234"/>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Corporation Limited, Sydney Branch</w:t>
            </w:r>
          </w:p>
        </w:tc>
        <w:tc>
          <w:tcPr>
            <w:tcW w:w="1620" w:type="dxa"/>
            <w:vAlign w:val="bottom"/>
            <w:tcBorders>
              <w:bottom w:val="single" w:sz="8" w:color="auto"/>
              <w:right w:val="single" w:sz="8" w:color="auto"/>
            </w:tcBorders>
            <w:shd w:val="clear" w:color="auto" w:fill="CCEEFF"/>
          </w:tcPr>
          <w:p>
            <w:pPr>
              <w:spacing w:after="0"/>
              <w:rPr>
                <w:sz w:val="20"/>
                <w:szCs w:val="20"/>
                <w:color w:val="auto"/>
              </w:rPr>
            </w:pP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4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Compass Bank</w:t>
            </w:r>
          </w:p>
        </w:tc>
        <w:tc>
          <w:tcPr>
            <w:tcW w:w="19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$23,684,210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$5,263,158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$5,263,158</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$75,000,000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Sumitomo Mitsui Banking Corporation</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$9,210,526</w:t>
            </w: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191"/>
        </w:trPr>
        <w:tc>
          <w:tcPr>
            <w:tcW w:w="3360" w:type="dxa"/>
            <w:vAlign w:val="bottom"/>
            <w:tcBorders>
              <w:left w:val="single" w:sz="8" w:color="auto"/>
              <w:righ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3"/>
              </w:rPr>
              <w:t>Sumitomo Mitsui Banking Corporation of</w:t>
            </w:r>
          </w:p>
        </w:tc>
        <w:tc>
          <w:tcPr>
            <w:tcW w:w="162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6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160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4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54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6"/>
                <w:szCs w:val="16"/>
                <w:color w:val="auto"/>
              </w:rPr>
            </w:pPr>
          </w:p>
        </w:tc>
      </w:tr>
      <w:tr>
        <w:trPr>
          <w:trHeight w:val="234"/>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Canada</w:t>
            </w:r>
          </w:p>
        </w:tc>
        <w:tc>
          <w:tcPr>
            <w:tcW w:w="19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 Toronto-Dominion Bank</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$6,220,096</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$6,220,096</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Toronto Dominion (Texas) LLC</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$27,990,430</w:t>
            </w:r>
          </w:p>
        </w:tc>
        <w:tc>
          <w:tcPr>
            <w:tcW w:w="16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$68,779,904</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ATB Financial</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$16,981,132</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$3,773,585</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$29,245,283</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National Bank of Canada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$15,789,000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$3,509,000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$3,509,000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$27,193,000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Canadian Western Bank</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$20,000,000</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FirstMerit Bank, N.A.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$7,400,000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$12,600,000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Comerica Bank</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$15,964,912</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$19,035,088</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$35,000,000</w:t>
            </w:r>
          </w:p>
        </w:tc>
        <w:tc>
          <w:tcPr>
            <w:tcW w:w="40" w:type="dxa"/>
            <w:vAlign w:val="bottom"/>
          </w:tcPr>
          <w:p>
            <w:pPr>
              <w:spacing w:after="0"/>
              <w:rPr>
                <w:sz w:val="18"/>
                <w:szCs w:val="18"/>
                <w:color w:val="auto"/>
              </w:rPr>
            </w:pPr>
          </w:p>
        </w:tc>
      </w:tr>
      <w:tr>
        <w:trPr>
          <w:trHeight w:val="206"/>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$450,000,000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$775,000,000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$1,425,000,000</w:t>
            </w:r>
          </w:p>
        </w:tc>
        <w:tc>
          <w:tcPr>
            <w:tcW w:w="40" w:type="dxa"/>
            <w:vAlign w:val="bottom"/>
          </w:tcPr>
          <w:p>
            <w:pPr>
              <w:spacing w:after="0"/>
              <w:rPr>
                <w:sz w:val="17"/>
                <w:szCs w:val="17"/>
                <w:color w:val="auto"/>
              </w:rPr>
            </w:pPr>
          </w:p>
        </w:tc>
      </w:tr>
      <w:tr>
        <w:trPr>
          <w:trHeight w:val="831"/>
        </w:trPr>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440" w:type="dxa"/>
            <w:vAlign w:val="bottom"/>
            <w:tcBorders>
              <w:left w:val="single" w:sz="8" w:color="808080"/>
            </w:tcBorders>
            <w:shd w:val="clear" w:color="auto" w:fill="808080"/>
          </w:tcPr>
          <w:p>
            <w:pPr>
              <w:spacing w:after="0"/>
              <w:rPr>
                <w:sz w:val="5"/>
                <w:szCs w:val="5"/>
                <w:color w:val="auto"/>
              </w:rPr>
            </w:pPr>
          </w:p>
        </w:tc>
        <w:tc>
          <w:tcPr>
            <w:tcW w:w="1920" w:type="dxa"/>
            <w:vAlign w:val="bottom"/>
            <w:tcBorders>
              <w:right w:val="single" w:sz="8" w:color="808080"/>
            </w:tcBorders>
            <w:shd w:val="clear" w:color="auto" w:fill="808080"/>
          </w:tcPr>
          <w:p>
            <w:pPr>
              <w:spacing w:after="0"/>
              <w:rPr>
                <w:sz w:val="5"/>
                <w:szCs w:val="5"/>
                <w:color w:val="auto"/>
              </w:rPr>
            </w:pPr>
          </w:p>
        </w:tc>
        <w:tc>
          <w:tcPr>
            <w:tcW w:w="1620" w:type="dxa"/>
            <w:vAlign w:val="bottom"/>
            <w:tcBorders>
              <w:right w:val="single" w:sz="8" w:color="808080"/>
            </w:tcBorders>
            <w:shd w:val="clear" w:color="auto" w:fill="808080"/>
          </w:tcPr>
          <w:p>
            <w:pPr>
              <w:spacing w:after="0"/>
              <w:rPr>
                <w:sz w:val="5"/>
                <w:szCs w:val="5"/>
                <w:color w:val="auto"/>
              </w:rPr>
            </w:pPr>
          </w:p>
        </w:tc>
        <w:tc>
          <w:tcPr>
            <w:tcW w:w="1660" w:type="dxa"/>
            <w:vAlign w:val="bottom"/>
            <w:tcBorders>
              <w:right w:val="single" w:sz="8" w:color="808080"/>
            </w:tcBorders>
            <w:shd w:val="clear" w:color="auto" w:fill="808080"/>
          </w:tcPr>
          <w:p>
            <w:pPr>
              <w:spacing w:after="0"/>
              <w:rPr>
                <w:sz w:val="5"/>
                <w:szCs w:val="5"/>
                <w:color w:val="auto"/>
              </w:rPr>
            </w:pPr>
          </w:p>
        </w:tc>
        <w:tc>
          <w:tcPr>
            <w:tcW w:w="1600" w:type="dxa"/>
            <w:vAlign w:val="bottom"/>
            <w:tcBorders>
              <w:right w:val="single" w:sz="8" w:color="808080"/>
            </w:tcBorders>
            <w:shd w:val="clear" w:color="auto" w:fill="808080"/>
          </w:tcPr>
          <w:p>
            <w:pPr>
              <w:spacing w:after="0"/>
              <w:rPr>
                <w:sz w:val="5"/>
                <w:szCs w:val="5"/>
                <w:color w:val="auto"/>
              </w:rPr>
            </w:pPr>
          </w:p>
        </w:tc>
        <w:tc>
          <w:tcPr>
            <w:tcW w:w="1640" w:type="dxa"/>
            <w:vAlign w:val="bottom"/>
            <w:tcBorders>
              <w:right w:val="single" w:sz="8" w:color="808080"/>
            </w:tcBorders>
            <w:shd w:val="clear" w:color="auto" w:fill="808080"/>
          </w:tcPr>
          <w:p>
            <w:pPr>
              <w:spacing w:after="0"/>
              <w:rPr>
                <w:sz w:val="5"/>
                <w:szCs w:val="5"/>
                <w:color w:val="auto"/>
              </w:rPr>
            </w:pPr>
          </w:p>
        </w:tc>
        <w:tc>
          <w:tcPr>
            <w:tcW w:w="15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-3980815</wp:posOffset>
            </wp:positionV>
            <wp:extent cx="11188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8870"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-3980815</wp:posOffset>
            </wp:positionV>
            <wp:extent cx="5803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-3980815</wp:posOffset>
            </wp:positionV>
            <wp:extent cx="5226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-3980815</wp:posOffset>
            </wp:positionV>
            <wp:extent cx="26060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-3903345</wp:posOffset>
            </wp:positionV>
            <wp:extent cx="725043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-3688715</wp:posOffset>
            </wp:positionV>
            <wp:extent cx="18840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8404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-3688715</wp:posOffset>
            </wp:positionV>
            <wp:extent cx="5803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-3688715</wp:posOffset>
            </wp:positionV>
            <wp:extent cx="5822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-3611880</wp:posOffset>
            </wp:positionV>
            <wp:extent cx="725043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-3397250</wp:posOffset>
            </wp:positionV>
            <wp:extent cx="20618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06184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-3397250</wp:posOffset>
            </wp:positionV>
            <wp:extent cx="5226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-3397250</wp:posOffset>
            </wp:positionV>
            <wp:extent cx="5251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-3320415</wp:posOffset>
            </wp:positionV>
            <wp:extent cx="725043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-3105785</wp:posOffset>
            </wp:positionV>
            <wp:extent cx="8839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3920"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-3105785</wp:posOffset>
            </wp:positionV>
            <wp:extent cx="5803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-3105785</wp:posOffset>
            </wp:positionV>
            <wp:extent cx="15684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-3028950</wp:posOffset>
            </wp:positionV>
            <wp:extent cx="7250430" cy="146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-2814320</wp:posOffset>
            </wp:positionV>
            <wp:extent cx="11474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4744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-2814320</wp:posOffset>
            </wp:positionV>
            <wp:extent cx="5803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-2814320</wp:posOffset>
            </wp:positionV>
            <wp:extent cx="15684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-2736850</wp:posOffset>
            </wp:positionV>
            <wp:extent cx="725043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-2522855</wp:posOffset>
            </wp:positionV>
            <wp:extent cx="18783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8395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3959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-2522855</wp:posOffset>
            </wp:positionV>
            <wp:extent cx="5803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-2522855</wp:posOffset>
            </wp:positionV>
            <wp:extent cx="5822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7250430" cy="146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31578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57855"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-2094230</wp:posOffset>
            </wp:positionV>
            <wp:extent cx="15684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-2016760</wp:posOffset>
            </wp:positionV>
            <wp:extent cx="7250430" cy="283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-1664970</wp:posOffset>
            </wp:positionV>
            <wp:extent cx="14268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2684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-1664970</wp:posOffset>
            </wp:positionV>
            <wp:extent cx="5226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-1664970</wp:posOffset>
            </wp:positionV>
            <wp:extent cx="525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7250430" cy="146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-1373505</wp:posOffset>
            </wp:positionV>
            <wp:extent cx="7232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-1373505</wp:posOffset>
            </wp:positionV>
            <wp:extent cx="5803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-1373505</wp:posOffset>
            </wp:positionV>
            <wp:extent cx="5226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-1373505</wp:posOffset>
            </wp:positionV>
            <wp:extent cx="15684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-1296670</wp:posOffset>
            </wp:positionV>
            <wp:extent cx="7250430" cy="146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-1082040</wp:posOffset>
            </wp:positionV>
            <wp:extent cx="12109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10945" cy="889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-1082040</wp:posOffset>
            </wp:positionV>
            <wp:extent cx="5803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-1082040</wp:posOffset>
            </wp:positionV>
            <wp:extent cx="5822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-1004570</wp:posOffset>
            </wp:positionV>
            <wp:extent cx="7250430"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7753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533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-790575</wp:posOffset>
            </wp:positionV>
            <wp:extent cx="5803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-790575</wp:posOffset>
            </wp:positionV>
            <wp:extent cx="15684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-713105</wp:posOffset>
            </wp:positionV>
            <wp:extent cx="725043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13716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26" w:name="page227"/>
    <w:bookmarkEnd w:id="226"/>
    <w:tbl>
      <w:tblPr>
        <w:tblLayout w:type="fixed"/>
        <w:tblInd w:w="1940" w:type="dxa"/>
        <w:tblCellMar>
          <w:top w:w="0" w:type="dxa"/>
          <w:left w:w="0" w:type="dxa"/>
          <w:bottom w:w="0" w:type="dxa"/>
          <w:right w:w="0" w:type="dxa"/>
        </w:tblCellMar>
      </w:tblPr>
      <w:tr>
        <w:trPr>
          <w:trHeight w:val="234"/>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color w:val="auto"/>
                <w:strike w:val="1"/>
                <w:w w:val="96"/>
              </w:rPr>
              <w:t>SCHEDULE 2.01</w:t>
            </w:r>
          </w:p>
        </w:tc>
        <w:tc>
          <w:tcPr>
            <w:tcW w:w="1240" w:type="dxa"/>
            <w:vAlign w:val="bottom"/>
          </w:tcPr>
          <w:p>
            <w:pPr>
              <w:spacing w:after="0"/>
              <w:rPr>
                <w:sz w:val="20"/>
                <w:szCs w:val="20"/>
                <w:color w:val="auto"/>
              </w:rPr>
            </w:pPr>
          </w:p>
        </w:tc>
      </w:tr>
      <w:tr>
        <w:trPr>
          <w:trHeight w:val="432"/>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u w:val="single" w:color="auto"/>
                <w:color w:val="auto"/>
                <w:strike w:val="1"/>
                <w:w w:val="92"/>
              </w:rPr>
              <w:t>Amortization</w:t>
            </w:r>
          </w:p>
        </w:tc>
        <w:tc>
          <w:tcPr>
            <w:tcW w:w="1240" w:type="dxa"/>
            <w:vAlign w:val="bottom"/>
          </w:tcPr>
          <w:p>
            <w:pPr>
              <w:spacing w:after="0"/>
              <w:rPr>
                <w:sz w:val="24"/>
                <w:szCs w:val="24"/>
                <w:color w:val="auto"/>
              </w:rPr>
            </w:pPr>
          </w:p>
        </w:tc>
      </w:tr>
      <w:tr>
        <w:trPr>
          <w:trHeight w:val="432"/>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color w:val="auto"/>
                <w:strike w:val="1"/>
                <w:w w:val="90"/>
              </w:rPr>
              <w:t>(all amounts in U.S. dollars)</w:t>
            </w:r>
          </w:p>
        </w:tc>
        <w:tc>
          <w:tcPr>
            <w:tcW w:w="1240" w:type="dxa"/>
            <w:vAlign w:val="bottom"/>
          </w:tcPr>
          <w:p>
            <w:pPr>
              <w:spacing w:after="0"/>
              <w:rPr>
                <w:sz w:val="24"/>
                <w:szCs w:val="24"/>
                <w:color w:val="auto"/>
              </w:rPr>
            </w:pPr>
          </w:p>
        </w:tc>
      </w:tr>
      <w:tr>
        <w:trPr>
          <w:trHeight w:val="414"/>
        </w:trPr>
        <w:tc>
          <w:tcPr>
            <w:tcW w:w="3900" w:type="dxa"/>
            <w:vAlign w:val="bottom"/>
          </w:tcPr>
          <w:p>
            <w:pPr>
              <w:spacing w:after="0"/>
              <w:rPr>
                <w:sz w:val="20"/>
                <w:szCs w:val="20"/>
                <w:color w:val="auto"/>
              </w:rPr>
            </w:pPr>
            <w:r>
              <w:rPr>
                <w:rFonts w:ascii="Arial" w:cs="Arial" w:eastAsia="Arial" w:hAnsi="Arial"/>
                <w:sz w:val="18"/>
                <w:szCs w:val="18"/>
                <w:b w:val="1"/>
                <w:bCs w:val="1"/>
                <w:u w:val="single" w:color="auto"/>
                <w:color w:val="auto"/>
                <w:strike w:val="1"/>
              </w:rPr>
              <w:t>Date</w:t>
            </w:r>
          </w:p>
        </w:tc>
        <w:tc>
          <w:tcPr>
            <w:tcW w:w="12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strike w:val="1"/>
              </w:rPr>
              <w:t>Amount</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Maturity Date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$629,687,500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-2194560</wp:posOffset>
            </wp:positionV>
            <wp:extent cx="326707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-1920240</wp:posOffset>
            </wp:positionV>
            <wp:extent cx="326707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-1645920</wp:posOffset>
            </wp:positionV>
            <wp:extent cx="3267075"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-1371600</wp:posOffset>
            </wp:positionV>
            <wp:extent cx="3267075"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-1097280</wp:posOffset>
            </wp:positionV>
            <wp:extent cx="3267075"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-822325</wp:posOffset>
            </wp:positionV>
            <wp:extent cx="326707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-548005</wp:posOffset>
            </wp:positionV>
            <wp:extent cx="326707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-273685</wp:posOffset>
            </wp:positionV>
            <wp:extent cx="326707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358140</wp:posOffset>
            </wp:positionV>
            <wp:extent cx="72675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i w:val="1"/>
          <w:iCs w:val="1"/>
          <w:color w:val="auto"/>
        </w:rPr>
        <w:t>Annex I</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25" w:lineRule="exact"/>
        <w:rPr>
          <w:sz w:val="20"/>
          <w:szCs w:val="20"/>
          <w:color w:val="auto"/>
        </w:rPr>
      </w:pPr>
    </w:p>
    <w:p>
      <w:pPr>
        <w:jc w:val="both"/>
        <w:spacing w:after="0" w:line="180" w:lineRule="auto"/>
        <w:rPr>
          <w:sz w:val="20"/>
          <w:szCs w:val="20"/>
          <w:color w:val="auto"/>
        </w:rPr>
      </w:pPr>
      <w:r>
        <w:rPr>
          <w:rFonts w:ascii="Arial" w:cs="Arial" w:eastAsia="Arial" w:hAnsi="Arial"/>
          <w:sz w:val="18"/>
          <w:szCs w:val="18"/>
          <w:color w:val="auto"/>
        </w:rPr>
        <w:t>This Assignment and Acceptance (the "</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is dated as of the Effective Date set forth below and is entered into by and between [the] [each]</w:t>
      </w:r>
      <w:r>
        <w:rPr>
          <w:rFonts w:ascii="Arial" w:cs="Arial" w:eastAsia="Arial" w:hAnsi="Arial"/>
          <w:sz w:val="35"/>
          <w:szCs w:val="35"/>
          <w:color w:val="auto"/>
          <w:vertAlign w:val="superscript"/>
        </w:rPr>
        <w:t>1</w:t>
      </w:r>
      <w:r>
        <w:rPr>
          <w:rFonts w:ascii="Arial" w:cs="Arial" w:eastAsia="Arial" w:hAnsi="Arial"/>
          <w:sz w:val="18"/>
          <w:szCs w:val="18"/>
          <w:color w:val="auto"/>
        </w:rPr>
        <w:t xml:space="preserve"> Assignor identified in item 1 below ([the][each, an] "</w:t>
      </w:r>
      <w:r>
        <w:rPr>
          <w:rFonts w:ascii="Arial" w:cs="Arial" w:eastAsia="Arial" w:hAnsi="Arial"/>
          <w:sz w:val="18"/>
          <w:szCs w:val="18"/>
          <w:i w:val="1"/>
          <w:iCs w:val="1"/>
          <w:color w:val="auto"/>
        </w:rPr>
        <w:t>Assignor</w:t>
      </w:r>
      <w:r>
        <w:rPr>
          <w:rFonts w:ascii="Arial" w:cs="Arial" w:eastAsia="Arial" w:hAnsi="Arial"/>
          <w:sz w:val="18"/>
          <w:szCs w:val="18"/>
          <w:color w:val="auto"/>
        </w:rPr>
        <w:t>") and [the][each]</w:t>
      </w:r>
      <w:r>
        <w:rPr>
          <w:rFonts w:ascii="Arial" w:cs="Arial" w:eastAsia="Arial" w:hAnsi="Arial"/>
          <w:sz w:val="35"/>
          <w:szCs w:val="35"/>
          <w:color w:val="auto"/>
          <w:vertAlign w:val="superscript"/>
        </w:rPr>
        <w:t>2</w:t>
      </w:r>
      <w:r>
        <w:rPr>
          <w:rFonts w:ascii="Arial" w:cs="Arial" w:eastAsia="Arial" w:hAnsi="Arial"/>
          <w:sz w:val="18"/>
          <w:szCs w:val="18"/>
          <w:color w:val="auto"/>
        </w:rPr>
        <w:t xml:space="preserve"> Assignee identified in item 2 below ([the][each, an] "</w:t>
      </w:r>
      <w:r>
        <w:rPr>
          <w:rFonts w:ascii="Arial" w:cs="Arial" w:eastAsia="Arial" w:hAnsi="Arial"/>
          <w:sz w:val="18"/>
          <w:szCs w:val="18"/>
          <w:i w:val="1"/>
          <w:iCs w:val="1"/>
          <w:color w:val="auto"/>
        </w:rPr>
        <w:t>Assignee</w:t>
      </w:r>
      <w:r>
        <w:rPr>
          <w:rFonts w:ascii="Arial" w:cs="Arial" w:eastAsia="Arial" w:hAnsi="Arial"/>
          <w:sz w:val="18"/>
          <w:szCs w:val="18"/>
          <w:color w:val="auto"/>
        </w:rPr>
        <w:t>"). [It is understood and agreed that the rights and obligations of [the Assignors][the Assignees]</w:t>
      </w:r>
      <w:r>
        <w:rPr>
          <w:rFonts w:ascii="Arial" w:cs="Arial" w:eastAsia="Arial" w:hAnsi="Arial"/>
          <w:sz w:val="35"/>
          <w:szCs w:val="35"/>
          <w:color w:val="auto"/>
          <w:vertAlign w:val="superscript"/>
        </w:rPr>
        <w:t>3</w:t>
      </w:r>
      <w:r>
        <w:rPr>
          <w:rFonts w:ascii="Arial" w:cs="Arial" w:eastAsia="Arial" w:hAnsi="Arial"/>
          <w:sz w:val="18"/>
          <w:szCs w:val="18"/>
          <w:color w:val="auto"/>
        </w:rPr>
        <w:t xml:space="preserve"> hereunder are several and not joint.]</w:t>
      </w:r>
      <w:r>
        <w:rPr>
          <w:rFonts w:ascii="Arial" w:cs="Arial" w:eastAsia="Arial" w:hAnsi="Arial"/>
          <w:sz w:val="35"/>
          <w:szCs w:val="35"/>
          <w:color w:val="auto"/>
          <w:vertAlign w:val="superscript"/>
        </w:rPr>
        <w:t>4</w:t>
      </w:r>
      <w:r>
        <w:rPr>
          <w:rFonts w:ascii="Arial" w:cs="Arial" w:eastAsia="Arial" w:hAnsi="Arial"/>
          <w:sz w:val="18"/>
          <w:szCs w:val="18"/>
          <w:color w:val="auto"/>
        </w:rPr>
        <w:t xml:space="preserve"> Capitalized terms used but not defined herein shall have the meanings given to them in the Credit Agreement identified below (as amended, supplemented, restated or otherwise modified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receipt of a copy of which is hereby acknowledged by [the][each] Assignee. The Standard Terms and Conditions set forth in Annex 1 attached hereto are hereby agreed to and incorporated herein by reference and made a part of this Assignment and Acceptance as if set forth herein in full.</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w:t>
      </w:r>
    </w:p>
    <w:p>
      <w:pPr>
        <w:spacing w:after="0" w:line="5" w:lineRule="exact"/>
        <w:rPr>
          <w:sz w:val="20"/>
          <w:szCs w:val="20"/>
          <w:color w:val="auto"/>
        </w:rPr>
      </w:pPr>
    </w:p>
    <w:p>
      <w:pPr>
        <w:jc w:val="both"/>
        <w:ind w:firstLine="8"/>
        <w:spacing w:after="0" w:line="255" w:lineRule="auto"/>
        <w:tabs>
          <w:tab w:leader="none" w:pos="22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above (the rights and obligations sold and assigned by [the][any] Assignor to [the][any] Assignee pursuant to clauses (i) and (ii) above being referred to herein collectively as [the][an] "</w:t>
      </w:r>
      <w:r>
        <w:rPr>
          <w:rFonts w:ascii="Arial" w:cs="Arial" w:eastAsia="Arial" w:hAnsi="Arial"/>
          <w:sz w:val="18"/>
          <w:szCs w:val="18"/>
          <w:i w:val="1"/>
          <w:iCs w:val="1"/>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and Acceptance,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036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5" w:lineRule="exact"/>
        <w:rPr>
          <w:sz w:val="20"/>
          <w:szCs w:val="20"/>
          <w:color w:val="auto"/>
        </w:rPr>
      </w:pPr>
    </w:p>
    <w:p>
      <w:pPr>
        <w:ind w:left="140" w:hanging="132"/>
        <w:spacing w:after="0"/>
        <w:tabs>
          <w:tab w:leader="none" w:pos="140" w:val="left"/>
        </w:tabs>
        <w:numPr>
          <w:ilvl w:val="0"/>
          <w:numId w:val="191"/>
        </w:numPr>
        <w:rPr>
          <w:rFonts w:ascii="Arial" w:cs="Arial" w:eastAsia="Arial" w:hAnsi="Arial"/>
          <w:sz w:val="26"/>
          <w:szCs w:val="26"/>
          <w:color w:val="auto"/>
          <w:vertAlign w:val="superscript"/>
        </w:rPr>
      </w:pPr>
      <w:r>
        <w:rPr>
          <w:rFonts w:ascii="Arial" w:cs="Arial" w:eastAsia="Arial" w:hAnsi="Arial"/>
          <w:sz w:val="16"/>
          <w:szCs w:val="16"/>
          <w:color w:val="auto"/>
        </w:rPr>
        <w:t>For bracketed language here and elsewhere in this form relating to the Assignor(s), if the assignment is from a single Assignor, choose the first bracketed</w:t>
      </w:r>
    </w:p>
    <w:p>
      <w:pPr>
        <w:ind w:left="660"/>
        <w:spacing w:after="0" w:line="189" w:lineRule="auto"/>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line="39" w:lineRule="exact"/>
        <w:rPr>
          <w:sz w:val="20"/>
          <w:szCs w:val="20"/>
          <w:color w:val="auto"/>
        </w:rPr>
      </w:pPr>
    </w:p>
    <w:p>
      <w:pPr>
        <w:ind w:left="660" w:right="440" w:hanging="652"/>
        <w:spacing w:after="0" w:line="186" w:lineRule="auto"/>
        <w:tabs>
          <w:tab w:leader="none" w:pos="147" w:val="left"/>
        </w:tabs>
        <w:numPr>
          <w:ilvl w:val="0"/>
          <w:numId w:val="192"/>
        </w:numPr>
        <w:rPr>
          <w:rFonts w:ascii="Arial" w:cs="Arial" w:eastAsia="Arial" w:hAnsi="Arial"/>
          <w:sz w:val="31"/>
          <w:szCs w:val="31"/>
          <w:color w:val="auto"/>
          <w:vertAlign w:val="superscript"/>
        </w:rPr>
      </w:pPr>
      <w:r>
        <w:rPr>
          <w:rFonts w:ascii="Arial" w:cs="Arial" w:eastAsia="Arial" w:hAnsi="Arial"/>
          <w:sz w:val="16"/>
          <w:szCs w:val="16"/>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120" w:hanging="112"/>
        <w:spacing w:after="0" w:line="182" w:lineRule="auto"/>
        <w:tabs>
          <w:tab w:leader="none" w:pos="120" w:val="left"/>
        </w:tabs>
        <w:numPr>
          <w:ilvl w:val="0"/>
          <w:numId w:val="193"/>
        </w:numPr>
        <w:rPr>
          <w:rFonts w:ascii="Arial" w:cs="Arial" w:eastAsia="Arial" w:hAnsi="Arial"/>
          <w:sz w:val="25"/>
          <w:szCs w:val="25"/>
          <w:color w:val="auto"/>
          <w:vertAlign w:val="superscript"/>
        </w:rPr>
      </w:pPr>
      <w:r>
        <w:rPr>
          <w:rFonts w:ascii="Arial" w:cs="Arial" w:eastAsia="Arial" w:hAnsi="Arial"/>
          <w:sz w:val="16"/>
          <w:szCs w:val="16"/>
          <w:color w:val="auto"/>
        </w:rPr>
        <w:t>Select as appropriate.</w:t>
      </w:r>
    </w:p>
    <w:p>
      <w:pPr>
        <w:ind w:left="120" w:hanging="112"/>
        <w:spacing w:after="0" w:line="180" w:lineRule="auto"/>
        <w:tabs>
          <w:tab w:leader="none" w:pos="120"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20" w:type="dxa"/>
            <w:vAlign w:val="bottom"/>
          </w:tcPr>
          <w:p>
            <w:pPr>
              <w:ind w:left="100"/>
              <w:spacing w:after="0"/>
              <w:rPr>
                <w:sz w:val="20"/>
                <w:szCs w:val="20"/>
                <w:color w:val="auto"/>
              </w:rPr>
            </w:pPr>
            <w:r>
              <w:rPr>
                <w:rFonts w:ascii="Arial" w:cs="Arial" w:eastAsia="Arial" w:hAnsi="Arial"/>
                <w:sz w:val="18"/>
                <w:szCs w:val="18"/>
                <w:color w:val="auto"/>
              </w:rPr>
              <w:t>Assignor[s]:</w:t>
            </w:r>
          </w:p>
        </w:tc>
        <w:tc>
          <w:tcPr>
            <w:tcW w:w="9880" w:type="dxa"/>
            <w:vAlign w:val="bottom"/>
            <w:gridSpan w:val="2"/>
          </w:tcPr>
          <w:p>
            <w:pPr>
              <w:jc w:val="right"/>
              <w:ind w:right="6830"/>
              <w:spacing w:after="0"/>
              <w:rPr>
                <w:sz w:val="20"/>
                <w:szCs w:val="20"/>
                <w:color w:val="auto"/>
              </w:rPr>
            </w:pPr>
            <w:r>
              <w:rPr>
                <w:rFonts w:ascii="Arial" w:cs="Arial" w:eastAsia="Arial" w:hAnsi="Arial"/>
                <w:sz w:val="18"/>
                <w:szCs w:val="18"/>
                <w:color w:val="auto"/>
                <w:w w:val="97"/>
              </w:rPr>
              <w:t>______________________________</w:t>
            </w:r>
          </w:p>
        </w:tc>
      </w:tr>
      <w:tr>
        <w:trPr>
          <w:trHeight w:val="432"/>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80" w:type="dxa"/>
            <w:vAlign w:val="bottom"/>
            <w:gridSpan w:val="2"/>
          </w:tcPr>
          <w:p>
            <w:pPr>
              <w:jc w:val="right"/>
              <w:ind w:right="6770"/>
              <w:spacing w:after="0"/>
              <w:rPr>
                <w:sz w:val="20"/>
                <w:szCs w:val="20"/>
                <w:color w:val="auto"/>
              </w:rPr>
            </w:pPr>
            <w:r>
              <w:rPr>
                <w:rFonts w:ascii="Arial" w:cs="Arial" w:eastAsia="Arial" w:hAnsi="Arial"/>
                <w:sz w:val="18"/>
                <w:szCs w:val="18"/>
                <w:color w:val="auto"/>
                <w:w w:val="99"/>
              </w:rPr>
              <w:t>______________________________</w:t>
            </w:r>
          </w:p>
        </w:tc>
      </w:tr>
      <w:tr>
        <w:trPr>
          <w:trHeight w:val="432"/>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20" w:type="dxa"/>
            <w:vAlign w:val="bottom"/>
          </w:tcPr>
          <w:p>
            <w:pPr>
              <w:ind w:left="100"/>
              <w:spacing w:after="0"/>
              <w:rPr>
                <w:sz w:val="20"/>
                <w:szCs w:val="20"/>
                <w:color w:val="auto"/>
              </w:rPr>
            </w:pPr>
            <w:r>
              <w:rPr>
                <w:rFonts w:ascii="Arial" w:cs="Arial" w:eastAsia="Arial" w:hAnsi="Arial"/>
                <w:sz w:val="18"/>
                <w:szCs w:val="18"/>
                <w:color w:val="auto"/>
              </w:rPr>
              <w:t>Assignee[s]:</w:t>
            </w:r>
          </w:p>
        </w:tc>
        <w:tc>
          <w:tcPr>
            <w:tcW w:w="9880" w:type="dxa"/>
            <w:vAlign w:val="bottom"/>
            <w:gridSpan w:val="2"/>
          </w:tcPr>
          <w:p>
            <w:pPr>
              <w:jc w:val="right"/>
              <w:ind w:right="6870"/>
              <w:spacing w:after="0"/>
              <w:rPr>
                <w:sz w:val="20"/>
                <w:szCs w:val="20"/>
                <w:color w:val="auto"/>
              </w:rPr>
            </w:pPr>
            <w:r>
              <w:rPr>
                <w:rFonts w:ascii="Arial" w:cs="Arial" w:eastAsia="Arial" w:hAnsi="Arial"/>
                <w:sz w:val="18"/>
                <w:szCs w:val="18"/>
                <w:color w:val="auto"/>
                <w:w w:val="96"/>
              </w:rPr>
              <w:t>______________________________</w:t>
            </w:r>
          </w:p>
        </w:tc>
      </w:tr>
      <w:tr>
        <w:trPr>
          <w:trHeight w:val="486"/>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80" w:type="dxa"/>
            <w:vAlign w:val="bottom"/>
            <w:gridSpan w:val="2"/>
          </w:tcPr>
          <w:p>
            <w:pPr>
              <w:jc w:val="right"/>
              <w:ind w:right="6770"/>
              <w:spacing w:after="0"/>
              <w:rPr>
                <w:sz w:val="20"/>
                <w:szCs w:val="20"/>
                <w:color w:val="auto"/>
              </w:rPr>
            </w:pPr>
            <w:r>
              <w:rPr>
                <w:rFonts w:ascii="Arial" w:cs="Arial" w:eastAsia="Arial" w:hAnsi="Arial"/>
                <w:sz w:val="18"/>
                <w:szCs w:val="18"/>
                <w:color w:val="auto"/>
                <w:w w:val="99"/>
              </w:rPr>
              <w:t>______________________________</w:t>
            </w:r>
          </w:p>
        </w:tc>
      </w:tr>
      <w:tr>
        <w:trPr>
          <w:trHeight w:val="486"/>
        </w:trPr>
        <w:tc>
          <w:tcPr>
            <w:tcW w:w="260" w:type="dxa"/>
            <w:vAlign w:val="bottom"/>
          </w:tcPr>
          <w:p>
            <w:pPr>
              <w:spacing w:after="0"/>
              <w:rPr>
                <w:sz w:val="24"/>
                <w:szCs w:val="24"/>
                <w:color w:val="auto"/>
              </w:rPr>
            </w:pPr>
          </w:p>
        </w:tc>
        <w:tc>
          <w:tcPr>
            <w:tcW w:w="11100" w:type="dxa"/>
            <w:vAlign w:val="bottom"/>
            <w:gridSpan w:val="3"/>
          </w:tcPr>
          <w:p>
            <w:pPr>
              <w:ind w:left="1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r>
      <w:tr>
        <w:trPr>
          <w:trHeight w:val="63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20" w:type="dxa"/>
            <w:vAlign w:val="bottom"/>
          </w:tcPr>
          <w:p>
            <w:pPr>
              <w:ind w:left="100"/>
              <w:spacing w:after="0"/>
              <w:rPr>
                <w:sz w:val="20"/>
                <w:szCs w:val="20"/>
                <w:color w:val="auto"/>
              </w:rPr>
            </w:pPr>
            <w:r>
              <w:rPr>
                <w:rFonts w:ascii="Arial" w:cs="Arial" w:eastAsia="Arial" w:hAnsi="Arial"/>
                <w:sz w:val="18"/>
                <w:szCs w:val="18"/>
                <w:color w:val="auto"/>
              </w:rPr>
              <w:t>Borrowers:</w:t>
            </w:r>
          </w:p>
        </w:tc>
        <w:tc>
          <w:tcPr>
            <w:tcW w:w="660" w:type="dxa"/>
            <w:vAlign w:val="bottom"/>
          </w:tcPr>
          <w:p>
            <w:pPr>
              <w:spacing w:after="0"/>
              <w:rPr>
                <w:sz w:val="24"/>
                <w:szCs w:val="24"/>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2"/>
              </w:rPr>
              <w:t>CIVEO CORPORATION, a corporation organized under the laws of the Province of British Columbia, CIVEO USA CORP.,</w:t>
            </w:r>
          </w:p>
        </w:tc>
      </w:tr>
      <w:tr>
        <w:trPr>
          <w:trHeight w:val="216"/>
        </w:trPr>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6"/>
              </w:rPr>
              <w:t>a Delaware corporation, CIVEO CANADA INC., a corporation amalgamated under the laws of the Province of Alberta,</w:t>
            </w:r>
          </w:p>
        </w:tc>
      </w:tr>
      <w:tr>
        <w:trPr>
          <w:trHeight w:val="216"/>
        </w:trPr>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6"/>
              </w:rPr>
              <w:t>CIVEO PREMIUM CAMP SERVICES LTD., a corporation amalgamated under the laws of the Province of Alberta, and</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CIVEO PTY LIMITED ACN 003 657 510, an Australian proprietary limited company</w:t>
            </w:r>
          </w:p>
        </w:tc>
      </w:tr>
      <w:tr>
        <w:trPr>
          <w:trHeight w:val="418"/>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Administrative Agent:</w:t>
            </w:r>
          </w:p>
        </w:tc>
        <w:tc>
          <w:tcPr>
            <w:tcW w:w="9220" w:type="dxa"/>
            <w:vAlign w:val="bottom"/>
          </w:tcPr>
          <w:p>
            <w:pPr>
              <w:ind w:left="160"/>
              <w:spacing w:after="0"/>
              <w:rPr>
                <w:sz w:val="20"/>
                <w:szCs w:val="20"/>
                <w:color w:val="auto"/>
              </w:rPr>
            </w:pPr>
            <w:r>
              <w:rPr>
                <w:rFonts w:ascii="Arial" w:cs="Arial" w:eastAsia="Arial" w:hAnsi="Arial"/>
                <w:sz w:val="18"/>
                <w:szCs w:val="18"/>
                <w:color w:val="auto"/>
                <w:w w:val="94"/>
              </w:rPr>
              <w:t>ROYAL BANK OF CANADA, as Administrative Agent and Canadian Administrative Agent, and RBC EUROPE LIMITED,</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as Australian Administrative Agent, under the Credit Agreement</w:t>
            </w:r>
          </w:p>
        </w:tc>
      </w:tr>
      <w:tr>
        <w:trPr>
          <w:trHeight w:val="418"/>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Credit Agreement:</w:t>
            </w:r>
          </w:p>
        </w:tc>
        <w:tc>
          <w:tcPr>
            <w:tcW w:w="9220" w:type="dxa"/>
            <w:vAlign w:val="bottom"/>
          </w:tcPr>
          <w:p>
            <w:pPr>
              <w:ind w:left="160"/>
              <w:spacing w:after="0"/>
              <w:rPr>
                <w:sz w:val="20"/>
                <w:szCs w:val="20"/>
                <w:color w:val="auto"/>
              </w:rPr>
            </w:pPr>
            <w:r>
              <w:rPr>
                <w:rFonts w:ascii="Arial" w:cs="Arial" w:eastAsia="Arial" w:hAnsi="Arial"/>
                <w:sz w:val="18"/>
                <w:szCs w:val="18"/>
                <w:color w:val="auto"/>
                <w:w w:val="92"/>
              </w:rPr>
              <w:t>The Syndicated Facility Agreement, dated as of May 28, 2014, as amended by the First Amendment to Syndicated Facility</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9"/>
              </w:rPr>
              <w:t>Agreement, dated as of May 13, 2015, among the Borrowers, the lenders party thereto, Royal Bank of Canada, as</w:t>
            </w:r>
          </w:p>
        </w:tc>
      </w:tr>
    </w:tbl>
    <w:p>
      <w:pPr>
        <w:ind w:left="2300" w:right="40"/>
        <w:spacing w:after="0" w:line="255" w:lineRule="auto"/>
        <w:rPr>
          <w:sz w:val="20"/>
          <w:szCs w:val="20"/>
          <w:color w:val="auto"/>
        </w:rPr>
      </w:pPr>
      <w:r>
        <w:rPr>
          <w:rFonts w:ascii="Arial" w:cs="Arial" w:eastAsia="Arial" w:hAnsi="Arial"/>
          <w:sz w:val="18"/>
          <w:szCs w:val="18"/>
          <w:color w:val="auto"/>
        </w:rPr>
        <w:t>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75" w:lineRule="exact"/>
        <w:rPr>
          <w:sz w:val="20"/>
          <w:szCs w:val="20"/>
          <w:color w:val="auto"/>
        </w:rPr>
      </w:pPr>
    </w:p>
    <w:p>
      <w:pPr>
        <w:ind w:left="360" w:hanging="352"/>
        <w:spacing w:after="0"/>
        <w:tabs>
          <w:tab w:leader="none" w:pos="3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Assigned Interest[s]:</w:t>
      </w: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600" w:type="dxa"/>
            <w:vAlign w:val="bottom"/>
            <w:vMerge w:val="restart"/>
          </w:tcPr>
          <w:p>
            <w:pPr>
              <w:ind w:left="380"/>
              <w:spacing w:after="0"/>
              <w:rPr>
                <w:sz w:val="20"/>
                <w:szCs w:val="20"/>
                <w:color w:val="auto"/>
              </w:rPr>
            </w:pPr>
            <w:r>
              <w:rPr>
                <w:rFonts w:ascii="Arial" w:cs="Arial" w:eastAsia="Arial" w:hAnsi="Arial"/>
                <w:sz w:val="18"/>
                <w:szCs w:val="18"/>
                <w:color w:val="auto"/>
              </w:rPr>
              <w:t>Assignor[s]</w:t>
            </w:r>
          </w:p>
        </w:tc>
        <w:tc>
          <w:tcPr>
            <w:tcW w:w="2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8"/>
                <w:szCs w:val="18"/>
                <w:color w:val="auto"/>
              </w:rPr>
              <w:t>Assignee[s]</w:t>
            </w:r>
          </w:p>
        </w:tc>
        <w:tc>
          <w:tcPr>
            <w:tcW w:w="20" w:type="dxa"/>
            <w:vAlign w:val="bottom"/>
          </w:tcPr>
          <w:p>
            <w:pPr>
              <w:spacing w:after="0"/>
              <w:rPr>
                <w:sz w:val="3"/>
                <w:szCs w:val="3"/>
                <w:color w:val="auto"/>
              </w:rPr>
            </w:pPr>
          </w:p>
        </w:tc>
        <w:tc>
          <w:tcPr>
            <w:tcW w:w="1480" w:type="dxa"/>
            <w:vAlign w:val="bottom"/>
            <w:vMerge w:val="restart"/>
          </w:tcPr>
          <w:p>
            <w:pPr>
              <w:ind w:left="60"/>
              <w:spacing w:after="0" w:line="214" w:lineRule="exact"/>
              <w:rPr>
                <w:sz w:val="20"/>
                <w:szCs w:val="20"/>
                <w:color w:val="auto"/>
              </w:rPr>
            </w:pPr>
            <w:r>
              <w:rPr>
                <w:rFonts w:ascii="Arial" w:cs="Arial" w:eastAsia="Arial" w:hAnsi="Arial"/>
                <w:sz w:val="14"/>
                <w:szCs w:val="14"/>
                <w:color w:val="auto"/>
              </w:rPr>
              <w:t>Facility Assigned</w:t>
            </w:r>
            <w:r>
              <w:rPr>
                <w:rFonts w:ascii="Arial" w:cs="Arial" w:eastAsia="Arial" w:hAnsi="Arial"/>
                <w:sz w:val="24"/>
                <w:szCs w:val="24"/>
                <w:color w:val="auto"/>
                <w:vertAlign w:val="superscript"/>
              </w:rPr>
              <w:t>5</w:t>
            </w:r>
          </w:p>
        </w:tc>
        <w:tc>
          <w:tcPr>
            <w:tcW w:w="140" w:type="dxa"/>
            <w:vAlign w:val="bottom"/>
          </w:tcPr>
          <w:p>
            <w:pPr>
              <w:spacing w:after="0"/>
              <w:rPr>
                <w:sz w:val="3"/>
                <w:szCs w:val="3"/>
                <w:color w:val="auto"/>
              </w:rPr>
            </w:pPr>
          </w:p>
        </w:tc>
        <w:tc>
          <w:tcPr>
            <w:tcW w:w="1740" w:type="dxa"/>
            <w:vAlign w:val="bottom"/>
            <w:vMerge w:val="restart"/>
          </w:tcPr>
          <w:p>
            <w:pPr>
              <w:jc w:val="center"/>
              <w:ind w:right="34"/>
              <w:spacing w:after="0"/>
              <w:rPr>
                <w:sz w:val="20"/>
                <w:szCs w:val="20"/>
                <w:color w:val="auto"/>
              </w:rPr>
            </w:pPr>
            <w:r>
              <w:rPr>
                <w:rFonts w:ascii="Arial" w:cs="Arial" w:eastAsia="Arial" w:hAnsi="Arial"/>
                <w:sz w:val="18"/>
                <w:szCs w:val="18"/>
                <w:color w:val="auto"/>
                <w:w w:val="92"/>
              </w:rPr>
              <w:t>Aggregate Amount of</w:t>
            </w:r>
          </w:p>
        </w:tc>
        <w:tc>
          <w:tcPr>
            <w:tcW w:w="140" w:type="dxa"/>
            <w:vAlign w:val="bottom"/>
          </w:tcPr>
          <w:p>
            <w:pPr>
              <w:spacing w:after="0"/>
              <w:rPr>
                <w:sz w:val="3"/>
                <w:szCs w:val="3"/>
                <w:color w:val="auto"/>
              </w:rPr>
            </w:pPr>
          </w:p>
        </w:tc>
        <w:tc>
          <w:tcPr>
            <w:tcW w:w="1660" w:type="dxa"/>
            <w:vAlign w:val="bottom"/>
            <w:vMerge w:val="restart"/>
          </w:tcPr>
          <w:p>
            <w:pPr>
              <w:jc w:val="center"/>
              <w:ind w:right="33"/>
              <w:spacing w:after="0"/>
              <w:rPr>
                <w:sz w:val="20"/>
                <w:szCs w:val="20"/>
                <w:color w:val="auto"/>
              </w:rPr>
            </w:pPr>
            <w:r>
              <w:rPr>
                <w:rFonts w:ascii="Arial" w:cs="Arial" w:eastAsia="Arial" w:hAnsi="Arial"/>
                <w:sz w:val="18"/>
                <w:szCs w:val="18"/>
                <w:color w:val="auto"/>
                <w:w w:val="95"/>
              </w:rPr>
              <w:t>Amount of</w:t>
            </w:r>
          </w:p>
        </w:tc>
        <w:tc>
          <w:tcPr>
            <w:tcW w:w="20" w:type="dxa"/>
            <w:vAlign w:val="bottom"/>
          </w:tcPr>
          <w:p>
            <w:pPr>
              <w:spacing w:after="0"/>
              <w:rPr>
                <w:sz w:val="3"/>
                <w:szCs w:val="3"/>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Percentage Assigned of</w:t>
            </w:r>
          </w:p>
        </w:tc>
        <w:tc>
          <w:tcPr>
            <w:tcW w:w="20" w:type="dxa"/>
            <w:vAlign w:val="bottom"/>
          </w:tcPr>
          <w:p>
            <w:pPr>
              <w:spacing w:after="0"/>
              <w:rPr>
                <w:sz w:val="3"/>
                <w:szCs w:val="3"/>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w w:val="90"/>
              </w:rPr>
              <w:t>CUSIP Number</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160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64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Borders>
              <w:left w:val="single" w:sz="8" w:color="auto"/>
            </w:tcBorders>
          </w:tcPr>
          <w:p>
            <w:pPr>
              <w:spacing w:after="0"/>
              <w:rPr>
                <w:sz w:val="15"/>
                <w:szCs w:val="15"/>
                <w:color w:val="auto"/>
              </w:rPr>
            </w:pPr>
          </w:p>
        </w:tc>
        <w:tc>
          <w:tcPr>
            <w:tcW w:w="1740" w:type="dxa"/>
            <w:vAlign w:val="bottom"/>
            <w:vMerge w:val="continue"/>
          </w:tcPr>
          <w:p>
            <w:pPr>
              <w:spacing w:after="0"/>
              <w:rPr>
                <w:sz w:val="15"/>
                <w:szCs w:val="15"/>
                <w:color w:val="auto"/>
              </w:rPr>
            </w:pPr>
          </w:p>
        </w:tc>
        <w:tc>
          <w:tcPr>
            <w:tcW w:w="140" w:type="dxa"/>
            <w:vAlign w:val="bottom"/>
            <w:tcBorders>
              <w:left w:val="single" w:sz="8" w:color="auto"/>
            </w:tcBorders>
          </w:tcPr>
          <w:p>
            <w:pPr>
              <w:spacing w:after="0"/>
              <w:rPr>
                <w:sz w:val="15"/>
                <w:szCs w:val="15"/>
                <w:color w:val="auto"/>
              </w:rPr>
            </w:pPr>
          </w:p>
        </w:tc>
        <w:tc>
          <w:tcPr>
            <w:tcW w:w="16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7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3"/>
              </w:rPr>
              <w:t>Commitment/Loans for</w:t>
            </w:r>
          </w:p>
        </w:tc>
        <w:tc>
          <w:tcPr>
            <w:tcW w:w="140" w:type="dxa"/>
            <w:vAlign w:val="bottom"/>
            <w:tcBorders>
              <w:left w:val="single" w:sz="8" w:color="auto"/>
            </w:tcBorders>
          </w:tcPr>
          <w:p>
            <w:pPr>
              <w:spacing w:after="0"/>
              <w:rPr>
                <w:sz w:val="18"/>
                <w:szCs w:val="18"/>
                <w:color w:val="auto"/>
              </w:rPr>
            </w:pPr>
          </w:p>
        </w:tc>
        <w:tc>
          <w:tcPr>
            <w:tcW w:w="1660" w:type="dxa"/>
            <w:vAlign w:val="bottom"/>
          </w:tcPr>
          <w:p>
            <w:pPr>
              <w:jc w:val="center"/>
              <w:ind w:right="33"/>
              <w:spacing w:after="0"/>
              <w:rPr>
                <w:sz w:val="20"/>
                <w:szCs w:val="20"/>
                <w:color w:val="auto"/>
              </w:rPr>
            </w:pPr>
            <w:r>
              <w:rPr>
                <w:rFonts w:ascii="Arial" w:cs="Arial" w:eastAsia="Arial" w:hAnsi="Arial"/>
                <w:sz w:val="18"/>
                <w:szCs w:val="18"/>
                <w:color w:val="auto"/>
                <w:w w:val="93"/>
              </w:rPr>
              <w:t>Commitment/ Loans</w:t>
            </w:r>
          </w:p>
        </w:tc>
        <w:tc>
          <w:tcPr>
            <w:tcW w:w="20" w:type="dxa"/>
            <w:vAlign w:val="bottom"/>
            <w:shd w:val="clear" w:color="auto" w:fill="000000"/>
          </w:tcPr>
          <w:p>
            <w:pPr>
              <w:spacing w:after="0"/>
              <w:rPr>
                <w:sz w:val="18"/>
                <w:szCs w:val="18"/>
                <w:color w:val="auto"/>
              </w:rPr>
            </w:pPr>
          </w:p>
        </w:tc>
        <w:tc>
          <w:tcPr>
            <w:tcW w:w="1760" w:type="dxa"/>
            <w:vAlign w:val="bottom"/>
          </w:tcPr>
          <w:p>
            <w:pPr>
              <w:jc w:val="center"/>
              <w:spacing w:after="0" w:line="216" w:lineRule="exact"/>
              <w:rPr>
                <w:sz w:val="20"/>
                <w:szCs w:val="20"/>
                <w:color w:val="auto"/>
              </w:rPr>
            </w:pPr>
            <w:r>
              <w:rPr>
                <w:rFonts w:ascii="Arial" w:cs="Arial" w:eastAsia="Arial" w:hAnsi="Arial"/>
                <w:sz w:val="14"/>
                <w:szCs w:val="14"/>
                <w:color w:val="auto"/>
              </w:rPr>
              <w:t>Commitment/Loans</w:t>
            </w:r>
            <w:r>
              <w:rPr>
                <w:rFonts w:ascii="Arial" w:cs="Arial" w:eastAsia="Arial" w:hAnsi="Arial"/>
                <w:sz w:val="25"/>
                <w:szCs w:val="25"/>
                <w:color w:val="auto"/>
                <w:vertAlign w:val="superscript"/>
              </w:rPr>
              <w:t>8</w:t>
            </w:r>
          </w:p>
        </w:tc>
        <w:tc>
          <w:tcPr>
            <w:tcW w:w="20" w:type="dxa"/>
            <w:vAlign w:val="bottom"/>
            <w:shd w:val="clear" w:color="auto" w:fill="000000"/>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shd w:val="clear" w:color="auto" w:fill="000000"/>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40" w:type="dxa"/>
            <w:vAlign w:val="bottom"/>
            <w:tcBorders>
              <w:left w:val="single" w:sz="8" w:color="auto"/>
              <w:bottom w:val="single" w:sz="8" w:color="auto"/>
            </w:tcBorders>
          </w:tcPr>
          <w:p>
            <w:pPr>
              <w:spacing w:after="0"/>
              <w:rPr>
                <w:sz w:val="23"/>
                <w:szCs w:val="23"/>
                <w:color w:val="auto"/>
              </w:rPr>
            </w:pPr>
          </w:p>
        </w:tc>
        <w:tc>
          <w:tcPr>
            <w:tcW w:w="1740" w:type="dxa"/>
            <w:vAlign w:val="bottom"/>
            <w:tcBorders>
              <w:bottom w:val="single" w:sz="8" w:color="auto"/>
            </w:tcBorders>
          </w:tcPr>
          <w:p>
            <w:pPr>
              <w:jc w:val="center"/>
              <w:ind w:right="34"/>
              <w:spacing w:after="0" w:line="269" w:lineRule="exact"/>
              <w:rPr>
                <w:sz w:val="20"/>
                <w:szCs w:val="20"/>
                <w:color w:val="auto"/>
              </w:rPr>
            </w:pPr>
            <w:r>
              <w:rPr>
                <w:rFonts w:ascii="Arial" w:cs="Arial" w:eastAsia="Arial" w:hAnsi="Arial"/>
                <w:sz w:val="16"/>
                <w:szCs w:val="16"/>
                <w:color w:val="auto"/>
              </w:rPr>
              <w:t>all Lenders</w:t>
            </w:r>
            <w:r>
              <w:rPr>
                <w:rFonts w:ascii="Arial" w:cs="Arial" w:eastAsia="Arial" w:hAnsi="Arial"/>
                <w:sz w:val="31"/>
                <w:szCs w:val="31"/>
                <w:color w:val="auto"/>
                <w:vertAlign w:val="superscript"/>
              </w:rPr>
              <w:t>6</w:t>
            </w:r>
          </w:p>
        </w:tc>
        <w:tc>
          <w:tcPr>
            <w:tcW w:w="140" w:type="dxa"/>
            <w:vAlign w:val="bottom"/>
            <w:tcBorders>
              <w:left w:val="single" w:sz="8" w:color="auto"/>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13"/>
              <w:spacing w:after="0" w:line="269" w:lineRule="exact"/>
              <w:rPr>
                <w:sz w:val="20"/>
                <w:szCs w:val="20"/>
                <w:color w:val="auto"/>
              </w:rPr>
            </w:pPr>
            <w:r>
              <w:rPr>
                <w:rFonts w:ascii="Arial" w:cs="Arial" w:eastAsia="Arial" w:hAnsi="Arial"/>
                <w:sz w:val="16"/>
                <w:szCs w:val="16"/>
                <w:color w:val="auto"/>
                <w:w w:val="98"/>
              </w:rPr>
              <w:t>Assigned</w:t>
            </w:r>
            <w:r>
              <w:rPr>
                <w:rFonts w:ascii="Arial" w:cs="Arial" w:eastAsia="Arial" w:hAnsi="Arial"/>
                <w:sz w:val="31"/>
                <w:szCs w:val="31"/>
                <w:color w:val="auto"/>
                <w:w w:val="98"/>
                <w:vertAlign w:val="superscript"/>
              </w:rPr>
              <w:t>7</w:t>
            </w:r>
          </w:p>
        </w:tc>
        <w:tc>
          <w:tcPr>
            <w:tcW w:w="20" w:type="dxa"/>
            <w:vAlign w:val="bottom"/>
            <w:tcBorders>
              <w:bottom w:val="single" w:sz="8" w:color="auto"/>
            </w:tcBorders>
            <w:shd w:val="clear" w:color="auto" w:fill="000000"/>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1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13036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420" w:hanging="652"/>
        <w:spacing w:after="0" w:line="194" w:lineRule="auto"/>
        <w:tabs>
          <w:tab w:leader="none" w:pos="132" w:val="left"/>
        </w:tabs>
        <w:numPr>
          <w:ilvl w:val="0"/>
          <w:numId w:val="196"/>
        </w:numPr>
        <w:rPr>
          <w:rFonts w:ascii="Arial" w:cs="Arial" w:eastAsia="Arial" w:hAnsi="Arial"/>
          <w:sz w:val="30"/>
          <w:szCs w:val="30"/>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"Canadian Tranche A Revolving Commitment," "Canadian Term Commitment,"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29" w:name="page230"/>
    <w:bookmarkEnd w:id="229"/>
    <w:p>
      <w:pPr>
        <w:spacing w:after="0"/>
        <w:tabs>
          <w:tab w:leader="none" w:pos="340" w:val="left"/>
          <w:tab w:leader="none" w:pos="1640" w:val="left"/>
        </w:tabs>
        <w:rPr>
          <w:sz w:val="20"/>
          <w:szCs w:val="20"/>
          <w:color w:val="auto"/>
        </w:rPr>
      </w:pPr>
      <w:r>
        <w:rPr>
          <w:rFonts w:ascii="Arial" w:cs="Arial" w:eastAsia="Arial" w:hAnsi="Arial"/>
          <w:sz w:val="18"/>
          <w:szCs w:val="18"/>
          <w:color w:val="auto"/>
        </w:rPr>
        <w:t>7.</w:t>
        <w:tab/>
        <w:t>Trade Date:</w:t>
      </w:r>
      <w:r>
        <w:rPr>
          <w:sz w:val="20"/>
          <w:szCs w:val="20"/>
          <w:color w:val="auto"/>
        </w:rPr>
        <w:tab/>
      </w:r>
      <w:r>
        <w:rPr>
          <w:rFonts w:ascii="Arial" w:cs="Arial" w:eastAsia="Arial" w:hAnsi="Arial"/>
          <w:sz w:val="16"/>
          <w:szCs w:val="16"/>
          <w:color w:val="auto"/>
        </w:rPr>
        <w:t>______________</w:t>
      </w:r>
      <w:r>
        <w:rPr>
          <w:rFonts w:ascii="Arial" w:cs="Arial" w:eastAsia="Arial" w:hAnsi="Arial"/>
          <w:sz w:val="30"/>
          <w:szCs w:val="30"/>
          <w:color w:val="auto"/>
          <w:vertAlign w:val="superscript"/>
        </w:rPr>
        <w:t>9</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13036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hanging="112"/>
        <w:spacing w:after="0"/>
        <w:tabs>
          <w:tab w:leader="none" w:pos="120" w:val="left"/>
        </w:tabs>
        <w:numPr>
          <w:ilvl w:val="0"/>
          <w:numId w:val="197"/>
        </w:numPr>
        <w:rPr>
          <w:rFonts w:ascii="Arial" w:cs="Arial" w:eastAsia="Arial" w:hAnsi="Arial"/>
          <w:sz w:val="26"/>
          <w:szCs w:val="26"/>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 w:lineRule="exact"/>
        <w:rPr>
          <w:rFonts w:ascii="Arial" w:cs="Arial" w:eastAsia="Arial" w:hAnsi="Arial"/>
          <w:sz w:val="26"/>
          <w:szCs w:val="26"/>
          <w:color w:val="auto"/>
          <w:vertAlign w:val="superscript"/>
        </w:rPr>
      </w:pPr>
    </w:p>
    <w:p>
      <w:pPr>
        <w:ind w:right="560"/>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7</w:t>
      </w:r>
      <w:r>
        <w:rPr>
          <w:rFonts w:ascii="Arial" w:cs="Arial" w:eastAsia="Arial" w:hAnsi="Arial"/>
          <w:sz w:val="16"/>
          <w:szCs w:val="16"/>
          <w:color w:val="auto"/>
        </w:rPr>
        <w:t xml:space="preserve"> Amount to be adjusted by the counterparties to take into account any payments or prepayments made between the Trade Date and the Effective Date. </w:t>
      </w:r>
      <w:r>
        <w:rPr>
          <w:rFonts w:ascii="Arial" w:cs="Arial" w:eastAsia="Arial" w:hAnsi="Arial"/>
          <w:sz w:val="25"/>
          <w:szCs w:val="25"/>
          <w:color w:val="auto"/>
          <w:vertAlign w:val="superscript"/>
        </w:rPr>
        <w:t>8</w:t>
      </w:r>
      <w:r>
        <w:rPr>
          <w:rFonts w:ascii="Arial" w:cs="Arial" w:eastAsia="Arial" w:hAnsi="Arial"/>
          <w:sz w:val="16"/>
          <w:szCs w:val="16"/>
          <w:color w:val="auto"/>
        </w:rPr>
        <w:t xml:space="preserve"> Set forth, to at least 9 decimals, as a percentage of the Commitment/Loans of all Lenders thereunder.</w:t>
      </w:r>
    </w:p>
    <w:p>
      <w:pPr>
        <w:spacing w:after="0"/>
        <w:rPr>
          <w:rFonts w:ascii="Arial" w:cs="Arial" w:eastAsia="Arial" w:hAnsi="Arial"/>
          <w:sz w:val="26"/>
          <w:szCs w:val="26"/>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6757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The terms set forth in this Assignment and Acceptance are hereby agreed to:</w:t>
      </w:r>
    </w:p>
    <w:p>
      <w:pPr>
        <w:spacing w:after="0" w:line="112"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30"/>
          <w:szCs w:val="30"/>
          <w:u w:val="single" w:color="auto"/>
          <w:color w:val="auto"/>
          <w:vertAlign w:val="superscript"/>
        </w:rPr>
        <w:t>10</w:t>
      </w:r>
    </w:p>
    <w:p>
      <w:pPr>
        <w:ind w:left="61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ASSIGNEE[S]</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2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998220</wp:posOffset>
            </wp:positionV>
            <wp:extent cx="13036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hanging="192"/>
        <w:spacing w:after="0"/>
        <w:tabs>
          <w:tab w:leader="none" w:pos="200" w:val="left"/>
        </w:tabs>
        <w:numPr>
          <w:ilvl w:val="0"/>
          <w:numId w:val="198"/>
        </w:numPr>
        <w:rPr>
          <w:rFonts w:ascii="Arial" w:cs="Arial" w:eastAsia="Arial" w:hAnsi="Arial"/>
          <w:sz w:val="25"/>
          <w:szCs w:val="25"/>
          <w:color w:val="auto"/>
          <w:vertAlign w:val="superscript"/>
        </w:rPr>
      </w:pPr>
      <w:r>
        <w:rPr>
          <w:rFonts w:ascii="Arial" w:cs="Arial" w:eastAsia="Arial" w:hAnsi="Arial"/>
          <w:sz w:val="16"/>
          <w:szCs w:val="16"/>
          <w:color w:val="auto"/>
        </w:rPr>
        <w:t>Add additional signature blocks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[Canadian Administrative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 as [Australian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rPr>
          <w:sz w:val="20"/>
          <w:szCs w:val="20"/>
          <w:color w:val="auto"/>
        </w:rPr>
      </w:pPr>
      <w:r>
        <w:rPr>
          <w:rFonts w:ascii="Arial" w:cs="Arial" w:eastAsia="Arial" w:hAnsi="Arial"/>
          <w:sz w:val="18"/>
          <w:szCs w:val="18"/>
          <w:color w:val="auto"/>
        </w:rPr>
        <w:t>Title: ______________________________]</w:t>
      </w:r>
      <w:r>
        <w:rPr>
          <w:rFonts w:ascii="Arial" w:cs="Arial" w:eastAsia="Arial" w:hAnsi="Arial"/>
          <w:sz w:val="30"/>
          <w:szCs w:val="30"/>
          <w:color w:val="auto"/>
          <w:vertAlign w:val="superscript"/>
        </w:rPr>
        <w:t>11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the [U.S. Swing Line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[Canadian Swing Line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[ISSUING BANK], as an Issuing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[Consented to:] </w:t>
      </w:r>
      <w:r>
        <w:rPr>
          <w:rFonts w:ascii="Arial" w:cs="Arial" w:eastAsia="Arial" w:hAnsi="Arial"/>
          <w:sz w:val="30"/>
          <w:szCs w:val="30"/>
          <w:color w:val="auto"/>
          <w:vertAlign w:val="superscript"/>
        </w:rPr>
        <w:t>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[NAME OF APPLICABLE BORROWER]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13036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hanging="192"/>
        <w:spacing w:after="0"/>
        <w:tabs>
          <w:tab w:leader="none" w:pos="200" w:val="left"/>
        </w:tabs>
        <w:numPr>
          <w:ilvl w:val="0"/>
          <w:numId w:val="199"/>
        </w:numPr>
        <w:rPr>
          <w:rFonts w:ascii="Arial" w:cs="Arial" w:eastAsia="Arial" w:hAnsi="Arial"/>
          <w:sz w:val="25"/>
          <w:szCs w:val="25"/>
          <w:color w:val="auto"/>
          <w:vertAlign w:val="superscript"/>
        </w:rPr>
      </w:pPr>
      <w:r>
        <w:rPr>
          <w:rFonts w:ascii="Arial" w:cs="Arial" w:eastAsia="Arial" w:hAnsi="Arial"/>
          <w:sz w:val="16"/>
          <w:szCs w:val="16"/>
          <w:color w:val="auto"/>
        </w:rPr>
        <w:t>To be added only if the consent of the Applicable Administrative Agent is required by the terms of the Credit Agreement.</w:t>
      </w:r>
    </w:p>
    <w:p>
      <w:pPr>
        <w:spacing w:after="0" w:line="1"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99"/>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Applicable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ANNEX 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Exhibit A – Assignment and Acceptance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11" w:lineRule="exact"/>
        <w:rPr>
          <w:sz w:val="20"/>
          <w:szCs w:val="20"/>
          <w:color w:val="auto"/>
        </w:rPr>
      </w:pPr>
    </w:p>
    <w:p>
      <w:pPr>
        <w:ind w:left="180" w:hanging="172"/>
        <w:spacing w:after="0"/>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 Assigned Interest, (ii) [the] [such] Assigned Interest is free and clear of any lien, encumbrance or other adverse claim and (iii) it has full power and authority, and has taken all action necessary, to execute and deliver this Assignment and Acceptance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or (iv) the performance or observance by any Borrower, any of its Subsidiaries or Affiliates or any other Person of any of their respective obligations under any Loan Document.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Acceptance and to consummate the transactions contemplated hereby and to become a Lender under the Credit Agreement, (ii) it meets all the requirements to be an assignee under Section 9.04 of the Credit Agreement (subject to such consents, if any, as may be required under Section 9.04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3.05 or Section 5.04 thereof, as applicable, and such other documents and information as it deems appropriate to make its own credit analysis and decision to enter into this Assignment and Acceptance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Acceptance and to purchase [the][such] Assigned Interest, and (vii) if it is a Foreign Lender, attached to the Assignment and Acceptance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jc w:val="both"/>
        <w:ind w:left="-8" w:firstLine="8"/>
        <w:spacing w:after="0" w:line="257" w:lineRule="auto"/>
        <w:tabs>
          <w:tab w:leader="none" w:pos="18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r>
        <w:rPr>
          <w:rFonts w:ascii="Arial" w:cs="Arial" w:eastAsia="Arial" w:hAnsi="Arial"/>
          <w:sz w:val="30"/>
          <w:szCs w:val="30"/>
          <w:color w:val="auto"/>
          <w:vertAlign w:val="superscript"/>
        </w:rPr>
        <w:t>13</w:t>
      </w:r>
    </w:p>
    <w:p>
      <w:pPr>
        <w:spacing w:after="0" w:line="51" w:lineRule="exact"/>
        <w:rPr>
          <w:rFonts w:ascii="Arial" w:cs="Arial" w:eastAsia="Arial" w:hAnsi="Arial"/>
          <w:sz w:val="18"/>
          <w:szCs w:val="18"/>
          <w:color w:val="auto"/>
        </w:rPr>
      </w:pPr>
    </w:p>
    <w:p>
      <w:pPr>
        <w:ind w:left="172" w:right="120" w:hanging="172"/>
        <w:spacing w:after="0" w:line="257" w:lineRule="auto"/>
        <w:tabs>
          <w:tab w:leader="none" w:pos="19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Acceptance shall be binding upon, and inure to the benefit of, the parties hereto and their respective successors and assigns. This Assignment and Acceptance may be executed in any number of counterparts, which together shall constitute one instrument. Delivery of an executed counterpart of a signature page of this Assignment and Acceptance by telecopy shall be effective as delivery of a manually executed counterpart of this Assignment and Acceptance. This Assignment and Acceptance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1089025</wp:posOffset>
            </wp:positionV>
            <wp:extent cx="13036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52" w:hanging="647"/>
        <w:spacing w:after="0" w:line="193" w:lineRule="auto"/>
        <w:rPr>
          <w:sz w:val="20"/>
          <w:szCs w:val="20"/>
          <w:color w:val="auto"/>
        </w:rPr>
      </w:pPr>
      <w:r>
        <w:rPr>
          <w:rFonts w:ascii="Arial" w:cs="Arial" w:eastAsia="Arial" w:hAnsi="Arial"/>
          <w:sz w:val="36"/>
          <w:szCs w:val="36"/>
          <w:color w:val="auto"/>
          <w:vertAlign w:val="superscript"/>
        </w:rPr>
        <w:t>13</w:t>
      </w:r>
      <w:r>
        <w:rPr>
          <w:rFonts w:ascii="Arial" w:cs="Arial" w:eastAsia="Arial" w:hAnsi="Arial"/>
          <w:sz w:val="18"/>
          <w:szCs w:val="18"/>
          <w:color w:val="auto"/>
        </w:rPr>
        <w:t>The Administrative Agent should consider whether this method conforms to its systems. In some circumstances, the following alternative language may be appropriate:</w:t>
      </w:r>
    </w:p>
    <w:p>
      <w:pPr>
        <w:spacing w:after="0" w:line="1" w:lineRule="exact"/>
        <w:rPr>
          <w:sz w:val="20"/>
          <w:szCs w:val="20"/>
          <w:color w:val="auto"/>
        </w:rPr>
      </w:pPr>
    </w:p>
    <w:p>
      <w:pPr>
        <w:ind w:left="652" w:right="200"/>
        <w:spacing w:after="0" w:line="273" w:lineRule="auto"/>
        <w:rPr>
          <w:sz w:val="20"/>
          <w:szCs w:val="20"/>
          <w:color w:val="auto"/>
        </w:rPr>
      </w:pPr>
      <w:r>
        <w:rPr>
          <w:rFonts w:ascii="Arial" w:cs="Arial" w:eastAsia="Arial" w:hAnsi="Arial"/>
          <w:sz w:val="17"/>
          <w:szCs w:val="17"/>
          <w:color w:val="auto"/>
        </w:rPr>
        <w:t>“From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342265</wp:posOffset>
            </wp:positionV>
            <wp:extent cx="72675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BORROWING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Manager, Agency Services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of Agency Administration</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undersigned, [Civeo Corporation][Civeo Canada Inc.][Civeo Premium Camp Services Ltd.], refers to the Syndicated Facility Agreement dated as of May 28, 2014 (as amended, supplemented or otherwise modified from time to time, including by the First Amendment to Syndicated Facility Agreement, dated as of May 13, 2015,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Civeo Corporation (the “Parent Borrower”), Civeo USA Corp., Civeo Canada Inc. (the “</w:t>
      </w:r>
      <w:r>
        <w:rPr>
          <w:rFonts w:ascii="Arial" w:cs="Arial" w:eastAsia="Arial" w:hAnsi="Arial"/>
          <w:sz w:val="17"/>
          <w:szCs w:val="17"/>
          <w:i w:val="1"/>
          <w:iCs w:val="1"/>
          <w:color w:val="auto"/>
        </w:rPr>
        <w:t>Canadian Parent</w:t>
      </w:r>
      <w:r>
        <w:rPr>
          <w:rFonts w:ascii="Arial" w:cs="Arial" w:eastAsia="Arial" w:hAnsi="Arial"/>
          <w:sz w:val="17"/>
          <w:szCs w:val="17"/>
          <w:color w:val="auto"/>
        </w:rPr>
        <w:t>”), Civeo Premium Camp Services Ltd. (“</w:t>
      </w:r>
      <w:r>
        <w:rPr>
          <w:rFonts w:ascii="Arial" w:cs="Arial" w:eastAsia="Arial" w:hAnsi="Arial"/>
          <w:sz w:val="17"/>
          <w:szCs w:val="17"/>
          <w:i w:val="1"/>
          <w:iCs w:val="1"/>
          <w:color w:val="auto"/>
        </w:rPr>
        <w:t>Civeo Premium</w:t>
      </w:r>
      <w:r>
        <w:rPr>
          <w:rFonts w:ascii="Arial" w:cs="Arial" w:eastAsia="Arial" w:hAnsi="Arial"/>
          <w:sz w:val="17"/>
          <w:szCs w:val="17"/>
          <w:color w:val="auto"/>
        </w:rPr>
        <w:t>” and together with the Canadian Parent, the “</w:t>
      </w:r>
      <w:r>
        <w:rPr>
          <w:rFonts w:ascii="Arial" w:cs="Arial" w:eastAsia="Arial" w:hAnsi="Arial"/>
          <w:sz w:val="17"/>
          <w:szCs w:val="17"/>
          <w:i w:val="1"/>
          <w:iCs w:val="1"/>
          <w:color w:val="auto"/>
        </w:rPr>
        <w:t>Canadian Borrowers</w:t>
      </w:r>
      <w:r>
        <w:rPr>
          <w:rFonts w:ascii="Arial" w:cs="Arial" w:eastAsia="Arial" w:hAnsi="Arial"/>
          <w:sz w:val="17"/>
          <w:szCs w:val="17"/>
          <w:color w:val="auto"/>
        </w:rPr>
        <w:t>”), Civeo Pty Limited, the lenders from time to time party thereto (the “</w:t>
      </w:r>
      <w:r>
        <w:rPr>
          <w:rFonts w:ascii="Arial" w:cs="Arial" w:eastAsia="Arial" w:hAnsi="Arial"/>
          <w:sz w:val="17"/>
          <w:szCs w:val="17"/>
          <w:i w:val="1"/>
          <w:iCs w:val="1"/>
          <w:color w:val="auto"/>
        </w:rPr>
        <w:t>Lenders</w:t>
      </w:r>
      <w:r>
        <w:rPr>
          <w:rFonts w:ascii="Arial" w:cs="Arial" w:eastAsia="Arial" w:hAnsi="Arial"/>
          <w:sz w:val="17"/>
          <w:szCs w:val="17"/>
          <w:color w:val="auto"/>
        </w:rPr>
        <w:t>”) and Royal Bank of Canada, as administrative agent for the U.S. Lenders, as U.S. collateral agent for the Lenders, as administrative agent for the Canadian Lenders (in such capacity, the “</w:t>
      </w:r>
      <w:r>
        <w:rPr>
          <w:rFonts w:ascii="Arial" w:cs="Arial" w:eastAsia="Arial" w:hAnsi="Arial"/>
          <w:sz w:val="17"/>
          <w:szCs w:val="17"/>
          <w:i w:val="1"/>
          <w:iCs w:val="1"/>
          <w:color w:val="auto"/>
        </w:rPr>
        <w:t>Canadian Administrative Agent</w:t>
      </w:r>
      <w:r>
        <w:rPr>
          <w:rFonts w:ascii="Arial" w:cs="Arial" w:eastAsia="Arial" w:hAnsi="Arial"/>
          <w:sz w:val="17"/>
          <w:szCs w:val="17"/>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Canadian Parent][Civeo Premium][The Canadian Parent, on behalf of Civeo Premium,][The Parent Borrower][The Parent Borrower, on behalf of the Canadian Parent][The Parent Borrower, on behalf of Civeo Premium] hereby gives you notice pursuant to Section 2.03 of the Credit Agreement that it requests a Borrowing of [Canadian Term Loans][Canadian Tranche A Revolving Credit Loans][Canadian Tranche B Revolving Credit Loans] under the Credit Agreement, and in that connection sets forth below the terms on which such Borrowing is requested to be made:</w:t>
      </w:r>
    </w:p>
    <w:p>
      <w:pPr>
        <w:spacing w:after="0" w:line="180" w:lineRule="exact"/>
        <w:rPr>
          <w:sz w:val="20"/>
          <w:szCs w:val="20"/>
          <w:color w:val="auto"/>
        </w:rPr>
      </w:pPr>
    </w:p>
    <w:p>
      <w:pPr>
        <w:ind w:left="480" w:hanging="472"/>
        <w:spacing w:after="0"/>
        <w:tabs>
          <w:tab w:leader="none" w:pos="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Date of Borrowing</w:t>
      </w:r>
    </w:p>
    <w:p>
      <w:pPr>
        <w:spacing w:after="0" w:line="23" w:lineRule="exact"/>
        <w:rPr>
          <w:sz w:val="20"/>
          <w:szCs w:val="20"/>
          <w:color w:val="auto"/>
        </w:rPr>
      </w:pPr>
    </w:p>
    <w:p>
      <w:pPr>
        <w:ind w:left="500"/>
        <w:spacing w:after="0"/>
        <w:tabs>
          <w:tab w:leader="none" w:pos="2720" w:val="left"/>
        </w:tabs>
        <w:rPr>
          <w:sz w:val="20"/>
          <w:szCs w:val="20"/>
          <w:color w:val="auto"/>
        </w:rPr>
      </w:pPr>
      <w:r>
        <w:rPr>
          <w:rFonts w:ascii="Arial" w:cs="Arial" w:eastAsia="Arial" w:hAnsi="Arial"/>
          <w:sz w:val="18"/>
          <w:szCs w:val="18"/>
          <w:color w:val="auto"/>
        </w:rPr>
        <w:t>(which is a Business Day)</w:t>
      </w:r>
      <w:r>
        <w:rPr>
          <w:sz w:val="20"/>
          <w:szCs w:val="20"/>
          <w:color w:val="auto"/>
        </w:rPr>
        <w:tab/>
      </w: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5" w:name="page236"/>
    <w:bookmarkEnd w:id="235"/>
    <w:p>
      <w:pPr>
        <w:ind w:left="480" w:hanging="472"/>
        <w:spacing w:after="0"/>
        <w:tabs>
          <w:tab w:leader="none" w:pos="4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Principal Amount of</w:t>
      </w:r>
    </w:p>
    <w:p>
      <w:pPr>
        <w:sectPr>
          <w:pgSz w:w="11900" w:h="16838" w:orient="portrait"/>
          <w:cols w:equalWidth="0" w:num="1">
            <w:col w:w="11420"/>
          </w:cols>
          <w:pgMar w:left="240" w:top="585" w:right="239" w:bottom="1440" w:gutter="0" w:footer="0" w:header="0"/>
        </w:sectPr>
      </w:pP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79" w:lineRule="exact"/>
        <w:rPr>
          <w:sz w:val="20"/>
          <w:szCs w:val="20"/>
          <w:color w:val="auto"/>
        </w:rPr>
      </w:pPr>
    </w:p>
    <w:p>
      <w:pPr>
        <w:sectPr>
          <w:pgSz w:w="11900" w:h="16838" w:orient="portrait"/>
          <w:cols w:equalWidth="0" w:num="2">
            <w:col w:w="2120" w:space="720"/>
            <w:col w:w="8580"/>
          </w:cols>
          <w:pgMar w:left="240" w:top="585" w:right="239" w:bottom="1440" w:gutter="0" w:footer="0" w:header="0"/>
          <w:type w:val="continuous"/>
        </w:sectPr>
      </w:pPr>
    </w:p>
    <w:p>
      <w:pPr>
        <w:spacing w:after="0"/>
        <w:tabs>
          <w:tab w:leader="none" w:pos="440" w:val="left"/>
        </w:tabs>
        <w:rPr>
          <w:sz w:val="20"/>
          <w:szCs w:val="20"/>
          <w:color w:val="auto"/>
        </w:rPr>
      </w:pPr>
      <w:r>
        <w:rPr>
          <w:rFonts w:ascii="Arial" w:cs="Arial" w:eastAsia="Arial" w:hAnsi="Arial"/>
          <w:sz w:val="17"/>
          <w:szCs w:val="17"/>
          <w:color w:val="auto"/>
        </w:rPr>
        <w:t>(C)</w:t>
        <w:tab/>
        <w:t>Type of Borrowing2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94" w:lineRule="exact"/>
        <w:rPr>
          <w:sz w:val="20"/>
          <w:szCs w:val="20"/>
          <w:color w:val="auto"/>
        </w:rPr>
      </w:pPr>
    </w:p>
    <w:p>
      <w:pPr>
        <w:sectPr>
          <w:pgSz w:w="11900" w:h="16838" w:orient="portrait"/>
          <w:cols w:equalWidth="0" w:num="2">
            <w:col w:w="2080" w:space="720"/>
            <w:col w:w="8620"/>
          </w:cols>
          <w:pgMar w:left="240" w:top="585" w:right="239" w:bottom="1440" w:gutter="0" w:footer="0" w:header="0"/>
          <w:type w:val="continuous"/>
        </w:sectPr>
      </w:pPr>
    </w:p>
    <w:p>
      <w:pPr>
        <w:jc w:val="both"/>
        <w:ind w:left="480" w:right="60" w:hanging="494"/>
        <w:spacing w:after="0" w:line="347" w:lineRule="auto"/>
        <w:tabs>
          <w:tab w:leader="none" w:pos="4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Contract Period 3 or Interest Period4 and the last day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47" w:lineRule="exact"/>
        <w:rPr>
          <w:sz w:val="20"/>
          <w:szCs w:val="20"/>
          <w:color w:val="auto"/>
        </w:rPr>
      </w:pPr>
    </w:p>
    <w:p>
      <w:pPr>
        <w:sectPr>
          <w:pgSz w:w="11900" w:h="16838" w:orient="portrait"/>
          <w:cols w:equalWidth="0" w:num="2">
            <w:col w:w="2020" w:space="720"/>
            <w:col w:w="8680"/>
          </w:cols>
          <w:pgMar w:left="240" w:top="585" w:right="239" w:bottom="1440" w:gutter="0" w:footer="0" w:header="0"/>
          <w:type w:val="continuous"/>
        </w:sectPr>
      </w:pPr>
    </w:p>
    <w:p>
      <w:pPr>
        <w:ind w:left="500" w:hanging="492"/>
        <w:spacing w:after="0"/>
        <w:tabs>
          <w:tab w:leader="none" w:pos="5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Funds are requested to be disbursed to the applicable Canadian Borrowers’ account[s] with:</w:t>
      </w:r>
    </w:p>
    <w:p>
      <w:pPr>
        <w:sectPr>
          <w:pgSz w:w="11900" w:h="16838" w:orient="portrait"/>
          <w:cols w:equalWidth="0" w:num="1">
            <w:col w:w="11420"/>
          </w:cols>
          <w:pgMar w:left="240" w:top="585" w:right="239" w:bottom="1440" w:gutter="0" w:footer="0" w:header="0"/>
          <w:type w:val="continuous"/>
        </w:sect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220" w:space="680"/>
            <w:col w:w="8520"/>
          </w:cols>
          <w:pgMar w:left="240" w:top="585" w:right="239" w:bottom="1440" w:gutter="0" w:footer="0" w:header="0"/>
          <w:type w:val="continuous"/>
        </w:sectPr>
      </w:pPr>
    </w:p>
    <w:p>
      <w:pPr>
        <w:spacing w:after="0" w:line="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380" w:space="400"/>
            <w:col w:w="8640"/>
          </w:cols>
          <w:pgMar w:left="240" w:top="585"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560" w:space="220"/>
            <w:col w:w="8640"/>
          </w:cols>
          <w:pgMar w:left="240" w:top="585" w:right="239" w:bottom="1440" w:gutter="0" w:footer="0" w:header="0"/>
          <w:type w:val="continuous"/>
        </w:sectPr>
      </w:pPr>
    </w:p>
    <w:p>
      <w:pPr>
        <w:spacing w:after="0" w:line="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undersigned Canadian Borrower hereby represents and warrants to the Agents and the Lenders that, on the date of this Borrowing Request and on the date of the related Borrowing, the conditions to lending specified in Sections 4.01(b) and (c) of the Credit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1048385</wp:posOffset>
            </wp:positionV>
            <wp:extent cx="13036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660" w:right="20" w:hanging="652"/>
        <w:spacing w:after="0" w:line="221" w:lineRule="auto"/>
        <w:tabs>
          <w:tab w:leader="none" w:pos="132" w:val="left"/>
        </w:tabs>
        <w:numPr>
          <w:ilvl w:val="0"/>
          <w:numId w:val="205"/>
        </w:numPr>
        <w:rPr>
          <w:rFonts w:ascii="Arial" w:cs="Arial" w:eastAsia="Arial" w:hAnsi="Arial"/>
          <w:sz w:val="26"/>
          <w:szCs w:val="26"/>
          <w:color w:val="auto"/>
          <w:vertAlign w:val="superscript"/>
        </w:rPr>
      </w:pPr>
      <w:r>
        <w:rPr>
          <w:rFonts w:ascii="Arial" w:cs="Arial" w:eastAsia="Arial" w:hAnsi="Arial"/>
          <w:sz w:val="16"/>
          <w:szCs w:val="16"/>
          <w:color w:val="auto"/>
        </w:rPr>
        <w:t>In an amount that is (i) in the case of Canadian dollar-denominated Loans, an integral multiple of C$100,000 and in a minimum amount of C$1,000,000, (ii) in the case of U.S. Base Rate Loans, an integral multiple of U.S.$100,000 and in a minimum amount of U.S.$1,000,000, or (iii) in the case of</w:t>
      </w:r>
    </w:p>
    <w:p>
      <w:pPr>
        <w:spacing w:after="0" w:line="63" w:lineRule="exact"/>
        <w:rPr>
          <w:sz w:val="20"/>
          <w:szCs w:val="20"/>
          <w:color w:val="auto"/>
        </w:rPr>
      </w:pPr>
    </w:p>
    <w:p>
      <w:pPr>
        <w:ind w:left="120" w:hanging="112"/>
        <w:spacing w:after="0"/>
        <w:tabs>
          <w:tab w:leader="none" w:pos="120" w:val="left"/>
        </w:tabs>
        <w:numPr>
          <w:ilvl w:val="0"/>
          <w:numId w:val="206"/>
        </w:numPr>
        <w:rPr>
          <w:rFonts w:ascii="Arial" w:cs="Arial" w:eastAsia="Arial" w:hAnsi="Arial"/>
          <w:sz w:val="30"/>
          <w:szCs w:val="30"/>
          <w:color w:val="auto"/>
          <w:vertAlign w:val="superscript"/>
        </w:rPr>
      </w:pPr>
      <w:r>
        <w:rPr>
          <w:rFonts w:ascii="Arial" w:cs="Arial" w:eastAsia="Arial" w:hAnsi="Arial"/>
          <w:sz w:val="18"/>
          <w:szCs w:val="18"/>
          <w:color w:val="auto"/>
        </w:rPr>
        <w:t>Specify B/A Borrowing, Canadian Prime Rate Borrowing, U.S. Base Rate Borrowing or Eurocurrency Borrowing.</w:t>
      </w:r>
    </w:p>
    <w:p>
      <w:pPr>
        <w:ind w:left="120" w:hanging="112"/>
        <w:spacing w:after="0" w:line="180" w:lineRule="auto"/>
        <w:tabs>
          <w:tab w:leader="none" w:pos="120" w:val="left"/>
        </w:tabs>
        <w:numPr>
          <w:ilvl w:val="0"/>
          <w:numId w:val="207"/>
        </w:numPr>
        <w:rPr>
          <w:rFonts w:ascii="Arial" w:cs="Arial" w:eastAsia="Arial" w:hAnsi="Arial"/>
          <w:sz w:val="25"/>
          <w:szCs w:val="25"/>
          <w:color w:val="auto"/>
          <w:vertAlign w:val="superscript"/>
        </w:rPr>
      </w:pPr>
      <w:r>
        <w:rPr>
          <w:rFonts w:ascii="Arial" w:cs="Arial" w:eastAsia="Arial" w:hAnsi="Arial"/>
          <w:sz w:val="16"/>
          <w:szCs w:val="16"/>
          <w:color w:val="auto"/>
        </w:rPr>
        <w:t>Which shall be subject to the definition of “Contract Period” and end not later than the Maturity Date (applicable for B/A Borrowings only).</w:t>
      </w:r>
    </w:p>
    <w:p>
      <w:pPr>
        <w:ind w:left="120" w:hanging="112"/>
        <w:spacing w:after="0" w:line="180" w:lineRule="auto"/>
        <w:tabs>
          <w:tab w:leader="none" w:pos="120" w:val="left"/>
        </w:tabs>
        <w:numPr>
          <w:ilvl w:val="0"/>
          <w:numId w:val="208"/>
        </w:numPr>
        <w:rPr>
          <w:rFonts w:ascii="Arial" w:cs="Arial" w:eastAsia="Arial" w:hAnsi="Arial"/>
          <w:sz w:val="28"/>
          <w:szCs w:val="28"/>
          <w:color w:val="auto"/>
          <w:vertAlign w:val="superscript"/>
        </w:rPr>
      </w:pPr>
      <w:r>
        <w:rPr>
          <w:rFonts w:ascii="Arial" w:cs="Arial" w:eastAsia="Arial" w:hAnsi="Arial"/>
          <w:sz w:val="17"/>
          <w:szCs w:val="17"/>
          <w:color w:val="auto"/>
        </w:rPr>
        <w:t>Which shall be subject to the definition of “Interest Period” and end not later than the Maturity Date (applicable for Eurocurrency Borrowings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236" w:name="page237"/>
    <w:bookmarkEnd w:id="236"/>
    <w:p>
      <w:pPr>
        <w:ind w:left="270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[CIVEO PREMIUM CAMP SERVICES LTD.</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[CIVEO CANADA INC.]</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EXHIBIT B-4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SWING LINE BORROWING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Global Loans Administration,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10281-8098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paula.santos@rbc.com]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miyuki.kataoka@rbc.com]</w:t>
      </w:r>
    </w:p>
    <w:p>
      <w:pPr>
        <w:spacing w:after="0" w:line="9"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[Civeo Corporation (the “</w:t>
      </w:r>
      <w:r>
        <w:rPr>
          <w:rFonts w:ascii="Arial" w:cs="Arial" w:eastAsia="Arial" w:hAnsi="Arial"/>
          <w:sz w:val="16"/>
          <w:szCs w:val="16"/>
          <w:i w:val="1"/>
          <w:iCs w:val="1"/>
          <w:color w:val="auto"/>
        </w:rPr>
        <w:t>Parent Borrower</w:t>
      </w:r>
      <w:r>
        <w:rPr>
          <w:rFonts w:ascii="Arial" w:cs="Arial" w:eastAsia="Arial" w:hAnsi="Arial"/>
          <w:sz w:val="16"/>
          <w:szCs w:val="16"/>
          <w:color w:val="auto"/>
        </w:rPr>
        <w:t>”)][[Civeo USA Corp.] (the “</w:t>
      </w:r>
      <w:r>
        <w:rPr>
          <w:rFonts w:ascii="Arial" w:cs="Arial" w:eastAsia="Arial" w:hAnsi="Arial"/>
          <w:sz w:val="16"/>
          <w:szCs w:val="16"/>
          <w:i w:val="1"/>
          <w:iCs w:val="1"/>
          <w:color w:val="auto"/>
        </w:rPr>
        <w:t>U.S. Borrower</w:t>
      </w:r>
      <w:r>
        <w:rPr>
          <w:rFonts w:ascii="Arial" w:cs="Arial" w:eastAsia="Arial" w:hAnsi="Arial"/>
          <w:sz w:val="16"/>
          <w:szCs w:val="16"/>
          <w:color w:val="auto"/>
        </w:rPr>
        <w:t>”)][Civeo Canada Inc.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i w:val="1"/>
          <w:iCs w:val="1"/>
          <w:color w:val="auto"/>
        </w:rPr>
        <w:t>Parent</w:t>
      </w:r>
      <w:r>
        <w:rPr>
          <w:rFonts w:ascii="Arial" w:cs="Arial" w:eastAsia="Arial" w:hAnsi="Arial"/>
          <w:sz w:val="16"/>
          <w:szCs w:val="16"/>
          <w:color w:val="auto"/>
        </w:rPr>
        <w:t>”)][Civeo Premium Camp Services Ltd. (“</w:t>
      </w:r>
      <w:r>
        <w:rPr>
          <w:rFonts w:ascii="Arial" w:cs="Arial" w:eastAsia="Arial" w:hAnsi="Arial"/>
          <w:sz w:val="16"/>
          <w:szCs w:val="16"/>
          <w:i w:val="1"/>
          <w:iCs w:val="1"/>
          <w:color w:val="auto"/>
        </w:rPr>
        <w:t>Civeo Premium</w:t>
      </w:r>
      <w:r>
        <w:rPr>
          <w:rFonts w:ascii="Arial" w:cs="Arial" w:eastAsia="Arial" w:hAnsi="Arial"/>
          <w:sz w:val="16"/>
          <w:szCs w:val="16"/>
          <w:color w:val="auto"/>
        </w:rPr>
        <w:t>”)], refers to the Syndicated Facility Agreement dated as of May 28, 2014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or otherwise modified from time to time, including by the First Amendment to Syndicated Facility Agreement, dated as of May 13, 2015,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Parent Borrower, the U.S. Borrower, the Canadian Parent, Civeo Premium, Civeo Pty Limited, the lenders from time to time party thereto (the “</w:t>
      </w:r>
      <w:r>
        <w:rPr>
          <w:rFonts w:ascii="Arial" w:cs="Arial" w:eastAsia="Arial" w:hAnsi="Arial"/>
          <w:sz w:val="16"/>
          <w:szCs w:val="16"/>
          <w:i w:val="1"/>
          <w:iCs w:val="1"/>
          <w:color w:val="auto"/>
        </w:rPr>
        <w:t>Lenders</w:t>
      </w:r>
      <w:r>
        <w:rPr>
          <w:rFonts w:ascii="Arial" w:cs="Arial" w:eastAsia="Arial" w:hAnsi="Arial"/>
          <w:sz w:val="16"/>
          <w:szCs w:val="16"/>
          <w:color w:val="auto"/>
        </w:rPr>
        <w:t>”) and Royal Bank of Canada, as administrative agent for the U.S. Lenders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as U.S. collateral agent for the Lenders, as administrative agent for the Canadian Lenders (in such capacity, the “</w:t>
      </w:r>
      <w:r>
        <w:rPr>
          <w:rFonts w:ascii="Arial" w:cs="Arial" w:eastAsia="Arial" w:hAnsi="Arial"/>
          <w:sz w:val="16"/>
          <w:szCs w:val="16"/>
          <w:i w:val="1"/>
          <w:iCs w:val="1"/>
          <w:color w:val="auto"/>
        </w:rPr>
        <w:t>Canadian Administrative Agent</w:t>
      </w:r>
      <w:r>
        <w:rPr>
          <w:rFonts w:ascii="Arial" w:cs="Arial" w:eastAsia="Arial" w:hAnsi="Arial"/>
          <w:sz w:val="16"/>
          <w:szCs w:val="16"/>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Borrower][U.S. Borrower][the Canadian Parent][Civeo Premium] hereby gives you notice pursuant to Section 2.23 of the Credit Agreement that it requests a [U.S. Swing Line Borrowing of U.S. Swing Line Loans][Canadian Swing Line Borrowing of Canadian Swing Line Loans] under the Credit Agreement, and in that connection sets forth below the terms on which such Borrowing is requested to be made:</w:t>
      </w:r>
    </w:p>
    <w:p>
      <w:pPr>
        <w:spacing w:after="0" w:line="173" w:lineRule="exact"/>
        <w:rPr>
          <w:sz w:val="20"/>
          <w:szCs w:val="20"/>
          <w:color w:val="auto"/>
        </w:rPr>
      </w:pPr>
    </w:p>
    <w:p>
      <w:pPr>
        <w:ind w:left="480" w:hanging="472"/>
        <w:spacing w:after="0"/>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Date of Borrowing</w:t>
      </w:r>
    </w:p>
    <w:p>
      <w:pPr>
        <w:spacing w:after="0" w:line="23" w:lineRule="exact"/>
        <w:rPr>
          <w:sz w:val="20"/>
          <w:szCs w:val="20"/>
          <w:color w:val="auto"/>
        </w:rPr>
      </w:pPr>
    </w:p>
    <w:p>
      <w:pPr>
        <w:ind w:left="500"/>
        <w:spacing w:after="0"/>
        <w:tabs>
          <w:tab w:leader="none" w:pos="2680" w:val="left"/>
        </w:tabs>
        <w:rPr>
          <w:sz w:val="20"/>
          <w:szCs w:val="20"/>
          <w:color w:val="auto"/>
        </w:rPr>
      </w:pPr>
      <w:r>
        <w:rPr>
          <w:rFonts w:ascii="Arial" w:cs="Arial" w:eastAsia="Arial" w:hAnsi="Arial"/>
          <w:sz w:val="18"/>
          <w:szCs w:val="18"/>
          <w:color w:val="auto"/>
        </w:rPr>
        <w:t>(which is a Business Day)</w:t>
      </w:r>
      <w:r>
        <w:rPr>
          <w:sz w:val="20"/>
          <w:szCs w:val="20"/>
          <w:color w:val="auto"/>
        </w:rPr>
        <w:tab/>
      </w: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8" w:name="page239"/>
    <w:bookmarkEnd w:id="238"/>
    <w:p>
      <w:pPr>
        <w:ind w:left="480" w:hanging="472"/>
        <w:spacing w:after="0"/>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Principal Amount of</w:t>
      </w:r>
    </w:p>
    <w:p>
      <w:pPr>
        <w:ind w:left="460"/>
        <w:spacing w:after="0"/>
        <w:tabs>
          <w:tab w:leader="none" w:pos="2820" w:val="left"/>
        </w:tabs>
        <w:rPr>
          <w:sz w:val="20"/>
          <w:szCs w:val="20"/>
          <w:color w:val="auto"/>
        </w:rPr>
      </w:pPr>
      <w:r>
        <w:rPr>
          <w:rFonts w:ascii="Arial" w:cs="Arial" w:eastAsia="Arial" w:hAnsi="Arial"/>
          <w:sz w:val="18"/>
          <w:szCs w:val="18"/>
          <w:color w:val="auto"/>
        </w:rPr>
        <w:t>Borrowing</w:t>
      </w: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______________________</w:t>
      </w:r>
    </w:p>
    <w:p>
      <w:pPr>
        <w:spacing w:after="0" w:line="99" w:lineRule="exact"/>
        <w:rPr>
          <w:sz w:val="20"/>
          <w:szCs w:val="20"/>
          <w:color w:val="auto"/>
        </w:rPr>
      </w:pPr>
    </w:p>
    <w:p>
      <w:pPr>
        <w:ind w:left="480" w:hanging="472"/>
        <w:spacing w:after="0"/>
        <w:tabs>
          <w:tab w:leader="none" w:pos="4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Funds are requested to be disbursed to the [Parent Borrower][U.S. Borrower’s][the Canadian Parent's][Civeo Premium's] account with:</w:t>
      </w:r>
    </w:p>
    <w:p>
      <w:pPr>
        <w:sectPr>
          <w:pgSz w:w="11900" w:h="16838" w:orient="portrait"/>
          <w:cols w:equalWidth="0" w:num="1">
            <w:col w:w="11420"/>
          </w:cols>
          <w:pgMar w:left="240" w:top="582" w:right="239" w:bottom="1440" w:gutter="0" w:footer="0" w:header="0"/>
        </w:sect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180" w:space="660"/>
            <w:col w:w="8580"/>
          </w:cols>
          <w:pgMar w:left="240" w:top="582"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340" w:space="440"/>
            <w:col w:w="8640"/>
          </w:cols>
          <w:pgMar w:left="240" w:top="582"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560" w:space="220"/>
            <w:col w:w="8640"/>
          </w:cols>
          <w:pgMar w:left="240" w:top="582" w:right="239" w:bottom="1440" w:gutter="0" w:footer="0" w:header="0"/>
          <w:type w:val="continuous"/>
        </w:sectPr>
      </w:pPr>
    </w:p>
    <w:p>
      <w:pPr>
        <w:spacing w:after="0" w:line="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[Parent Borrower][U.S. Borrower][the Canadian Parent][Civeo Premium] hereby represents and warrants to the Agents and the Lenders that, on the date of this Swing Line Borrowing Request and on the date of the related Borrowing, the conditions to lending specified in Sections 4.01(b) and (c) of the Credit Agreement have been satisfied.</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USA CORP.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13036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right="360" w:hanging="492"/>
        <w:spacing w:after="0" w:line="194" w:lineRule="auto"/>
        <w:tabs>
          <w:tab w:leader="none" w:pos="134" w:val="left"/>
        </w:tabs>
        <w:numPr>
          <w:ilvl w:val="0"/>
          <w:numId w:val="212"/>
        </w:numPr>
        <w:rPr>
          <w:rFonts w:ascii="Arial" w:cs="Arial" w:eastAsia="Arial" w:hAnsi="Arial"/>
          <w:sz w:val="30"/>
          <w:szCs w:val="30"/>
          <w:color w:val="auto"/>
          <w:vertAlign w:val="superscript"/>
        </w:rPr>
      </w:pPr>
      <w:r>
        <w:rPr>
          <w:rFonts w:ascii="Arial" w:cs="Arial" w:eastAsia="Arial" w:hAnsi="Arial"/>
          <w:sz w:val="18"/>
          <w:szCs w:val="18"/>
          <w:color w:val="auto"/>
        </w:rPr>
        <w:t>In U.S. dollars not less than U.S.$1,000,000 (except as otherwise set forth in any AutoBorrow Agreement), but in any event not exceeding the available Total [U.S.][Canadian]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239" w:name="page240"/>
    <w:bookmarkEnd w:id="239"/>
    <w:p>
      <w:pPr>
        <w:ind w:left="2700"/>
        <w:spacing w:after="0"/>
        <w:rPr>
          <w:sz w:val="20"/>
          <w:szCs w:val="20"/>
          <w:color w:val="auto"/>
        </w:rPr>
      </w:pPr>
      <w:r>
        <w:rPr>
          <w:rFonts w:ascii="Arial" w:cs="Arial" w:eastAsia="Arial" w:hAnsi="Arial"/>
          <w:sz w:val="17"/>
          <w:szCs w:val="17"/>
          <w:color w:val="auto"/>
        </w:rPr>
        <w:t>[CIVEO PREMIUM CAMP SERVICES LTD.</w:t>
      </w:r>
    </w:p>
    <w:p>
      <w:pPr>
        <w:spacing w:after="0" w:line="23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t>EXHIBIT B-5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PREPAYMENT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Manager, Agency Services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 as Australian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Australian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Thames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Queenhithe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EC4V 3DQ,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of Manager Loans Agency]</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[Civeo Corporation (the “</w:t>
      </w:r>
      <w:r>
        <w:rPr>
          <w:rFonts w:ascii="Arial" w:cs="Arial" w:eastAsia="Arial" w:hAnsi="Arial"/>
          <w:sz w:val="16"/>
          <w:szCs w:val="16"/>
          <w:i w:val="1"/>
          <w:iCs w:val="1"/>
          <w:color w:val="auto"/>
        </w:rPr>
        <w:t>Parent Borrower</w:t>
      </w:r>
      <w:r>
        <w:rPr>
          <w:rFonts w:ascii="Arial" w:cs="Arial" w:eastAsia="Arial" w:hAnsi="Arial"/>
          <w:sz w:val="16"/>
          <w:szCs w:val="16"/>
          <w:color w:val="auto"/>
        </w:rPr>
        <w:t>”)][[Civeo USA Corp.] (the “</w:t>
      </w:r>
      <w:r>
        <w:rPr>
          <w:rFonts w:ascii="Arial" w:cs="Arial" w:eastAsia="Arial" w:hAnsi="Arial"/>
          <w:sz w:val="16"/>
          <w:szCs w:val="16"/>
          <w:i w:val="1"/>
          <w:iCs w:val="1"/>
          <w:color w:val="auto"/>
        </w:rPr>
        <w:t>U.S. Borrower</w:t>
      </w:r>
      <w:r>
        <w:rPr>
          <w:rFonts w:ascii="Arial" w:cs="Arial" w:eastAsia="Arial" w:hAnsi="Arial"/>
          <w:sz w:val="16"/>
          <w:szCs w:val="16"/>
          <w:color w:val="auto"/>
        </w:rPr>
        <w:t>”)][Civeo Canada Inc.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i w:val="1"/>
          <w:iCs w:val="1"/>
          <w:color w:val="auto"/>
        </w:rPr>
        <w:t>Parent</w:t>
      </w:r>
      <w:r>
        <w:rPr>
          <w:rFonts w:ascii="Arial" w:cs="Arial" w:eastAsia="Arial" w:hAnsi="Arial"/>
          <w:sz w:val="16"/>
          <w:szCs w:val="16"/>
          <w:color w:val="auto"/>
        </w:rPr>
        <w:t>”)][Civeo Premium Camp Services Ltd. (“</w:t>
      </w:r>
      <w:r>
        <w:rPr>
          <w:rFonts w:ascii="Arial" w:cs="Arial" w:eastAsia="Arial" w:hAnsi="Arial"/>
          <w:sz w:val="16"/>
          <w:szCs w:val="16"/>
          <w:i w:val="1"/>
          <w:iCs w:val="1"/>
          <w:color w:val="auto"/>
        </w:rPr>
        <w:t>Civeo Premium</w:t>
      </w:r>
      <w:r>
        <w:rPr>
          <w:rFonts w:ascii="Arial" w:cs="Arial" w:eastAsia="Arial" w:hAnsi="Arial"/>
          <w:sz w:val="16"/>
          <w:szCs w:val="16"/>
          <w:color w:val="auto"/>
        </w:rPr>
        <w:t>”)][Civeo Pty Limited (the “</w:t>
      </w:r>
      <w:r>
        <w:rPr>
          <w:rFonts w:ascii="Arial" w:cs="Arial" w:eastAsia="Arial" w:hAnsi="Arial"/>
          <w:sz w:val="16"/>
          <w:szCs w:val="16"/>
          <w:i w:val="1"/>
          <w:iCs w:val="1"/>
          <w:color w:val="auto"/>
        </w:rPr>
        <w:t>Australian Borrower</w:t>
      </w:r>
      <w:r>
        <w:rPr>
          <w:rFonts w:ascii="Arial" w:cs="Arial" w:eastAsia="Arial" w:hAnsi="Arial"/>
          <w:sz w:val="16"/>
          <w:szCs w:val="16"/>
          <w:color w:val="auto"/>
        </w:rPr>
        <w:t>”)], refers to the Syndicated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May 28, 2014 (as amended, supplemented or otherwise modified from time to time, including by the First Amendment to Syndicated Facility Agreement, dated as of May 13, 2015,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Parent Borrower, the U.S. Borrower, the Canadian Parent, Civeo Premium, the Australian Borrower, the lenders from time to time party thereto (the “</w:t>
      </w:r>
      <w:r>
        <w:rPr>
          <w:rFonts w:ascii="Arial" w:cs="Arial" w:eastAsia="Arial" w:hAnsi="Arial"/>
          <w:sz w:val="16"/>
          <w:szCs w:val="16"/>
          <w:i w:val="1"/>
          <w:iCs w:val="1"/>
          <w:color w:val="auto"/>
        </w:rPr>
        <w:t>Lenders</w:t>
      </w:r>
      <w:r>
        <w:rPr>
          <w:rFonts w:ascii="Arial" w:cs="Arial" w:eastAsia="Arial" w:hAnsi="Arial"/>
          <w:sz w:val="16"/>
          <w:szCs w:val="16"/>
          <w:color w:val="auto"/>
        </w:rPr>
        <w:t>”) and Royal Bank of Canada, as administrative agent for the U.S. Lenders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as U.S. collateral agent for the Lenders, as administrative agent for the Canadian Lenders (in such capacity, the “</w:t>
      </w:r>
      <w:r>
        <w:rPr>
          <w:rFonts w:ascii="Arial" w:cs="Arial" w:eastAsia="Arial" w:hAnsi="Arial"/>
          <w:sz w:val="16"/>
          <w:szCs w:val="16"/>
          <w:i w:val="1"/>
          <w:iCs w:val="1"/>
          <w:color w:val="auto"/>
        </w:rPr>
        <w:t>Canadian Administrative Agent</w:t>
      </w:r>
      <w:r>
        <w:rPr>
          <w:rFonts w:ascii="Arial" w:cs="Arial" w:eastAsia="Arial" w:hAnsi="Arial"/>
          <w:sz w:val="16"/>
          <w:szCs w:val="16"/>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Borrower][U.S. Borrower][the Canadian Parent][Civeo Premium][the Australian Borrower] hereby gives you notice pursuant to Section 2.11 of the Credit Agreement that it will prepay outstanding [U.S. Term Loans][U.S. Revolving Credit Loans][Canadian Term Loans][Canadian Tranche A Revolving Credit Loans][Canadian Tranche B Revolving Credit Loans][Australian Revolving Credit Loans][U.S. Swing Line Loans][Canadian Swing Line Loans] in the amount and on the terms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675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1" w:name="page242"/>
    <w:bookmarkEnd w:id="241"/>
    <w:p>
      <w:pPr>
        <w:spacing w:after="0"/>
        <w:tabs>
          <w:tab w:leader="none" w:pos="460" w:val="left"/>
        </w:tabs>
        <w:rPr>
          <w:sz w:val="20"/>
          <w:szCs w:val="20"/>
          <w:color w:val="auto"/>
        </w:rPr>
      </w:pPr>
      <w:r>
        <w:rPr>
          <w:rFonts w:ascii="Arial" w:cs="Arial" w:eastAsia="Arial" w:hAnsi="Arial"/>
          <w:sz w:val="18"/>
          <w:szCs w:val="18"/>
          <w:color w:val="auto"/>
        </w:rPr>
        <w:t>(A)</w:t>
        <w:tab/>
        <w:t>Date of prepayment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(which is a Business Day)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14" w:lineRule="exact"/>
        <w:rPr>
          <w:sz w:val="20"/>
          <w:szCs w:val="20"/>
          <w:color w:val="auto"/>
        </w:rPr>
      </w:pPr>
    </w:p>
    <w:p>
      <w:pPr>
        <w:sectPr>
          <w:pgSz w:w="11900" w:h="16838" w:orient="portrait"/>
          <w:cols w:equalWidth="0" w:num="2">
            <w:col w:w="2380" w:space="360"/>
            <w:col w:w="7479"/>
          </w:cols>
          <w:pgMar w:left="240" w:top="584" w:right="1440" w:bottom="1440" w:gutter="0" w:footer="0" w:header="0"/>
        </w:sectPr>
      </w:pP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w:t>
        <w:tab/>
        <w:t>Amount of Prepayment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160" w:space="580"/>
            <w:col w:w="7479"/>
          </w:cols>
          <w:pgMar w:left="240" w:top="584" w:right="1440" w:bottom="1440" w:gutter="0" w:footer="0" w:header="0"/>
          <w:type w:val="continuous"/>
        </w:sectPr>
      </w:pPr>
    </w:p>
    <w:p>
      <w:pPr>
        <w:spacing w:after="0" w:line="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Type of Loan (ABR,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Eurocurrency, Canadian Prime Rate,</w:t>
      </w:r>
    </w:p>
    <w:p>
      <w:pPr>
        <w:spacing w:after="0" w:line="9" w:lineRule="exact"/>
        <w:rPr>
          <w:sz w:val="20"/>
          <w:szCs w:val="20"/>
          <w:color w:val="auto"/>
        </w:rPr>
      </w:pPr>
    </w:p>
    <w:p>
      <w:pPr>
        <w:ind w:left="500"/>
        <w:spacing w:after="0"/>
        <w:tabs>
          <w:tab w:leader="none" w:pos="2880" w:val="left"/>
        </w:tabs>
        <w:rPr>
          <w:sz w:val="20"/>
          <w:szCs w:val="20"/>
          <w:color w:val="auto"/>
        </w:rPr>
      </w:pPr>
      <w:r>
        <w:rPr>
          <w:rFonts w:ascii="Arial" w:cs="Arial" w:eastAsia="Arial" w:hAnsi="Arial"/>
          <w:sz w:val="18"/>
          <w:szCs w:val="18"/>
          <w:color w:val="auto"/>
        </w:rPr>
        <w:t>BBSY Rate)</w:t>
      </w:r>
      <w:r>
        <w:rPr>
          <w:sz w:val="20"/>
          <w:szCs w:val="20"/>
          <w:color w:val="auto"/>
        </w:rPr>
        <w:tab/>
      </w:r>
      <w:r>
        <w:rPr>
          <w:rFonts w:ascii="Arial" w:cs="Arial" w:eastAsia="Arial" w:hAnsi="Arial"/>
          <w:sz w:val="16"/>
          <w:szCs w:val="16"/>
          <w:color w:val="auto"/>
        </w:rPr>
        <w:t>______________________</w:t>
      </w:r>
    </w:p>
    <w:p>
      <w:pPr>
        <w:sectPr>
          <w:pgSz w:w="11900" w:h="16838" w:orient="portrait"/>
          <w:cols w:equalWidth="0" w:num="1">
            <w:col w:w="10219"/>
          </w:cols>
          <w:pgMar w:left="240" w:top="584" w:right="1440" w:bottom="1440" w:gutter="0" w:footer="0" w:header="0"/>
          <w:type w:val="continuous"/>
        </w:sect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USA CORP.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[CIVEO PREMIUM CAMP SERVICES LTD.</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242" w:name="page243"/>
    <w:bookmarkEnd w:id="242"/>
    <w:p>
      <w:pPr>
        <w:ind w:left="2700"/>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______________________________</w:t>
      </w:r>
    </w:p>
    <w:p>
      <w:pPr>
        <w:spacing w:after="0" w:line="4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363855</wp:posOffset>
            </wp:positionV>
            <wp:extent cx="72675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dated as of ________ ___, 20__ is prepared pursuant to the Syndicated Facility Agreement dated as of May 28, 2014 (as amended,</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supplemented or otherwise modified from time to time, including by the First Amendment to Syndicated Facility Agreement, dated as of May 13, 2015,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Civeo Corporation, a corporation organized under the laws of the Province of British Columbia (the “</w:t>
      </w:r>
      <w:r>
        <w:rPr>
          <w:rFonts w:ascii="Arial" w:cs="Arial" w:eastAsia="Arial" w:hAnsi="Arial"/>
          <w:sz w:val="17"/>
          <w:szCs w:val="17"/>
          <w:i w:val="1"/>
          <w:iCs w:val="1"/>
          <w:color w:val="auto"/>
        </w:rPr>
        <w:t>Parent Borrower</w:t>
      </w:r>
      <w:r>
        <w:rPr>
          <w:rFonts w:ascii="Arial" w:cs="Arial" w:eastAsia="Arial" w:hAnsi="Arial"/>
          <w:sz w:val="17"/>
          <w:szCs w:val="17"/>
          <w:color w:val="auto"/>
        </w:rPr>
        <w:t>”), Civeo USA Corp., a Delaware corporation, Civeo Canada Inc., a corporation amalgamated under the laws of the Province of Alberta, Civeo Premium Camp Services Ltd., a corporation amalgamated under the laws of the Province of Alberta, Civeo Pty Limited ACN 003 657 510, an Australian proprietary limited company, the Lenders party thereto, Royal Bank of Canada, as administrative agent for the U.S. Lenders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undersigned, on behalf of the Parent Borrower, hereby certifies and warrants that [ ] is a Financial Officer of the Parent Borrower and that, as such, he or she is authorized to execute this certificate for and on behalf of the Parent Borrower. Except as otherwise disclosed to the Administrative Agent</w:t>
      </w:r>
    </w:p>
    <w:tbl>
      <w:tblPr>
        <w:tblLayout w:type="fixed"/>
        <w:tblInd w:w="0" w:type="dxa"/>
        <w:tblCellMar>
          <w:top w:w="0" w:type="dxa"/>
          <w:left w:w="0" w:type="dxa"/>
          <w:bottom w:w="0" w:type="dxa"/>
          <w:right w:w="0" w:type="dxa"/>
        </w:tblCellMar>
      </w:tblPr>
      <w:tr>
        <w:trPr>
          <w:trHeight w:val="202"/>
        </w:trPr>
        <w:tc>
          <w:tcPr>
            <w:tcW w:w="9360" w:type="dxa"/>
            <w:vAlign w:val="bottom"/>
            <w:gridSpan w:val="7"/>
          </w:tcPr>
          <w:p>
            <w:pPr>
              <w:spacing w:after="0" w:line="202" w:lineRule="exact"/>
              <w:rPr>
                <w:sz w:val="20"/>
                <w:szCs w:val="20"/>
                <w:color w:val="auto"/>
              </w:rPr>
            </w:pPr>
            <w:r>
              <w:rPr>
                <w:rFonts w:ascii="Arial" w:cs="Arial" w:eastAsia="Arial" w:hAnsi="Arial"/>
                <w:sz w:val="18"/>
                <w:szCs w:val="18"/>
                <w:color w:val="auto"/>
                <w:w w:val="97"/>
              </w:rPr>
              <w:t>in writing pursuant to the Credit Agreement, to the best knowledge of the undersigned, at no time during the period from [</w:t>
            </w:r>
          </w:p>
        </w:tc>
        <w:tc>
          <w:tcPr>
            <w:tcW w:w="12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 through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(the</w:t>
            </w:r>
          </w:p>
        </w:tc>
        <w:tc>
          <w:tcPr>
            <w:tcW w:w="0" w:type="dxa"/>
            <w:vAlign w:val="bottom"/>
          </w:tcPr>
          <w:p>
            <w:pPr>
              <w:spacing w:after="0"/>
              <w:rPr>
                <w:sz w:val="1"/>
                <w:szCs w:val="1"/>
                <w:color w:val="auto"/>
              </w:rPr>
            </w:pPr>
          </w:p>
        </w:tc>
      </w:t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Period</w:t>
            </w:r>
            <w:r>
              <w:rPr>
                <w:rFonts w:ascii="Arial" w:cs="Arial" w:eastAsia="Arial" w:hAnsi="Arial"/>
                <w:sz w:val="18"/>
                <w:szCs w:val="18"/>
                <w:color w:val="auto"/>
              </w:rPr>
              <w:t>") did a Default or an Event of Default exist.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Covenant</w:t>
            </w: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3"/>
          </w:tcPr>
          <w:p>
            <w:pPr>
              <w:jc w:val="center"/>
              <w:ind w:right="940"/>
              <w:spacing w:after="0"/>
              <w:rPr>
                <w:sz w:val="20"/>
                <w:szCs w:val="20"/>
                <w:color w:val="auto"/>
              </w:rPr>
            </w:pPr>
            <w:r>
              <w:rPr>
                <w:rFonts w:ascii="Arial" w:cs="Arial" w:eastAsia="Arial" w:hAnsi="Arial"/>
                <w:sz w:val="18"/>
                <w:szCs w:val="18"/>
                <w:color w:val="auto"/>
                <w:w w:val="97"/>
              </w:rPr>
              <w:t>Maximum/Minimum</w:t>
            </w:r>
          </w:p>
        </w:tc>
        <w:tc>
          <w:tcPr>
            <w:tcW w:w="6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Actual</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580" w:type="dxa"/>
            <w:vAlign w:val="bottom"/>
            <w:gridSpan w:val="3"/>
          </w:tcPr>
          <w:p>
            <w:pPr>
              <w:ind w:left="320"/>
              <w:spacing w:after="0"/>
              <w:rPr>
                <w:sz w:val="20"/>
                <w:szCs w:val="20"/>
                <w:color w:val="auto"/>
              </w:rPr>
            </w:pPr>
            <w:r>
              <w:rPr>
                <w:rFonts w:ascii="Arial" w:cs="Arial" w:eastAsia="Arial" w:hAnsi="Arial"/>
                <w:sz w:val="18"/>
                <w:szCs w:val="18"/>
                <w:color w:val="auto"/>
                <w:w w:val="95"/>
              </w:rPr>
              <w:t>In accordance with the covenant set forth in Section 6.10 of the Credit Agreement,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2"/>
          </w:tcPr>
          <w:p>
            <w:pPr>
              <w:jc w:val="center"/>
              <w:ind w:right="1260"/>
              <w:spacing w:after="0"/>
              <w:rPr>
                <w:sz w:val="20"/>
                <w:szCs w:val="20"/>
                <w:color w:val="auto"/>
              </w:rPr>
            </w:pPr>
            <w:r>
              <w:rPr>
                <w:rFonts w:ascii="Arial" w:cs="Arial" w:eastAsia="Arial" w:hAnsi="Arial"/>
                <w:sz w:val="18"/>
                <w:szCs w:val="18"/>
                <w:color w:val="auto"/>
                <w:w w:val="98"/>
              </w:rPr>
              <w:t>Minimum</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the Interest Coverage Ratio of the Parent Borrower, for previous four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consecutive fiscal quarters (taken as one accounting period), was: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jc w:val="center"/>
              <w:ind w:right="1240"/>
              <w:spacing w:after="0"/>
              <w:rPr>
                <w:sz w:val="20"/>
                <w:szCs w:val="20"/>
                <w:color w:val="auto"/>
              </w:rPr>
            </w:pPr>
            <w:r>
              <w:rPr>
                <w:rFonts w:ascii="Arial" w:cs="Arial" w:eastAsia="Arial" w:hAnsi="Arial"/>
                <w:sz w:val="18"/>
                <w:szCs w:val="18"/>
                <w:color w:val="auto"/>
                <w:w w:val="90"/>
              </w:rPr>
              <w:t>3.00 to 1.00</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580" w:type="dxa"/>
            <w:vAlign w:val="bottom"/>
            <w:gridSpan w:val="3"/>
          </w:tcPr>
          <w:p>
            <w:pPr>
              <w:ind w:left="320"/>
              <w:spacing w:after="0"/>
              <w:rPr>
                <w:sz w:val="20"/>
                <w:szCs w:val="20"/>
                <w:color w:val="auto"/>
              </w:rPr>
            </w:pPr>
            <w:r>
              <w:rPr>
                <w:rFonts w:ascii="Arial" w:cs="Arial" w:eastAsia="Arial" w:hAnsi="Arial"/>
                <w:sz w:val="18"/>
                <w:szCs w:val="18"/>
                <w:color w:val="auto"/>
                <w:w w:val="95"/>
              </w:rPr>
              <w:t>In accordance with the covenant set forth in Section 6.11 of the Credit Agreement,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2"/>
          </w:tcPr>
          <w:p>
            <w:pPr>
              <w:jc w:val="center"/>
              <w:ind w:right="1260"/>
              <w:spacing w:after="0"/>
              <w:rPr>
                <w:sz w:val="20"/>
                <w:szCs w:val="20"/>
                <w:color w:val="auto"/>
              </w:rPr>
            </w:pPr>
            <w:r>
              <w:rPr>
                <w:rFonts w:ascii="Arial" w:cs="Arial" w:eastAsia="Arial" w:hAnsi="Arial"/>
                <w:sz w:val="18"/>
                <w:szCs w:val="18"/>
                <w:color w:val="auto"/>
                <w:w w:val="97"/>
              </w:rPr>
              <w:t>Maximum</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the Leverage Ratio, as of the last day of the Certificate Period, was:</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vMerge w:val="restart"/>
          </w:tcPr>
          <w:p>
            <w:pPr>
              <w:ind w:left="380"/>
              <w:spacing w:after="0"/>
              <w:rPr>
                <w:sz w:val="20"/>
                <w:szCs w:val="20"/>
                <w:color w:val="auto"/>
              </w:rPr>
            </w:pPr>
            <w:r>
              <w:rPr>
                <w:rFonts w:ascii="Arial" w:cs="Arial" w:eastAsia="Arial" w:hAnsi="Arial"/>
                <w:sz w:val="18"/>
                <w:szCs w:val="18"/>
                <w:color w:val="auto"/>
              </w:rPr>
              <w:t>] to 1.00</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restart"/>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calculation sheet reflecting the above-computations is attached hereto as Schedule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and delivered this certificate, this ____ day of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4" w:name="page245"/>
    <w:bookmarkEnd w:id="244"/>
    <w:p>
      <w:pPr>
        <w:ind w:left="3020"/>
        <w:spacing w:after="0"/>
        <w:rPr>
          <w:sz w:val="20"/>
          <w:szCs w:val="20"/>
          <w:color w:val="auto"/>
        </w:rPr>
      </w:pPr>
      <w:r>
        <w:rPr>
          <w:rFonts w:ascii="Arial" w:cs="Arial" w:eastAsia="Arial" w:hAnsi="Arial"/>
          <w:sz w:val="17"/>
          <w:szCs w:val="17"/>
          <w:color w:val="auto"/>
        </w:rPr>
        <w:t>CIVEO CORPORATION</w:t>
      </w:r>
    </w:p>
    <w:p>
      <w:pPr>
        <w:spacing w:after="0" w:line="200" w:lineRule="exact"/>
        <w:rPr>
          <w:sz w:val="20"/>
          <w:szCs w:val="20"/>
          <w:color w:val="auto"/>
        </w:rPr>
      </w:pPr>
    </w:p>
    <w:p>
      <w:pPr>
        <w:spacing w:after="0" w:line="25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-10160</wp:posOffset>
            </wp:positionV>
            <wp:extent cx="22288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17"/>
          <w:szCs w:val="17"/>
          <w:u w:val="single" w:color="auto"/>
          <w:color w:val="auto"/>
        </w:rPr>
        <w:t>CALCULATION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843280</wp:posOffset>
            </wp:positionV>
            <wp:extent cx="72675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6" w:name="page247"/>
    <w:bookmarkEnd w:id="246"/>
    <w:p>
      <w:pPr>
        <w:ind w:left="10800"/>
        <w:spacing w:after="0"/>
        <w:rPr>
          <w:sz w:val="20"/>
          <w:szCs w:val="20"/>
          <w:color w:val="auto"/>
        </w:rPr>
      </w:pPr>
      <w:r>
        <w:rPr>
          <w:rFonts w:ascii="Arial" w:cs="Arial" w:eastAsia="Arial" w:hAnsi="Arial"/>
          <w:sz w:val="16"/>
          <w:szCs w:val="16"/>
          <w:i w:val="1"/>
          <w:iCs w:val="1"/>
          <w:color w:val="auto"/>
        </w:rPr>
        <w:t>Annex 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U.S. dollars)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86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U.S. Term</w:t>
            </w:r>
          </w:p>
        </w:tc>
        <w:tc>
          <w:tcPr>
            <w:tcW w:w="13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w:t>
            </w:r>
          </w:p>
        </w:tc>
        <w:tc>
          <w:tcPr>
            <w:tcW w:w="14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Loans as of the</w:t>
            </w: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Tranche 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Tranche B</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Australian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First</w:t>
            </w: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193"/>
        </w:trPr>
        <w:tc>
          <w:tcPr>
            <w:tcW w:w="186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jc w:val="right"/>
              <w:ind w:right="110"/>
              <w:spacing w:after="0" w:line="193" w:lineRule="exact"/>
              <w:rPr>
                <w:sz w:val="20"/>
                <w:szCs w:val="20"/>
                <w:color w:val="auto"/>
              </w:rPr>
            </w:pPr>
            <w:r>
              <w:rPr>
                <w:rFonts w:ascii="Arial" w:cs="Arial" w:eastAsia="Arial" w:hAnsi="Arial"/>
                <w:sz w:val="18"/>
                <w:szCs w:val="18"/>
                <w:b w:val="1"/>
                <w:bCs w:val="1"/>
                <w:color w:val="auto"/>
              </w:rPr>
              <w:t>U.S. Revolving</w:t>
            </w:r>
          </w:p>
        </w:tc>
        <w:tc>
          <w:tcPr>
            <w:tcW w:w="13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3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4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2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2"/>
              </w:rPr>
              <w:t>Amendment</w:t>
            </w:r>
          </w:p>
        </w:tc>
        <w:tc>
          <w:tcPr>
            <w:tcW w:w="1380" w:type="dxa"/>
            <w:vAlign w:val="bottom"/>
            <w:tcBorders>
              <w:right w:val="single" w:sz="8" w:color="auto"/>
            </w:tcBorders>
          </w:tcPr>
          <w:p>
            <w:pPr>
              <w:jc w:val="right"/>
              <w:ind w:right="10"/>
              <w:spacing w:after="0" w:line="193" w:lineRule="exact"/>
              <w:rPr>
                <w:sz w:val="20"/>
                <w:szCs w:val="20"/>
                <w:color w:val="auto"/>
              </w:rPr>
            </w:pPr>
            <w:r>
              <w:rPr>
                <w:rFonts w:ascii="Arial" w:cs="Arial" w:eastAsia="Arial" w:hAnsi="Arial"/>
                <w:sz w:val="18"/>
                <w:szCs w:val="18"/>
                <w:b w:val="1"/>
                <w:bCs w:val="1"/>
                <w:color w:val="auto"/>
                <w:w w:val="96"/>
              </w:rPr>
              <w:t>Canadian Term</w:t>
            </w:r>
          </w:p>
        </w:tc>
        <w:tc>
          <w:tcPr>
            <w:tcW w:w="1280" w:type="dxa"/>
            <w:vAlign w:val="bottom"/>
            <w:tcBorders>
              <w:right w:val="single" w:sz="8" w:color="auto"/>
            </w:tcBorders>
          </w:tcPr>
          <w:p>
            <w:pPr>
              <w:jc w:val="right"/>
              <w:ind w:right="370"/>
              <w:spacing w:after="0" w:line="193" w:lineRule="exact"/>
              <w:rPr>
                <w:sz w:val="20"/>
                <w:szCs w:val="20"/>
                <w:color w:val="auto"/>
              </w:rPr>
            </w:pPr>
            <w:r>
              <w:rPr>
                <w:rFonts w:ascii="Arial" w:cs="Arial" w:eastAsia="Arial" w:hAnsi="Arial"/>
                <w:sz w:val="18"/>
                <w:szCs w:val="18"/>
                <w:b w:val="1"/>
                <w:bCs w:val="1"/>
                <w:color w:val="auto"/>
              </w:rPr>
              <w:t>Total</w:t>
            </w:r>
          </w:p>
        </w:tc>
      </w:tr>
      <w:tr>
        <w:trPr>
          <w:trHeight w:val="258"/>
        </w:trPr>
        <w:tc>
          <w:tcPr>
            <w:tcW w:w="18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Bank</w:t>
            </w:r>
          </w:p>
        </w:tc>
        <w:tc>
          <w:tcPr>
            <w:tcW w:w="1500" w:type="dxa"/>
            <w:vAlign w:val="bottom"/>
            <w:tcBorders>
              <w:bottom w:val="single" w:sz="8" w:color="auto"/>
              <w:right w:val="single" w:sz="8" w:color="auto"/>
            </w:tcBorders>
          </w:tcPr>
          <w:p>
            <w:pPr>
              <w:jc w:val="right"/>
              <w:ind w:right="90"/>
              <w:spacing w:after="0" w:line="258" w:lineRule="exact"/>
              <w:rPr>
                <w:sz w:val="20"/>
                <w:szCs w:val="20"/>
                <w:color w:val="auto"/>
              </w:rPr>
            </w:pPr>
            <w:r>
              <w:rPr>
                <w:rFonts w:ascii="Arial" w:cs="Arial" w:eastAsia="Arial" w:hAnsi="Arial"/>
                <w:sz w:val="18"/>
                <w:szCs w:val="18"/>
                <w:b w:val="1"/>
                <w:bCs w:val="1"/>
                <w:color w:val="auto"/>
                <w:w w:val="98"/>
              </w:rPr>
              <w:t>Commitment</w:t>
            </w:r>
            <w:r>
              <w:rPr>
                <w:rFonts w:ascii="Arial" w:cs="Arial" w:eastAsia="Arial" w:hAnsi="Arial"/>
                <w:sz w:val="29"/>
                <w:szCs w:val="29"/>
                <w:b w:val="1"/>
                <w:bCs w:val="1"/>
                <w:color w:val="auto"/>
                <w:w w:val="98"/>
                <w:vertAlign w:val="superscript"/>
              </w:rPr>
              <w:t>20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260" w:type="dxa"/>
            <w:vAlign w:val="bottom"/>
            <w:tcBorders>
              <w:bottom w:val="single" w:sz="8" w:color="auto"/>
              <w:right w:val="single" w:sz="8" w:color="auto"/>
            </w:tcBorders>
          </w:tcPr>
          <w:p>
            <w:pPr>
              <w:jc w:val="center"/>
              <w:spacing w:after="0" w:line="258" w:lineRule="exact"/>
              <w:rPr>
                <w:sz w:val="20"/>
                <w:szCs w:val="20"/>
                <w:color w:val="auto"/>
              </w:rPr>
            </w:pPr>
            <w:r>
              <w:rPr>
                <w:rFonts w:ascii="Arial" w:cs="Arial" w:eastAsia="Arial" w:hAnsi="Arial"/>
                <w:sz w:val="18"/>
                <w:szCs w:val="18"/>
                <w:b w:val="1"/>
                <w:bCs w:val="1"/>
                <w:color w:val="auto"/>
                <w:w w:val="88"/>
              </w:rPr>
              <w:t>Effective Date</w:t>
            </w:r>
            <w:r>
              <w:rPr>
                <w:rFonts w:ascii="Arial" w:cs="Arial" w:eastAsia="Arial" w:hAnsi="Arial"/>
                <w:sz w:val="29"/>
                <w:szCs w:val="29"/>
                <w:b w:val="1"/>
                <w:bCs w:val="1"/>
                <w:color w:val="auto"/>
                <w:w w:val="88"/>
                <w:vertAlign w:val="superscript"/>
              </w:rPr>
              <w:t>21</w:t>
            </w:r>
          </w:p>
        </w:tc>
        <w:tc>
          <w:tcPr>
            <w:tcW w:w="13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Commitment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Commitment</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Royal Bank of Canada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$1,117,472</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$3,744,721</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$34,723,874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$12,280,702</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$1,031,597</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$90,282,072</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$143,180,438</w:t>
            </w: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The Bank of Nova</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$3,744,720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$27,840,438</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$72,385,139</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$103,970,297</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Scotia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The Bank of Nova</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$12,280,702</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$12,280,702</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Scotia Asia Limited</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Wells Fargo Bank N.A.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$12,280,702</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$12,280,702</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6"/>
              </w:rPr>
              <w:t>Wells Fargo Bank N.A.,</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$3,744,720</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$25,665,453</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$66,730,178</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$96,140,351</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Canadian Branch</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National Australia Bank</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$3,796,032</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$29,385,736</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$5,254,837</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$38,436,605</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One, N.A.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$19,014,070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$18,085,930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$37,100,000</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Regions Bank</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$8,268,226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$6,708,772</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$14,976,998</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HSBC Bank USA, N.A.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$2,044,444</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$2,038,710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$4,083,154</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HSBC Bank Canada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The Hong Kong and</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$25,000,000</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$25,000,000</w:t>
            </w:r>
          </w:p>
        </w:tc>
      </w:tr>
      <w:tr>
        <w:trPr>
          <w:trHeight w:val="216"/>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Shanghai Banking</w:t>
            </w:r>
          </w:p>
        </w:tc>
        <w:tc>
          <w:tcPr>
            <w:tcW w:w="150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16"/>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Corporation Limited,</w:t>
            </w:r>
          </w:p>
        </w:tc>
        <w:tc>
          <w:tcPr>
            <w:tcW w:w="150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Sydney Branch</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Compass Bank</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$2,631,579</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$5,263,158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$2,777,778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$5,263,158</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$2,631,579</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$7,222,222</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$25,789,474</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Sumitomo Mitsui</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$9,195,906</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$10,804,094</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$20,000,000</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Banking Corporation</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Sumitomo Mitsui</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$25,000,000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$25,000,000</w:t>
            </w:r>
          </w:p>
        </w:tc>
      </w:tr>
      <w:tr>
        <w:trPr>
          <w:trHeight w:val="216"/>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Banking Corporation of</w:t>
            </w: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The Toronto-Dominion</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$6,220,096</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$17,510,633</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$45,527,645</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$69,258,373</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Toronto Dominion</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$3,110,048</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$2,631,579</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$5,741,627</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(Texas) LLC</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ATB Financial</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$3,773,585</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$7,003,394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$18,208,826</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$28,985,805</w:t>
            </w: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National Bank of</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$3,509,000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$6,006,208</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$3,509,000</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$15,616,141</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$28,640,349</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Canadian Western Bank</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FirstMerit Bank, N.A.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$822,222</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$812,903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$1,635,125</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Comerica Bank</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$3,472,222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$9,027,778</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r>
      <w:tr>
        <w:trPr>
          <w:trHeight w:val="206"/>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$325,000,000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-4846955</wp:posOffset>
            </wp:positionV>
            <wp:extent cx="7229475" cy="283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-4280535</wp:posOffset>
            </wp:positionV>
            <wp:extent cx="7229475"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-3851910</wp:posOffset>
            </wp:positionV>
            <wp:extent cx="7229475" cy="283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-3423285</wp:posOffset>
            </wp:positionV>
            <wp:extent cx="7229475" cy="146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-3131820</wp:posOffset>
            </wp:positionV>
            <wp:extent cx="7229475" cy="146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-2428240</wp:posOffset>
            </wp:positionV>
            <wp:extent cx="7229475" cy="146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-1999615</wp:posOffset>
            </wp:positionV>
            <wp:extent cx="7229475" cy="420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29475" cy="42037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283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-867410</wp:posOffset>
            </wp:positionV>
            <wp:extent cx="7229475" cy="283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-438785</wp:posOffset>
            </wp:positionV>
            <wp:extent cx="7229475"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13036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hanging="192"/>
        <w:spacing w:after="0"/>
        <w:tabs>
          <w:tab w:leader="none" w:pos="200" w:val="left"/>
        </w:tabs>
        <w:numPr>
          <w:ilvl w:val="0"/>
          <w:numId w:val="213"/>
        </w:numPr>
        <w:rPr>
          <w:rFonts w:ascii="Arial" w:cs="Arial" w:eastAsia="Arial" w:hAnsi="Arial"/>
          <w:sz w:val="25"/>
          <w:szCs w:val="25"/>
          <w:color w:val="auto"/>
          <w:vertAlign w:val="superscript"/>
        </w:rPr>
      </w:pPr>
      <w:r>
        <w:rPr>
          <w:rFonts w:ascii="Arial" w:cs="Arial" w:eastAsia="Arial" w:hAnsi="Arial"/>
          <w:sz w:val="16"/>
          <w:szCs w:val="16"/>
          <w:color w:val="auto"/>
        </w:rPr>
        <w:t>Subsequent to the reduction of the U.S. Revolving Commitments pursuant to Section 4 of this First Amendment.</w:t>
      </w:r>
    </w:p>
    <w:p>
      <w:pPr>
        <w:spacing w:after="0" w:line="1"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213"/>
        </w:numPr>
        <w:rPr>
          <w:rFonts w:ascii="Arial" w:cs="Arial" w:eastAsia="Arial" w:hAnsi="Arial"/>
          <w:sz w:val="24"/>
          <w:szCs w:val="24"/>
          <w:color w:val="auto"/>
          <w:vertAlign w:val="superscript"/>
        </w:rPr>
      </w:pPr>
      <w:r>
        <w:rPr>
          <w:rFonts w:ascii="Arial" w:cs="Arial" w:eastAsia="Arial" w:hAnsi="Arial"/>
          <w:sz w:val="15"/>
          <w:szCs w:val="15"/>
          <w:color w:val="auto"/>
        </w:rPr>
        <w:t>Subsequent to the prepayment of the U.S. Term Loans pursuant to Section 4 of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w w:val="96"/>
              </w:rPr>
              <w:t>SCHEDULE 2.04</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gridSpan w:val="6"/>
          </w:tcPr>
          <w:p>
            <w:pPr>
              <w:jc w:val="center"/>
              <w:ind w:right="2140"/>
              <w:spacing w:after="0"/>
              <w:rPr>
                <w:sz w:val="20"/>
                <w:szCs w:val="20"/>
                <w:color w:val="auto"/>
              </w:rPr>
            </w:pPr>
            <w:r>
              <w:rPr>
                <w:rFonts w:ascii="Arial" w:cs="Arial" w:eastAsia="Arial" w:hAnsi="Arial"/>
                <w:sz w:val="18"/>
                <w:szCs w:val="18"/>
                <w:b w:val="1"/>
                <w:bCs w:val="1"/>
                <w:color w:val="auto"/>
                <w:w w:val="92"/>
              </w:rPr>
              <w:t>Amortization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Part A</w:t>
            </w:r>
          </w:p>
        </w:tc>
        <w:tc>
          <w:tcPr>
            <w:tcW w:w="260" w:type="dxa"/>
            <w:vAlign w:val="bottom"/>
            <w:tcBorders>
              <w:top w:val="single" w:sz="8" w:color="auto"/>
            </w:tcBorders>
          </w:tcPr>
          <w:p>
            <w:pPr>
              <w:spacing w:after="0"/>
              <w:rPr>
                <w:sz w:val="24"/>
                <w:szCs w:val="24"/>
                <w:color w:val="auto"/>
              </w:rPr>
            </w:pPr>
          </w:p>
        </w:tc>
        <w:tc>
          <w:tcPr>
            <w:tcW w:w="2140" w:type="dxa"/>
            <w:vAlign w:val="bottom"/>
            <w:gridSpan w:val="3"/>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gridSpan w:val="7"/>
          </w:tcPr>
          <w:p>
            <w:pPr>
              <w:jc w:val="center"/>
              <w:ind w:right="1540"/>
              <w:spacing w:after="0"/>
              <w:rPr>
                <w:sz w:val="20"/>
                <w:szCs w:val="20"/>
                <w:color w:val="auto"/>
              </w:rPr>
            </w:pPr>
            <w:r>
              <w:rPr>
                <w:rFonts w:ascii="Arial" w:cs="Arial" w:eastAsia="Arial" w:hAnsi="Arial"/>
                <w:sz w:val="18"/>
                <w:szCs w:val="18"/>
                <w:b w:val="1"/>
                <w:bCs w:val="1"/>
                <w:i w:val="1"/>
                <w:iCs w:val="1"/>
                <w:color w:val="auto"/>
                <w:w w:val="88"/>
              </w:rPr>
              <w:t>U.S. Term Loans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gridSpan w:val="7"/>
          </w:tcPr>
          <w:p>
            <w:pPr>
              <w:jc w:val="center"/>
              <w:ind w:right="1520"/>
              <w:spacing w:after="0"/>
              <w:rPr>
                <w:sz w:val="20"/>
                <w:szCs w:val="20"/>
                <w:color w:val="auto"/>
              </w:rPr>
            </w:pPr>
            <w:r>
              <w:rPr>
                <w:rFonts w:ascii="Arial" w:cs="Arial" w:eastAsia="Arial" w:hAnsi="Arial"/>
                <w:sz w:val="18"/>
                <w:szCs w:val="18"/>
                <w:color w:val="auto"/>
                <w:w w:val="92"/>
              </w:rPr>
              <w:t>(all amounts in U.S. dollars)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0" w:type="dxa"/>
            <w:vAlign w:val="bottom"/>
            <w:gridSpan w:val="4"/>
          </w:tcPr>
          <w:p>
            <w:pPr>
              <w:ind w:left="3080"/>
              <w:spacing w:after="0"/>
              <w:rPr>
                <w:sz w:val="20"/>
                <w:szCs w:val="20"/>
                <w:color w:val="auto"/>
              </w:rPr>
            </w:pPr>
            <w:r>
              <w:rPr>
                <w:rFonts w:ascii="Arial" w:cs="Arial" w:eastAsia="Arial" w:hAnsi="Arial"/>
                <w:sz w:val="18"/>
                <w:szCs w:val="18"/>
                <w:color w:val="auto"/>
              </w:rPr>
              <w:t>Date</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Amount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2015</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2016</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2016</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2017</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2017</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2018</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2018</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Date</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$41,250,000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1" w:right="19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Part B</w:t>
            </w:r>
          </w:p>
        </w:tc>
        <w:tc>
          <w:tcPr>
            <w:tcW w:w="3460" w:type="dxa"/>
            <w:vAlign w:val="bottom"/>
            <w:gridSpan w:val="3"/>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gridSpan w:val="5"/>
          </w:tcPr>
          <w:p>
            <w:pPr>
              <w:jc w:val="center"/>
              <w:ind w:right="2070"/>
              <w:spacing w:after="0"/>
              <w:rPr>
                <w:sz w:val="20"/>
                <w:szCs w:val="20"/>
                <w:color w:val="auto"/>
              </w:rPr>
            </w:pPr>
            <w:r>
              <w:rPr>
                <w:rFonts w:ascii="Arial" w:cs="Arial" w:eastAsia="Arial" w:hAnsi="Arial"/>
                <w:sz w:val="18"/>
                <w:szCs w:val="18"/>
                <w:b w:val="1"/>
                <w:bCs w:val="1"/>
                <w:i w:val="1"/>
                <w:iCs w:val="1"/>
                <w:color w:val="auto"/>
                <w:w w:val="88"/>
              </w:rPr>
              <w:t>Canadian Term Loans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gridSpan w:val="3"/>
          </w:tcPr>
          <w:p>
            <w:pPr>
              <w:jc w:val="right"/>
              <w:ind w:right="1470"/>
              <w:spacing w:after="0"/>
              <w:rPr>
                <w:sz w:val="20"/>
                <w:szCs w:val="20"/>
                <w:color w:val="auto"/>
              </w:rPr>
            </w:pPr>
            <w:r>
              <w:rPr>
                <w:rFonts w:ascii="Arial" w:cs="Arial" w:eastAsia="Arial" w:hAnsi="Arial"/>
                <w:sz w:val="18"/>
                <w:szCs w:val="18"/>
                <w:color w:val="auto"/>
              </w:rPr>
              <w:t>Amount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0" w:type="dxa"/>
            <w:vAlign w:val="bottom"/>
            <w:vMerge w:val="restart"/>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2015</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2019</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Maturity Date</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The outstanding principal amount of the Canadian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4"/>
        </w:trPr>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67" w:right="19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SCHEDULE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L/C Issuance Limits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U.S. dollars)</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220" w:type="dxa"/>
            <w:vAlign w:val="bottom"/>
            <w:tcBorders>
              <w:top w:val="single" w:sz="8" w:color="auto"/>
              <w:left w:val="single" w:sz="8" w:color="auto"/>
              <w:right w:val="single" w:sz="8" w:color="auto"/>
            </w:tcBorders>
            <w:gridSpan w:val="3"/>
          </w:tcPr>
          <w:p>
            <w:pPr>
              <w:ind w:left="1640"/>
              <w:spacing w:after="0" w:line="192" w:lineRule="exact"/>
              <w:rPr>
                <w:sz w:val="20"/>
                <w:szCs w:val="20"/>
                <w:color w:val="auto"/>
              </w:rPr>
            </w:pPr>
            <w:r>
              <w:rPr>
                <w:rFonts w:ascii="Arial" w:cs="Arial" w:eastAsia="Arial" w:hAnsi="Arial"/>
                <w:sz w:val="18"/>
                <w:szCs w:val="18"/>
                <w:color w:val="auto"/>
              </w:rPr>
              <w:t>Issuing Bank</w:t>
            </w:r>
          </w:p>
        </w:tc>
        <w:tc>
          <w:tcPr>
            <w:tcW w:w="88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tcPr>
          <w:p>
            <w:pPr>
              <w:jc w:val="center"/>
              <w:ind w:right="900"/>
              <w:spacing w:after="0" w:line="192" w:lineRule="exact"/>
              <w:rPr>
                <w:sz w:val="20"/>
                <w:szCs w:val="20"/>
                <w:color w:val="auto"/>
              </w:rPr>
            </w:pPr>
            <w:r>
              <w:rPr>
                <w:rFonts w:ascii="Arial" w:cs="Arial" w:eastAsia="Arial" w:hAnsi="Arial"/>
                <w:sz w:val="18"/>
                <w:szCs w:val="18"/>
                <w:color w:val="auto"/>
                <w:w w:val="93"/>
              </w:rPr>
              <w:t>L/C Issuance Limit</w:t>
            </w:r>
          </w:p>
        </w:tc>
        <w:tc>
          <w:tcPr>
            <w:tcW w:w="4040" w:type="dxa"/>
            <w:vAlign w:val="bottom"/>
            <w:tcBorders>
              <w:top w:val="single" w:sz="8" w:color="auto"/>
              <w:right w:val="single" w:sz="8" w:color="auto"/>
            </w:tcBorders>
            <w:gridSpan w:val="3"/>
          </w:tcPr>
          <w:p>
            <w:pPr>
              <w:ind w:left="1740"/>
              <w:spacing w:after="0" w:line="192" w:lineRule="exact"/>
              <w:rPr>
                <w:sz w:val="20"/>
                <w:szCs w:val="20"/>
                <w:color w:val="auto"/>
              </w:rPr>
            </w:pPr>
            <w:r>
              <w:rPr>
                <w:rFonts w:ascii="Arial" w:cs="Arial" w:eastAsia="Arial" w:hAnsi="Arial"/>
                <w:sz w:val="18"/>
                <w:szCs w:val="18"/>
                <w:color w:val="auto"/>
              </w:rPr>
              <w:t>Facility</w:t>
            </w:r>
          </w:p>
        </w:tc>
      </w:tr>
      <w:tr>
        <w:trPr>
          <w:trHeight w:val="21"/>
        </w:trPr>
        <w:tc>
          <w:tcPr>
            <w:tcW w:w="164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$30,000,000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U.S. Revolving Credit Facility</w:t>
            </w:r>
          </w:p>
        </w:tc>
      </w:tr>
      <w:tr>
        <w:trPr>
          <w:trHeight w:val="210"/>
        </w:trPr>
        <w:tc>
          <w:tcPr>
            <w:tcW w:w="42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Australian Revolving Credit Facility</w:t>
            </w: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$20,000,000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Canadian Tranche A Revolving Credit Facility</w:t>
            </w:r>
          </w:p>
        </w:tc>
      </w:tr>
      <w:tr>
        <w:trPr>
          <w:trHeight w:val="210"/>
        </w:trPr>
        <w:tc>
          <w:tcPr>
            <w:tcW w:w="42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Toronto Dominion Bank</w:t>
            </w:r>
          </w:p>
        </w:tc>
        <w:tc>
          <w:tcPr>
            <w:tcW w:w="22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Canadian Tranche A Revolving Credit Facility</w:t>
            </w:r>
          </w:p>
        </w:tc>
      </w:tr>
      <w:tr>
        <w:trPr>
          <w:trHeight w:val="208"/>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The Bank of Nova Scotia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Canadian Tranche A Revolving Credit Facility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1"/>
      <w:numFmt w:val="bullet"/>
      <w:start w:val="1"/>
    </w:lvl>
  </w:abstractNum>
  <w:abstractNum w:abstractNumId="4">
    <w:nsid w:val="1D9F6E5F"/>
    <w:multiLevelType w:val="hybridMultilevel"/>
    <w:lvl w:ilvl="0">
      <w:lvlJc w:val="left"/>
      <w:lvlText w:val="%1."/>
      <w:numFmt w:val="upperLetter"/>
      <w:start w:val="1"/>
    </w:lvl>
  </w:abstractNum>
  <w:abstractNum w:abstractNumId="5">
    <w:nsid w:val="97E1B4E"/>
    <w:multiLevelType w:val="hybridMultilevel"/>
    <w:lvl w:ilvl="0">
      <w:lvlJc w:val="left"/>
      <w:lvlText w:val="(%1)"/>
      <w:numFmt w:val="lowerLetter"/>
      <w:start w:val="1"/>
    </w:lvl>
  </w:abstractNum>
  <w:abstractNum w:abstractNumId="6">
    <w:nsid w:val="51088277"/>
    <w:multiLevelType w:val="hybridMultilevel"/>
    <w:lvl w:ilvl="0">
      <w:lvlJc w:val="left"/>
      <w:lvlText w:val="(%1)"/>
      <w:numFmt w:val="lowerLetter"/>
      <w:start w:val="1"/>
    </w:lvl>
  </w:abstractNum>
  <w:abstractNum w:abstractNumId="7">
    <w:nsid w:val="1CA0C5FA"/>
    <w:multiLevelType w:val="hybridMultilevel"/>
    <w:lvl w:ilvl="0">
      <w:lvlJc w:val="left"/>
      <w:lvlText w:val="(%1)"/>
      <w:numFmt w:val="lowerLetter"/>
      <w:start w:val="6"/>
    </w:lvl>
  </w:abstractNum>
  <w:abstractNum w:abstractNumId="8">
    <w:nsid w:val="53584BCB"/>
    <w:multiLevelType w:val="hybridMultilevel"/>
    <w:lvl w:ilvl="0">
      <w:lvlJc w:val="left"/>
      <w:lvlText w:val="%1"/>
      <w:numFmt w:val="upperLetter"/>
      <w:start w:val="1"/>
    </w:lvl>
    <w:lvl w:ilvl="1">
      <w:lvlJc w:val="left"/>
      <w:lvlText w:val="(%2)"/>
      <w:numFmt w:val="lowerLetter"/>
      <w:start w:val="11"/>
    </w:lvl>
  </w:abstractNum>
  <w:abstractNum w:abstractNumId="9">
    <w:nsid w:val="415E286C"/>
    <w:multiLevelType w:val="hybridMultilevel"/>
    <w:lvl w:ilvl="0">
      <w:lvlJc w:val="left"/>
      <w:lvlText w:val="(%1)"/>
      <w:numFmt w:val="upperLetter"/>
      <w:start w:val="7"/>
    </w:lvl>
    <w:lvl w:ilvl="1">
      <w:lvlJc w:val="left"/>
      <w:lvlText w:val="%2"/>
      <w:numFmt w:val="lowerLetter"/>
      <w:start w:val="1"/>
    </w:lvl>
  </w:abstractNum>
  <w:abstractNum w:abstractNumId="10">
    <w:nsid w:val="7C58FD05"/>
    <w:multiLevelType w:val="hybridMultilevel"/>
    <w:lvl w:ilvl="0">
      <w:lvlJc w:val="left"/>
      <w:lvlText w:val="(%1)"/>
      <w:numFmt w:val="lowerLetter"/>
      <w:start w:val="17"/>
    </w:lvl>
  </w:abstractNum>
  <w:abstractNum w:abstractNumId="11">
    <w:nsid w:val="23D86AAC"/>
    <w:multiLevelType w:val="hybridMultilevel"/>
    <w:lvl w:ilvl="0">
      <w:lvlJc w:val="left"/>
      <w:lvlText w:val="(%1)"/>
      <w:numFmt w:val="lowerLetter"/>
      <w:start w:val="1"/>
    </w:lvl>
  </w:abstractNum>
  <w:abstractNum w:abstractNumId="12">
    <w:nsid w:val="45E6D486"/>
    <w:multiLevelType w:val="hybridMultilevel"/>
    <w:lvl w:ilvl="0">
      <w:lvlJc w:val="left"/>
      <w:lvlText w:val="(%1)"/>
      <w:numFmt w:val="lowerLetter"/>
      <w:start w:val="3"/>
    </w:lvl>
  </w:abstractNum>
  <w:abstractNum w:abstractNumId="13">
    <w:nsid w:val="5C10FE21"/>
    <w:multiLevelType w:val="hybridMultilevel"/>
    <w:lvl w:ilvl="0">
      <w:lvlJc w:val="left"/>
      <w:lvlText w:val="1"/>
      <w:numFmt w:val="bullet"/>
      <w:start w:val="1"/>
    </w:lvl>
  </w:abstractNum>
  <w:abstractNum w:abstractNumId="14">
    <w:nsid w:val="E7FFA2B"/>
    <w:multiLevelType w:val="hybridMultilevel"/>
    <w:lvl w:ilvl="0">
      <w:lvlJc w:val="left"/>
      <w:lvlText w:val="(%1)"/>
      <w:numFmt w:val="lowerLetter"/>
      <w:start w:val="1"/>
    </w:lvl>
  </w:abstractNum>
  <w:abstractNum w:abstractNumId="15">
    <w:nsid w:val="3C5991AA"/>
    <w:multiLevelType w:val="hybridMultilevel"/>
    <w:lvl w:ilvl="0">
      <w:lvlJc w:val="left"/>
      <w:lvlText w:val="(%1)"/>
      <w:numFmt w:val="lowerLetter"/>
      <w:start w:val="3"/>
    </w:lvl>
  </w:abstractNum>
  <w:abstractNum w:abstractNumId="16">
    <w:nsid w:val="4BD8591A"/>
    <w:multiLevelType w:val="hybridMultilevel"/>
    <w:lvl w:ilvl="0">
      <w:lvlJc w:val="left"/>
      <w:lvlText w:val="(%1)"/>
      <w:numFmt w:val="lowerLetter"/>
      <w:start w:val="1"/>
    </w:lvl>
  </w:abstractNum>
  <w:abstractNum w:abstractNumId="17">
    <w:nsid w:val="78DF6A55"/>
    <w:multiLevelType w:val="hybridMultilevel"/>
    <w:lvl w:ilvl="0">
      <w:lvlJc w:val="left"/>
      <w:lvlText w:val="(%1)"/>
      <w:numFmt w:val="lowerLetter"/>
      <w:start w:val="4"/>
    </w:lvl>
  </w:abstractNum>
  <w:abstractNum w:abstractNumId="18">
    <w:nsid w:val="39B7AAA2"/>
    <w:multiLevelType w:val="hybridMultilevel"/>
    <w:lvl w:ilvl="0">
      <w:lvlJc w:val="left"/>
      <w:lvlText w:val="(%1)"/>
      <w:numFmt w:val="decimal"/>
      <w:start w:val="1"/>
    </w:lvl>
  </w:abstractNum>
  <w:abstractNum w:abstractNumId="19">
    <w:nsid w:val="2B0D8DBE"/>
    <w:multiLevelType w:val="hybridMultilevel"/>
    <w:lvl w:ilvl="0">
      <w:lvlJc w:val="left"/>
      <w:lvlText w:val="(%1)"/>
      <w:numFmt w:val="lowerLetter"/>
      <w:start w:val="1"/>
    </w:lvl>
  </w:abstractNum>
  <w:abstractNum w:abstractNumId="20">
    <w:nsid w:val="6C80EC70"/>
    <w:multiLevelType w:val="hybridMultilevel"/>
    <w:lvl w:ilvl="0">
      <w:lvlJc w:val="left"/>
      <w:lvlText w:val="(%1)"/>
      <w:numFmt w:val="lowerLetter"/>
      <w:start w:val="1"/>
    </w:lvl>
  </w:abstractNum>
  <w:abstractNum w:abstractNumId="21">
    <w:nsid w:val="379E21B5"/>
    <w:multiLevelType w:val="hybridMultilevel"/>
    <w:lvl w:ilvl="0">
      <w:lvlJc w:val="left"/>
      <w:lvlText w:val="(%1)"/>
      <w:numFmt w:val="lowerLetter"/>
      <w:start w:val="2"/>
    </w:lvl>
  </w:abstractNum>
  <w:abstractNum w:abstractNumId="22">
    <w:nsid w:val="69E373"/>
    <w:multiLevelType w:val="hybridMultilevel"/>
    <w:lvl w:ilvl="0">
      <w:lvlJc w:val="left"/>
      <w:lvlText w:val="(%1)"/>
      <w:numFmt w:val="lowerLetter"/>
      <w:start w:val="2"/>
    </w:lvl>
  </w:abstractNum>
  <w:abstractNum w:abstractNumId="23">
    <w:nsid w:val="2C27173B"/>
    <w:multiLevelType w:val="hybridMultilevel"/>
    <w:lvl w:ilvl="0">
      <w:lvlJc w:val="left"/>
      <w:lvlText w:val="(%1)"/>
      <w:numFmt w:val="lowerLetter"/>
      <w:start w:val="2"/>
    </w:lvl>
  </w:abstractNum>
  <w:abstractNum w:abstractNumId="24">
    <w:nsid w:val="4C9B0904"/>
    <w:multiLevelType w:val="hybridMultilevel"/>
    <w:lvl w:ilvl="0">
      <w:lvlJc w:val="left"/>
      <w:lvlText w:val="(%1)"/>
      <w:numFmt w:val="lowerLetter"/>
      <w:start w:val="1"/>
    </w:lvl>
  </w:abstractNum>
  <w:abstractNum w:abstractNumId="25">
    <w:nsid w:val="6AA7B75C"/>
    <w:multiLevelType w:val="hybridMultilevel"/>
    <w:lvl w:ilvl="0">
      <w:lvlJc w:val="left"/>
      <w:lvlText w:val="(%1)"/>
      <w:numFmt w:val="lowerLetter"/>
      <w:start w:val="4"/>
    </w:lvl>
  </w:abstractNum>
  <w:abstractNum w:abstractNumId="26">
    <w:nsid w:val="1DF029D3"/>
    <w:multiLevelType w:val="hybridMultilevel"/>
    <w:lvl w:ilvl="0">
      <w:lvlJc w:val="left"/>
      <w:lvlText w:val="(%1)"/>
      <w:numFmt w:val="lowerLetter"/>
      <w:start w:val="2"/>
    </w:lvl>
  </w:abstractNum>
  <w:abstractNum w:abstractNumId="27">
    <w:nsid w:val="5675FF36"/>
    <w:multiLevelType w:val="hybridMultilevel"/>
    <w:lvl w:ilvl="0">
      <w:lvlJc w:val="left"/>
      <w:lvlText w:val="(%1)"/>
      <w:numFmt w:val="lowerLetter"/>
      <w:start w:val="4"/>
    </w:lvl>
  </w:abstractNum>
  <w:abstractNum w:abstractNumId="28">
    <w:nsid w:val="3DD15094"/>
    <w:multiLevelType w:val="hybridMultilevel"/>
    <w:lvl w:ilvl="0">
      <w:lvlJc w:val="left"/>
      <w:lvlText w:val="(%1)"/>
      <w:numFmt w:val="lowerLetter"/>
      <w:start w:val="6"/>
    </w:lvl>
  </w:abstractNum>
  <w:abstractNum w:abstractNumId="29">
    <w:nsid w:val="3DB012B3"/>
    <w:multiLevelType w:val="hybridMultilevel"/>
    <w:lvl w:ilvl="0">
      <w:lvlJc w:val="left"/>
      <w:lvlText w:val="%1"/>
      <w:numFmt w:val="lowerRoman"/>
      <w:start w:val="1"/>
    </w:lvl>
    <w:lvl w:ilvl="1">
      <w:lvlJc w:val="left"/>
      <w:lvlText w:val="(%2)"/>
      <w:numFmt w:val="lowerLetter"/>
      <w:start w:val="2"/>
    </w:lvl>
  </w:abstractNum>
  <w:abstractNum w:abstractNumId="30">
    <w:nsid w:val="2708C9AF"/>
    <w:multiLevelType w:val="hybridMultilevel"/>
    <w:lvl w:ilvl="0">
      <w:lvlJc w:val="left"/>
      <w:lvlText w:val="(%1)"/>
      <w:numFmt w:val="lowerRoman"/>
      <w:start w:val="6"/>
    </w:lvl>
    <w:lvl w:ilvl="1">
      <w:lvlJc w:val="left"/>
      <w:lvlText w:val="%2"/>
      <w:numFmt w:val="lowerLetter"/>
      <w:start w:val="1"/>
    </w:lvl>
  </w:abstractNum>
  <w:abstractNum w:abstractNumId="31">
    <w:nsid w:val="5B25ACE2"/>
    <w:multiLevelType w:val="hybridMultilevel"/>
    <w:lvl w:ilvl="0">
      <w:lvlJc w:val="left"/>
      <w:lvlText w:val="(%1)"/>
      <w:numFmt w:val="lowerLetter"/>
      <w:start w:val="3"/>
    </w:lvl>
  </w:abstractNum>
  <w:abstractNum w:abstractNumId="32">
    <w:nsid w:val="175DFCF0"/>
    <w:multiLevelType w:val="hybridMultilevel"/>
    <w:lvl w:ilvl="0">
      <w:lvlJc w:val="left"/>
      <w:lvlText w:val="(%1)"/>
      <w:numFmt w:val="lowerLetter"/>
      <w:start w:val="1"/>
    </w:lvl>
  </w:abstractNum>
  <w:abstractNum w:abstractNumId="33">
    <w:nsid w:val="4F97E3E4"/>
    <w:multiLevelType w:val="hybridMultilevel"/>
    <w:lvl w:ilvl="0">
      <w:lvlJc w:val="left"/>
      <w:lvlText w:val="(%1)"/>
      <w:numFmt w:val="lowerLetter"/>
      <w:start w:val="7"/>
    </w:lvl>
  </w:abstractNum>
  <w:abstractNum w:abstractNumId="34">
    <w:nsid w:val="53B0A9E"/>
    <w:multiLevelType w:val="hybridMultilevel"/>
    <w:lvl w:ilvl="0">
      <w:lvlJc w:val="left"/>
      <w:lvlText w:val="(%1)"/>
      <w:numFmt w:val="lowerRoman"/>
      <w:start w:val="2"/>
    </w:lvl>
  </w:abstractNum>
  <w:abstractNum w:abstractNumId="35">
    <w:nsid w:val="34FD6B4F"/>
    <w:multiLevelType w:val="hybridMultilevel"/>
    <w:lvl w:ilvl="0">
      <w:lvlJc w:val="left"/>
      <w:lvlText w:val="%1"/>
      <w:numFmt w:val="lowerLetter"/>
      <w:start w:val="1"/>
    </w:lvl>
    <w:lvl w:ilvl="1">
      <w:lvlJc w:val="left"/>
      <w:lvlText w:val="(%2)"/>
      <w:numFmt w:val="lowerRoman"/>
      <w:start w:val="4"/>
    </w:lvl>
  </w:abstractNum>
  <w:abstractNum w:abstractNumId="36">
    <w:nsid w:val="5915FF32"/>
    <w:multiLevelType w:val="hybridMultilevel"/>
    <w:lvl w:ilvl="0">
      <w:lvlJc w:val="left"/>
      <w:lvlText w:val="(%1)"/>
      <w:numFmt w:val="lowerLetter"/>
      <w:start w:val="2"/>
    </w:lvl>
    <w:lvl w:ilvl="1">
      <w:lvlJc w:val="left"/>
      <w:lvlText w:val="%2"/>
      <w:numFmt w:val="lowerRoman"/>
      <w:start w:val="1"/>
    </w:lvl>
  </w:abstractNum>
  <w:abstractNum w:abstractNumId="37">
    <w:nsid w:val="56438D15"/>
    <w:multiLevelType w:val="hybridMultilevel"/>
    <w:lvl w:ilvl="0">
      <w:lvlJc w:val="left"/>
      <w:lvlText w:val="(%1)"/>
      <w:numFmt w:val="lowerLetter"/>
      <w:start w:val="4"/>
    </w:lvl>
  </w:abstractNum>
  <w:abstractNum w:abstractNumId="38">
    <w:nsid w:val="519E3149"/>
    <w:multiLevelType w:val="hybridMultilevel"/>
    <w:lvl w:ilvl="0">
      <w:lvlJc w:val="left"/>
      <w:lvlText w:val="(%1)"/>
      <w:numFmt w:val="lowerLetter"/>
      <w:start w:val="2"/>
    </w:lvl>
  </w:abstractNum>
  <w:abstractNum w:abstractNumId="39">
    <w:nsid w:val="2C6E4AFD"/>
    <w:multiLevelType w:val="hybridMultilevel"/>
    <w:lvl w:ilvl="0">
      <w:lvlJc w:val="left"/>
      <w:lvlText w:val="(%1)"/>
      <w:numFmt w:val="lowerLetter"/>
      <w:start w:val="3"/>
    </w:lvl>
  </w:abstractNum>
  <w:abstractNum w:abstractNumId="40">
    <w:nsid w:val="17A1B582"/>
    <w:multiLevelType w:val="hybridMultilevel"/>
    <w:lvl w:ilvl="0">
      <w:lvlJc w:val="left"/>
      <w:lvlText w:val="(%1)"/>
      <w:numFmt w:val="lowerLetter"/>
      <w:start w:val="9"/>
    </w:lvl>
  </w:abstractNum>
  <w:abstractNum w:abstractNumId="41">
    <w:nsid w:val="4DF72E4E"/>
    <w:multiLevelType w:val="hybridMultilevel"/>
    <w:lvl w:ilvl="0">
      <w:lvlJc w:val="left"/>
      <w:lvlText w:val="(%1)"/>
      <w:numFmt w:val="lowerLetter"/>
      <w:start w:val="2"/>
    </w:lvl>
  </w:abstractNum>
  <w:abstractNum w:abstractNumId="42">
    <w:nsid w:val="5046B5A9"/>
    <w:multiLevelType w:val="hybridMultilevel"/>
    <w:lvl w:ilvl="0">
      <w:lvlJc w:val="left"/>
      <w:lvlText w:val="(%1)"/>
      <w:numFmt w:val="lowerLetter"/>
      <w:start w:val="4"/>
    </w:lvl>
  </w:abstractNum>
  <w:abstractNum w:abstractNumId="43">
    <w:nsid w:val="5D888A08"/>
    <w:multiLevelType w:val="hybridMultilevel"/>
    <w:lvl w:ilvl="0">
      <w:lvlJc w:val="left"/>
      <w:lvlText w:val="(%1)"/>
      <w:numFmt w:val="lowerRoman"/>
      <w:start w:val="1"/>
    </w:lvl>
  </w:abstractNum>
  <w:abstractNum w:abstractNumId="44">
    <w:nsid w:val="2A082C70"/>
    <w:multiLevelType w:val="hybridMultilevel"/>
    <w:lvl w:ilvl="0">
      <w:lvlJc w:val="left"/>
      <w:lvlText w:val="(%1)"/>
      <w:numFmt w:val="lowerRoman"/>
      <w:start w:val="8"/>
    </w:lvl>
  </w:abstractNum>
  <w:abstractNum w:abstractNumId="45">
    <w:nsid w:val="5EC6AFD4"/>
    <w:multiLevelType w:val="hybridMultilevel"/>
    <w:lvl w:ilvl="0">
      <w:lvlJc w:val="left"/>
      <w:lvlText w:val="(%1)"/>
      <w:numFmt w:val="lowerLetter"/>
      <w:start w:val="2"/>
    </w:lvl>
  </w:abstractNum>
  <w:abstractNum w:abstractNumId="46">
    <w:nsid w:val="19E21BB2"/>
    <w:multiLevelType w:val="hybridMultilevel"/>
    <w:lvl w:ilvl="0">
      <w:lvlJc w:val="left"/>
      <w:lvlText w:val="(%1)"/>
      <w:numFmt w:val="lowerLetter"/>
      <w:start w:val="2"/>
    </w:lvl>
  </w:abstractNum>
  <w:abstractNum w:abstractNumId="47">
    <w:nsid w:val="75E0858A"/>
    <w:multiLevelType w:val="hybridMultilevel"/>
    <w:lvl w:ilvl="0">
      <w:lvlJc w:val="left"/>
      <w:lvlText w:val="(%1)"/>
      <w:numFmt w:val="lowerLetter"/>
      <w:start w:val="3"/>
    </w:lvl>
  </w:abstractNum>
  <w:abstractNum w:abstractNumId="48">
    <w:nsid w:val="57A61A29"/>
    <w:multiLevelType w:val="hybridMultilevel"/>
    <w:lvl w:ilvl="0">
      <w:lvlJc w:val="left"/>
      <w:lvlText w:val="(%1)"/>
      <w:numFmt w:val="lowerLetter"/>
      <w:start w:val="2"/>
    </w:lvl>
  </w:abstractNum>
  <w:abstractNum w:abstractNumId="49">
    <w:nsid w:val="5399C654"/>
    <w:multiLevelType w:val="hybridMultilevel"/>
    <w:lvl w:ilvl="0">
      <w:lvlJc w:val="left"/>
      <w:lvlText w:val="(%1)"/>
      <w:numFmt w:val="lowerLetter"/>
      <w:start w:val="3"/>
    </w:lvl>
  </w:abstractNum>
  <w:abstractNum w:abstractNumId="50">
    <w:nsid w:val="20EE1348"/>
    <w:multiLevelType w:val="hybridMultilevel"/>
    <w:lvl w:ilvl="0">
      <w:lvlJc w:val="left"/>
      <w:lvlText w:val="(%1)"/>
      <w:numFmt w:val="lowerRoman"/>
      <w:start w:val="1"/>
    </w:lvl>
  </w:abstractNum>
  <w:abstractNum w:abstractNumId="51">
    <w:nsid w:val="4427069A"/>
    <w:multiLevelType w:val="hybridMultilevel"/>
    <w:lvl w:ilvl="0">
      <w:lvlJc w:val="left"/>
      <w:lvlText w:val="(%1)"/>
      <w:numFmt w:val="lowerLetter"/>
      <w:start w:val="2"/>
    </w:lvl>
  </w:abstractNum>
  <w:abstractNum w:abstractNumId="52">
    <w:nsid w:val="B37E80A"/>
    <w:multiLevelType w:val="hybridMultilevel"/>
    <w:lvl w:ilvl="0">
      <w:lvlJc w:val="left"/>
      <w:lvlText w:val="%1"/>
      <w:numFmt w:val="lowerLetter"/>
      <w:start w:val="1"/>
    </w:lvl>
    <w:lvl w:ilvl="1">
      <w:lvlJc w:val="left"/>
      <w:lvlText w:val="(%2)"/>
      <w:numFmt w:val="lowerLetter"/>
      <w:start w:val="2"/>
    </w:lvl>
  </w:abstractNum>
  <w:abstractNum w:abstractNumId="53">
    <w:nsid w:val="2157F6BC"/>
    <w:multiLevelType w:val="hybridMultilevel"/>
    <w:lvl w:ilvl="0">
      <w:lvlJc w:val="left"/>
      <w:lvlText w:val="(%1)"/>
      <w:numFmt w:val="lowerLetter"/>
      <w:start w:val="9"/>
    </w:lvl>
    <w:lvl w:ilvl="1">
      <w:lvlJc w:val="left"/>
      <w:lvlText w:val="%2"/>
      <w:numFmt w:val="lowerLetter"/>
      <w:start w:val="1"/>
    </w:lvl>
  </w:abstractNum>
  <w:abstractNum w:abstractNumId="54">
    <w:nsid w:val="704E1DD5"/>
    <w:multiLevelType w:val="hybridMultilevel"/>
    <w:lvl w:ilvl="0">
      <w:lvlJc w:val="left"/>
      <w:lvlText w:val="(%1)"/>
      <w:numFmt w:val="lowerLetter"/>
      <w:start w:val="3"/>
    </w:lvl>
    <w:lvl w:ilvl="1">
      <w:lvlJc w:val="left"/>
      <w:lvlText w:val="(%2)"/>
      <w:numFmt w:val="lowerRoman"/>
      <w:start w:val="1"/>
    </w:lvl>
  </w:abstractNum>
  <w:abstractNum w:abstractNumId="55">
    <w:nsid w:val="57D2F10E"/>
    <w:multiLevelType w:val="hybridMultilevel"/>
    <w:lvl w:ilvl="0">
      <w:lvlJc w:val="left"/>
      <w:lvlText w:val="(%1)"/>
      <w:numFmt w:val="lowerRoman"/>
      <w:start w:val="3"/>
    </w:lvl>
  </w:abstractNum>
  <w:abstractNum w:abstractNumId="56">
    <w:nsid w:val="BFFAE18"/>
    <w:multiLevelType w:val="hybridMultilevel"/>
    <w:lvl w:ilvl="0">
      <w:lvlJc w:val="left"/>
      <w:lvlText w:val="(%1)"/>
      <w:numFmt w:val="upperLetter"/>
      <w:start w:val="1"/>
    </w:lvl>
  </w:abstractNum>
  <w:abstractNum w:abstractNumId="57">
    <w:nsid w:val="E3E47A8"/>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8">
    <w:nsid w:val="2E48F044"/>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59">
    <w:nsid w:val="49D0FEAC"/>
    <w:multiLevelType w:val="hybridMultilevel"/>
    <w:lvl w:ilvl="0">
      <w:lvlJc w:val="left"/>
      <w:lvlText w:val="(%1)"/>
      <w:numFmt w:val="lowerLetter"/>
      <w:start w:val="5"/>
    </w:lvl>
  </w:abstractNum>
  <w:abstractNum w:abstractNumId="60">
    <w:nsid w:val="4BEE5A5B"/>
    <w:multiLevelType w:val="hybridMultilevel"/>
    <w:lvl w:ilvl="0">
      <w:lvlJc w:val="left"/>
      <w:lvlText w:val="(%1)"/>
      <w:numFmt w:val="lowerLetter"/>
      <w:start w:val="2"/>
    </w:lvl>
  </w:abstractNum>
  <w:abstractNum w:abstractNumId="61">
    <w:nsid w:val="5551B9F3"/>
    <w:multiLevelType w:val="hybridMultilevel"/>
    <w:lvl w:ilvl="0">
      <w:lvlJc w:val="left"/>
      <w:lvlText w:val="(%1)"/>
      <w:numFmt w:val="lowerLetter"/>
      <w:start w:val="1"/>
    </w:lvl>
  </w:abstractNum>
  <w:abstractNum w:abstractNumId="62">
    <w:nsid w:val="24F6AB8E"/>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abstractNum>
  <w:abstractNum w:abstractNumId="63">
    <w:nsid w:val="634C574C"/>
    <w:multiLevelType w:val="hybridMultilevel"/>
    <w:lvl w:ilvl="0">
      <w:lvlJc w:val="left"/>
      <w:lvlText w:val="%1"/>
      <w:numFmt w:val="lowerRoman"/>
      <w:start w:val="1"/>
    </w:lvl>
    <w:lvl w:ilvl="1">
      <w:lvlJc w:val="left"/>
      <w:lvlText w:val="(%2)"/>
      <w:numFmt w:val="decimal"/>
      <w:start w:val="1"/>
    </w:lvl>
  </w:abstractNum>
  <w:abstractNum w:abstractNumId="64">
    <w:nsid w:val="24E99DD7"/>
    <w:multiLevelType w:val="hybridMultilevel"/>
    <w:lvl w:ilvl="0">
      <w:lvlJc w:val="left"/>
      <w:lvlText w:val="(%1)"/>
      <w:numFmt w:val="lowerRoman"/>
      <w:start w:val="10"/>
    </w:lvl>
    <w:lvl w:ilvl="1">
      <w:lvlJc w:val="left"/>
      <w:lvlText w:val="(%2)"/>
      <w:numFmt w:val="decimal"/>
      <w:start w:val="2"/>
    </w:lvl>
  </w:abstractNum>
  <w:abstractNum w:abstractNumId="65">
    <w:nsid w:val="2A31B62D"/>
    <w:multiLevelType w:val="hybridMultilevel"/>
    <w:lvl w:ilvl="0">
      <w:lvlJc w:val="left"/>
      <w:lvlText w:val="(%1)"/>
      <w:numFmt w:val="upperLetter"/>
      <w:start w:val="3"/>
    </w:lvl>
  </w:abstractNum>
  <w:abstractNum w:abstractNumId="66">
    <w:nsid w:val="1849C29B"/>
    <w:multiLevelType w:val="hybridMultilevel"/>
    <w:lvl w:ilvl="0">
      <w:lvlJc w:val="left"/>
      <w:lvlText w:val="(%1)"/>
      <w:numFmt w:val="upperLetter"/>
      <w:start w:val="4"/>
    </w:lvl>
  </w:abstractNum>
  <w:abstractNum w:abstractNumId="67">
    <w:nsid w:val="7DFF9D09"/>
    <w:multiLevelType w:val="hybridMultilevel"/>
    <w:lvl w:ilvl="0">
      <w:lvlJc w:val="left"/>
      <w:lvlText w:val="(%1)"/>
      <w:numFmt w:val="lowerLetter"/>
      <w:start w:val="8"/>
    </w:lvl>
  </w:abstractNum>
  <w:abstractNum w:abstractNumId="68">
    <w:nsid w:val="754342"/>
    <w:multiLevelType w:val="hybridMultilevel"/>
    <w:lvl w:ilvl="0">
      <w:lvlJc w:val="left"/>
      <w:lvlText w:val="(%1)"/>
      <w:numFmt w:val="lowerLetter"/>
      <w:start w:val="9"/>
    </w:lvl>
  </w:abstractNum>
  <w:abstractNum w:abstractNumId="69">
    <w:nsid w:val="69E7F3E5"/>
    <w:multiLevelType w:val="hybridMultilevel"/>
    <w:lvl w:ilvl="0">
      <w:lvlJc w:val="left"/>
      <w:lvlText w:val="(%1)"/>
      <w:numFmt w:val="lowerLetter"/>
      <w:start w:val="10"/>
    </w:lvl>
    <w:lvl w:ilvl="1">
      <w:lvlJc w:val="left"/>
      <w:lvlText w:val="(%2)"/>
      <w:numFmt w:val="lowerRoman"/>
      <w:start w:val="2"/>
    </w:lvl>
    <w:lvl w:ilvl="2">
      <w:lvlJc w:val="left"/>
      <w:lvlText w:val="(%3)"/>
      <w:numFmt w:val="upperLetter"/>
      <w:start w:val="1"/>
    </w:lvl>
  </w:abstractNum>
  <w:abstractNum w:abstractNumId="70">
    <w:nsid w:val="2A6DE806"/>
    <w:multiLevelType w:val="hybridMultilevel"/>
    <w:lvl w:ilvl="0">
      <w:lvlJc w:val="left"/>
      <w:lvlText w:val="(%1)"/>
      <w:numFmt w:val="lowerRoman"/>
      <w:start w:val="3"/>
    </w:lvl>
  </w:abstractNum>
  <w:abstractNum w:abstractNumId="71">
    <w:nsid w:val="1816F8C4"/>
    <w:multiLevelType w:val="hybridMultilevel"/>
    <w:lvl w:ilvl="0">
      <w:lvlJc w:val="left"/>
      <w:lvlText w:val="(%1)"/>
      <w:numFmt w:val="lowerLetter"/>
      <w:start w:val="2"/>
    </w:lvl>
  </w:abstractNum>
  <w:abstractNum w:abstractNumId="72">
    <w:nsid w:val="37DF2233"/>
    <w:multiLevelType w:val="hybridMultilevel"/>
    <w:lvl w:ilvl="0">
      <w:lvlJc w:val="left"/>
      <w:lvlText w:val="%1"/>
      <w:numFmt w:val="lowerLetter"/>
      <w:start w:val="1"/>
    </w:lvl>
    <w:lvl w:ilvl="1">
      <w:lvlJc w:val="left"/>
      <w:lvlText w:val="(%2)"/>
      <w:numFmt w:val="lowerLetter"/>
      <w:start w:val="1"/>
    </w:lvl>
  </w:abstractNum>
  <w:abstractNum w:abstractNumId="73">
    <w:nsid w:val="7AB49DAF"/>
    <w:multiLevelType w:val="hybridMultilevel"/>
    <w:lvl w:ilvl="0">
      <w:lvlJc w:val="left"/>
      <w:lvlText w:val="(%1)"/>
      <w:numFmt w:val="lowerLetter"/>
      <w:start w:val="24"/>
    </w:lvl>
    <w:lvl w:ilvl="1">
      <w:lvlJc w:val="left"/>
      <w:lvlText w:val="%2"/>
      <w:numFmt w:val="lowerLetter"/>
      <w:start w:val="1"/>
    </w:lvl>
  </w:abstractNum>
  <w:abstractNum w:abstractNumId="74">
    <w:nsid w:val="759F82CD"/>
    <w:multiLevelType w:val="hybridMultilevel"/>
    <w:lvl w:ilvl="0">
      <w:lvlJc w:val="left"/>
      <w:lvlText w:val="(%1)"/>
      <w:numFmt w:val="lowerLetter"/>
      <w:start w:val="3"/>
    </w:lvl>
  </w:abstractNum>
  <w:abstractNum w:abstractNumId="75">
    <w:nsid w:val="61E74EA3"/>
    <w:multiLevelType w:val="hybridMultilevel"/>
    <w:lvl w:ilvl="0">
      <w:lvlJc w:val="left"/>
      <w:lvlText w:val="(%1)"/>
      <w:numFmt w:val="lowerLetter"/>
      <w:start w:val="4"/>
    </w:lvl>
  </w:abstractNum>
  <w:abstractNum w:abstractNumId="76">
    <w:nsid w:val="597B4D84"/>
    <w:multiLevelType w:val="hybridMultilevel"/>
    <w:lvl w:ilvl="0">
      <w:lvlJc w:val="left"/>
      <w:lvlText w:val="(%1)"/>
      <w:numFmt w:val="lowerLetter"/>
      <w:start w:val="6"/>
    </w:lvl>
    <w:lvl w:ilvl="1">
      <w:lvlJc w:val="left"/>
      <w:lvlText w:val="(%2)"/>
      <w:numFmt w:val="lowerRoman"/>
      <w:start w:val="1"/>
    </w:lvl>
  </w:abstractNum>
  <w:abstractNum w:abstractNumId="77">
    <w:nsid w:val="F819E7F"/>
    <w:multiLevelType w:val="hybridMultilevel"/>
    <w:lvl w:ilvl="0">
      <w:lvlJc w:val="left"/>
      <w:lvlText w:val="(%1)"/>
      <w:numFmt w:val="lowerLetter"/>
      <w:start w:val="7"/>
    </w:lvl>
    <w:lvl w:ilvl="1">
      <w:lvlJc w:val="left"/>
      <w:lvlText w:val="(%2)"/>
      <w:numFmt w:val="lowerRoman"/>
      <w:start w:val="1"/>
    </w:lvl>
  </w:abstractNum>
  <w:abstractNum w:abstractNumId="78">
    <w:nsid w:val="57C7D42D"/>
    <w:multiLevelType w:val="hybridMultilevel"/>
    <w:lvl w:ilvl="0">
      <w:lvlJc w:val="left"/>
      <w:lvlText w:val="(%1)"/>
      <w:numFmt w:val="lowerLetter"/>
      <w:start w:val="8"/>
    </w:lvl>
  </w:abstractNum>
  <w:abstractNum w:abstractNumId="79">
    <w:nsid w:val="312167AD"/>
    <w:multiLevelType w:val="hybridMultilevel"/>
    <w:lvl w:ilvl="0">
      <w:lvlJc w:val="left"/>
      <w:lvlText w:val="(%1)"/>
      <w:numFmt w:val="lowerLetter"/>
      <w:start w:val="11"/>
    </w:lvl>
  </w:abstractNum>
  <w:abstractNum w:abstractNumId="80">
    <w:nsid w:val="631B64D4"/>
    <w:multiLevelType w:val="hybridMultilevel"/>
    <w:lvl w:ilvl="0">
      <w:lvlJc w:val="left"/>
      <w:lvlText w:val="(%1)"/>
      <w:numFmt w:val="lowerLetter"/>
      <w:start w:val="12"/>
    </w:lvl>
  </w:abstractNum>
  <w:abstractNum w:abstractNumId="81">
    <w:nsid w:val="78B5E776"/>
    <w:multiLevelType w:val="hybridMultilevel"/>
    <w:lvl w:ilvl="0">
      <w:lvlJc w:val="left"/>
      <w:lvlText w:val="(%1)"/>
      <w:numFmt w:val="lowerLetter"/>
      <w:start w:val="2"/>
    </w:lvl>
  </w:abstractNum>
  <w:abstractNum w:abstractNumId="82">
    <w:nsid w:val="75486E47"/>
    <w:multiLevelType w:val="hybridMultilevel"/>
    <w:lvl w:ilvl="0">
      <w:lvlJc w:val="left"/>
      <w:lvlText w:val="(%1)"/>
      <w:numFmt w:val="lowerLetter"/>
      <w:start w:val="5"/>
    </w:lvl>
  </w:abstractNum>
  <w:abstractNum w:abstractNumId="83">
    <w:nsid w:val="6E534CDE"/>
    <w:multiLevelType w:val="hybridMultilevel"/>
    <w:lvl w:ilvl="0">
      <w:lvlJc w:val="left"/>
      <w:lvlText w:val="(%1)"/>
      <w:numFmt w:val="lowerLetter"/>
      <w:start w:val="9"/>
    </w:lvl>
  </w:abstractNum>
  <w:abstractNum w:abstractNumId="84">
    <w:nsid w:val="1A0DDE32"/>
    <w:multiLevelType w:val="hybridMultilevel"/>
    <w:lvl w:ilvl="0">
      <w:lvlJc w:val="left"/>
      <w:lvlText w:val="(%1)"/>
      <w:numFmt w:val="lowerLetter"/>
      <w:start w:val="1"/>
    </w:lvl>
    <w:lvl w:ilvl="1">
      <w:lvlJc w:val="left"/>
      <w:lvlText w:val="(%2)"/>
      <w:numFmt w:val="lowerRoman"/>
      <w:start w:val="1"/>
    </w:lvl>
  </w:abstractNum>
  <w:abstractNum w:abstractNumId="85">
    <w:nsid w:val="65968C1C"/>
    <w:multiLevelType w:val="hybridMultilevel"/>
    <w:lvl w:ilvl="0">
      <w:lvlJc w:val="left"/>
      <w:lvlText w:val="(%1)"/>
      <w:numFmt w:val="lowerLetter"/>
      <w:start w:val="2"/>
    </w:lvl>
  </w:abstractNum>
  <w:abstractNum w:abstractNumId="86">
    <w:nsid w:val="46263DEC"/>
    <w:multiLevelType w:val="hybridMultilevel"/>
    <w:lvl w:ilvl="0">
      <w:lvlJc w:val="left"/>
      <w:lvlText w:val="(%1)"/>
      <w:numFmt w:val="lowerLetter"/>
      <w:start w:val="3"/>
    </w:lvl>
    <w:lvl w:ilvl="1">
      <w:lvlJc w:val="left"/>
      <w:lvlText w:val="(%2)"/>
      <w:numFmt w:val="lowerLetter"/>
      <w:start w:val="35"/>
    </w:lvl>
  </w:abstractNum>
  <w:abstractNum w:abstractNumId="87">
    <w:nsid w:val="260D8C4A"/>
    <w:multiLevelType w:val="hybridMultilevel"/>
    <w:lvl w:ilvl="0">
      <w:lvlJc w:val="left"/>
      <w:lvlText w:val="%1"/>
      <w:numFmt w:val="lowerLetter"/>
      <w:start w:val="1"/>
    </w:lvl>
    <w:lvl w:ilvl="1">
      <w:lvlJc w:val="left"/>
      <w:lvlText w:val="(%2)"/>
      <w:numFmt w:val="lowerRoman"/>
      <w:start w:val="3"/>
    </w:lvl>
  </w:abstractNum>
  <w:abstractNum w:abstractNumId="88">
    <w:nsid w:val="73D4D3C4"/>
    <w:multiLevelType w:val="hybridMultilevel"/>
    <w:lvl w:ilvl="0">
      <w:lvlJc w:val="left"/>
      <w:lvlText w:val="(%1)"/>
      <w:numFmt w:val="lowerLetter"/>
      <w:start w:val="4"/>
    </w:lvl>
    <w:lvl w:ilvl="1">
      <w:lvlJc w:val="left"/>
      <w:lvlText w:val="(%2)"/>
      <w:numFmt w:val="lowerRoman"/>
      <w:start w:val="2"/>
    </w:lvl>
  </w:abstractNum>
  <w:abstractNum w:abstractNumId="89">
    <w:nsid w:val="746F2E30"/>
    <w:multiLevelType w:val="hybridMultilevel"/>
    <w:lvl w:ilvl="0">
      <w:lvlJc w:val="left"/>
      <w:lvlText w:val="(%1)"/>
      <w:numFmt w:val="lowerLetter"/>
      <w:start w:val="5"/>
    </w:lvl>
  </w:abstractNum>
  <w:abstractNum w:abstractNumId="90">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3FC32E20"/>
    <w:multiLevelType w:val="hybridMultilevel"/>
    <w:lvl w:ilvl="0">
      <w:lvlJc w:val="left"/>
      <w:lvlText w:val="%1"/>
      <w:numFmt w:val="lowerLetter"/>
      <w:start w:val="1"/>
    </w:lvl>
    <w:lvl w:ilvl="1">
      <w:lvlJc w:val="left"/>
      <w:lvlText w:val="(%2)"/>
      <w:numFmt w:val="upperLetter"/>
      <w:start w:val="5"/>
    </w:lvl>
  </w:abstractNum>
  <w:abstractNum w:abstractNumId="92">
    <w:nsid w:val="49C0E823"/>
    <w:multiLevelType w:val="hybridMultilevel"/>
    <w:lvl w:ilvl="0">
      <w:lvlJc w:val="left"/>
      <w:lvlText w:val="(%1)"/>
      <w:numFmt w:val="lowerLetter"/>
      <w:start w:val="25"/>
    </w:lvl>
    <w:lvl w:ilvl="1">
      <w:lvlJc w:val="left"/>
      <w:lvlText w:val="(%2)"/>
      <w:numFmt w:val="upperLetter"/>
      <w:start w:val="6"/>
    </w:lvl>
  </w:abstractNum>
  <w:abstractNum w:abstractNumId="93">
    <w:nsid w:val="14D53685"/>
    <w:multiLevelType w:val="hybridMultilevel"/>
    <w:lvl w:ilvl="0">
      <w:lvlJc w:val="left"/>
      <w:lvlText w:val="(%1)"/>
      <w:numFmt w:val="lowerLetter"/>
      <w:start w:val="2"/>
    </w:lvl>
    <w:lvl w:ilvl="1">
      <w:lvlJc w:val="left"/>
      <w:lvlText w:val="(%2)"/>
      <w:numFmt w:val="lowerRoman"/>
      <w:start w:val="2"/>
    </w:lvl>
  </w:abstractNum>
  <w:abstractNum w:abstractNumId="94">
    <w:nsid w:val="230F856C"/>
    <w:multiLevelType w:val="hybridMultilevel"/>
    <w:lvl w:ilvl="0">
      <w:lvlJc w:val="left"/>
      <w:lvlText w:val="(%1)"/>
      <w:numFmt w:val="lowerLetter"/>
      <w:start w:val="6"/>
    </w:lvl>
  </w:abstractNum>
  <w:abstractNum w:abstractNumId="95">
    <w:nsid w:val="6EAA85FB"/>
    <w:multiLevelType w:val="hybridMultilevel"/>
    <w:lvl w:ilvl="0">
      <w:lvlJc w:val="left"/>
      <w:lvlText w:val="(%1)"/>
      <w:numFmt w:val="lowerLetter"/>
      <w:start w:val="1"/>
    </w:lvl>
  </w:abstractNum>
  <w:abstractNum w:abstractNumId="96">
    <w:nsid w:val="3F06ECB2"/>
    <w:multiLevelType w:val="hybridMultilevel"/>
    <w:lvl w:ilvl="0">
      <w:lvlJc w:val="left"/>
      <w:lvlText w:val="(%1)"/>
      <w:numFmt w:val="upperLetter"/>
      <w:start w:val="1"/>
    </w:lvl>
    <w:lvl w:ilvl="1">
      <w:lvlJc w:val="left"/>
      <w:lvlText w:val="(%2)"/>
      <w:numFmt w:val="decimal"/>
      <w:start w:val="1"/>
    </w:lvl>
  </w:abstractNum>
  <w:abstractNum w:abstractNumId="97">
    <w:nsid w:val="3B594807"/>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98">
    <w:nsid w:val="6CAA2304"/>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99">
    <w:nsid w:val="3F7C2FF4"/>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100">
    <w:nsid w:val="25413BEC"/>
    <w:multiLevelType w:val="hybridMultilevel"/>
    <w:lvl w:ilvl="0">
      <w:lvlJc w:val="left"/>
      <w:lvlText w:val="(%1)"/>
      <w:numFmt w:val="lowerLetter"/>
      <w:start w:val="3"/>
    </w:lvl>
  </w:abstractNum>
  <w:abstractNum w:abstractNumId="101">
    <w:nsid w:val="17180B0B"/>
    <w:multiLevelType w:val="hybridMultilevel"/>
    <w:lvl w:ilvl="0">
      <w:lvlJc w:val="left"/>
      <w:lvlText w:val="(%1)"/>
      <w:numFmt w:val="upperLetter"/>
      <w:start w:val="4"/>
    </w:lvl>
  </w:abstractNum>
  <w:abstractNum w:abstractNumId="102">
    <w:nsid w:val="579328B9"/>
    <w:multiLevelType w:val="hybridMultilevel"/>
    <w:lvl w:ilvl="0">
      <w:lvlJc w:val="left"/>
      <w:lvlText w:val="(%1)"/>
      <w:numFmt w:val="lowerLetter"/>
      <w:start w:val="2"/>
    </w:lvl>
  </w:abstractNum>
  <w:abstractNum w:abstractNumId="103">
    <w:nsid w:val="5D205E20"/>
    <w:multiLevelType w:val="hybridMultilevel"/>
    <w:lvl w:ilvl="0">
      <w:lvlJc w:val="left"/>
      <w:lvlText w:val="(%1)"/>
      <w:numFmt w:val="lowerLetter"/>
      <w:start w:val="2"/>
    </w:lvl>
  </w:abstractNum>
  <w:abstractNum w:abstractNumId="104">
    <w:nsid w:val="11CCA8BA"/>
    <w:multiLevelType w:val="hybridMultilevel"/>
    <w:lvl w:ilvl="0">
      <w:lvlJc w:val="left"/>
      <w:lvlText w:val="(%1)"/>
      <w:numFmt w:val="lowerLetter"/>
      <w:start w:val="2"/>
    </w:lvl>
  </w:abstractNum>
  <w:abstractNum w:abstractNumId="105">
    <w:nsid w:val="4D32AB86"/>
    <w:multiLevelType w:val="hybridMultilevel"/>
    <w:lvl w:ilvl="0">
      <w:lvlJc w:val="left"/>
      <w:lvlText w:val="(%1)"/>
      <w:numFmt w:val="lowerLetter"/>
      <w:start w:val="2"/>
    </w:lvl>
  </w:abstractNum>
  <w:abstractNum w:abstractNumId="106">
    <w:nsid w:val="3F07ACC3"/>
    <w:multiLevelType w:val="hybridMultilevel"/>
    <w:lvl w:ilvl="0">
      <w:lvlJc w:val="left"/>
      <w:lvlText w:val="(%1)"/>
      <w:numFmt w:val="lowerRoman"/>
      <w:start w:val="1"/>
    </w:lvl>
  </w:abstractNum>
  <w:abstractNum w:abstractNumId="107">
    <w:nsid w:val="6B47F63E"/>
    <w:multiLevelType w:val="hybridMultilevel"/>
    <w:lvl w:ilvl="0">
      <w:lvlJc w:val="left"/>
      <w:lvlText w:val="(%1)"/>
      <w:numFmt w:val="lowerLetter"/>
      <w:start w:val="2"/>
    </w:lvl>
  </w:abstractNum>
  <w:abstractNum w:abstractNumId="108">
    <w:nsid w:val="5CB44A05"/>
    <w:multiLevelType w:val="hybridMultilevel"/>
    <w:lvl w:ilvl="0">
      <w:lvlJc w:val="left"/>
      <w:lvlText w:val="(%1)"/>
      <w:numFmt w:val="lowerLetter"/>
      <w:start w:val="2"/>
    </w:lvl>
  </w:abstractNum>
  <w:abstractNum w:abstractNumId="109">
    <w:nsid w:val="16CF80F1"/>
    <w:multiLevelType w:val="hybridMultilevel"/>
    <w:lvl w:ilvl="0">
      <w:lvlJc w:val="left"/>
      <w:lvlText w:val="(%1)"/>
      <w:numFmt w:val="lowerLetter"/>
      <w:start w:val="1"/>
    </w:lvl>
  </w:abstractNum>
  <w:abstractNum w:abstractNumId="110">
    <w:nsid w:val="1C695DEC"/>
    <w:multiLevelType w:val="hybridMultilevel"/>
    <w:lvl w:ilvl="0">
      <w:lvlJc w:val="left"/>
      <w:lvlText w:val="(%1)"/>
      <w:numFmt w:val="lowerLetter"/>
      <w:start w:val="2"/>
    </w:lvl>
    <w:lvl w:ilvl="1">
      <w:lvlJc w:val="left"/>
      <w:lvlText w:val="(%2)"/>
      <w:numFmt w:val="lowerRoman"/>
      <w:start w:val="1"/>
    </w:lvl>
  </w:abstractNum>
  <w:abstractNum w:abstractNumId="111">
    <w:nsid w:val="3FCFAED9"/>
    <w:multiLevelType w:val="hybridMultilevel"/>
    <w:lvl w:ilvl="0">
      <w:lvlJc w:val="left"/>
      <w:lvlText w:val="(%1)"/>
      <w:numFmt w:val="lowerRoman"/>
      <w:start w:val="4"/>
    </w:lvl>
  </w:abstractNum>
  <w:abstractNum w:abstractNumId="112">
    <w:nsid w:val="F856867"/>
    <w:multiLevelType w:val="hybridMultilevel"/>
    <w:lvl w:ilvl="0">
      <w:lvlJc w:val="left"/>
      <w:lvlText w:val="%1"/>
      <w:numFmt w:val="decimal"/>
      <w:start w:val="1"/>
    </w:lvl>
    <w:lvl w:ilvl="1">
      <w:lvlJc w:val="left"/>
      <w:lvlText w:val="(%2)"/>
      <w:numFmt w:val="lowerLetter"/>
      <w:start w:val="1"/>
    </w:lvl>
  </w:abstractNum>
  <w:abstractNum w:abstractNumId="113">
    <w:nsid w:val="11B1CC33"/>
    <w:multiLevelType w:val="hybridMultilevel"/>
    <w:lvl w:ilvl="0">
      <w:lvlJc w:val="left"/>
      <w:lvlText w:val="(%1)"/>
      <w:numFmt w:val="decimal"/>
      <w:start w:val="3"/>
    </w:lvl>
    <w:lvl w:ilvl="1">
      <w:lvlJc w:val="left"/>
      <w:lvlText w:val="(%2)"/>
      <w:numFmt w:val="lowerLetter"/>
      <w:start w:val="5"/>
    </w:lvl>
  </w:abstractNum>
  <w:abstractNum w:abstractNumId="114">
    <w:nsid w:val="2E22FBB7"/>
    <w:multiLevelType w:val="hybridMultilevel"/>
    <w:lvl w:ilvl="0">
      <w:lvlJc w:val="left"/>
      <w:lvlText w:val="%1"/>
      <w:numFmt w:val="upperLetter"/>
      <w:start w:val="1"/>
    </w:lvl>
    <w:lvl w:ilvl="1">
      <w:lvlJc w:val="left"/>
      <w:lvlText w:val="(%2)"/>
      <w:numFmt w:val="lowerLetter"/>
      <w:start w:val="7"/>
    </w:lvl>
  </w:abstractNum>
  <w:abstractNum w:abstractNumId="115">
    <w:nsid w:val="29934699"/>
    <w:multiLevelType w:val="hybridMultilevel"/>
    <w:lvl w:ilvl="0">
      <w:lvlJc w:val="left"/>
      <w:lvlText w:val="(%1)"/>
      <w:numFmt w:val="upperLetter"/>
      <w:start w:val="2"/>
    </w:lvl>
    <w:lvl w:ilvl="1">
      <w:lvlJc w:val="left"/>
      <w:lvlText w:val="(%2)"/>
      <w:numFmt w:val="lowerLetter"/>
      <w:start w:val="8"/>
    </w:lvl>
  </w:abstractNum>
  <w:abstractNum w:abstractNumId="116">
    <w:nsid w:val="77485850"/>
    <w:multiLevelType w:val="hybridMultilevel"/>
    <w:lvl w:ilvl="0">
      <w:lvlJc w:val="left"/>
      <w:lvlText w:val="(%1)"/>
      <w:numFmt w:val="lowerLetter"/>
      <w:start w:val="10"/>
    </w:lvl>
  </w:abstractNum>
  <w:abstractNum w:abstractNumId="117">
    <w:nsid w:val="744939A3"/>
    <w:multiLevelType w:val="hybridMultilevel"/>
    <w:lvl w:ilvl="0">
      <w:lvlJc w:val="left"/>
      <w:lvlText w:val="%1"/>
      <w:numFmt w:val="lowerLetter"/>
      <w:start w:val="1"/>
    </w:lvl>
    <w:lvl w:ilvl="1">
      <w:lvlJc w:val="left"/>
      <w:lvlText w:val="(%2)"/>
      <w:numFmt w:val="lowerRoman"/>
      <w:start w:val="1"/>
    </w:lvl>
  </w:abstractNum>
  <w:abstractNum w:abstractNumId="118">
    <w:nsid w:val="4FA0D2E3"/>
    <w:multiLevelType w:val="hybridMultilevel"/>
    <w:lvl w:ilvl="0">
      <w:lvlJc w:val="left"/>
      <w:lvlText w:val="(%1)"/>
      <w:numFmt w:val="lowerLetter"/>
      <w:start w:val="2"/>
    </w:lvl>
    <w:lvl w:ilvl="1">
      <w:lvlJc w:val="left"/>
      <w:lvlText w:val="%2"/>
      <w:numFmt w:val="lowerRoman"/>
      <w:start w:val="1"/>
    </w:lvl>
  </w:abstractNum>
  <w:abstractNum w:abstractNumId="119">
    <w:nsid w:val="6B1D2C14"/>
    <w:multiLevelType w:val="hybridMultilevel"/>
    <w:lvl w:ilvl="0">
      <w:lvlJc w:val="left"/>
      <w:lvlText w:val="(%1)"/>
      <w:numFmt w:val="lowerLetter"/>
      <w:start w:val="4"/>
    </w:lvl>
  </w:abstractNum>
  <w:abstractNum w:abstractNumId="120">
    <w:nsid w:val="68B867D3"/>
    <w:multiLevelType w:val="hybridMultilevel"/>
    <w:lvl w:ilvl="0">
      <w:lvlJc w:val="left"/>
      <w:lvlText w:val="(%1)"/>
      <w:numFmt w:val="lowerLetter"/>
      <w:start w:val="2"/>
    </w:lvl>
  </w:abstractNum>
  <w:abstractNum w:abstractNumId="121">
    <w:nsid w:val="3F7F5DD9"/>
    <w:multiLevelType w:val="hybridMultilevel"/>
    <w:lvl w:ilvl="0">
      <w:lvlJc w:val="left"/>
      <w:lvlText w:val="(%1)"/>
      <w:numFmt w:val="lowerLetter"/>
      <w:start w:val="2"/>
    </w:lvl>
  </w:abstractNum>
  <w:abstractNum w:abstractNumId="122">
    <w:nsid w:val="2AE05A34"/>
    <w:multiLevelType w:val="hybridMultilevel"/>
    <w:lvl w:ilvl="0">
      <w:lvlJc w:val="left"/>
      <w:lvlText w:val="(%1)"/>
      <w:numFmt w:val="lowerLetter"/>
      <w:start w:val="1"/>
    </w:lvl>
  </w:abstractNum>
  <w:abstractNum w:abstractNumId="123">
    <w:nsid w:val="32794FF7"/>
    <w:multiLevelType w:val="hybridMultilevel"/>
    <w:lvl w:ilvl="0">
      <w:lvlJc w:val="left"/>
      <w:lvlText w:val="(%1)"/>
      <w:numFmt w:val="lowerLetter"/>
      <w:start w:val="4"/>
    </w:lvl>
  </w:abstractNum>
  <w:abstractNum w:abstractNumId="124">
    <w:nsid w:val="5454945E"/>
    <w:multiLevelType w:val="hybridMultilevel"/>
    <w:lvl w:ilvl="0">
      <w:lvlJc w:val="left"/>
      <w:lvlText w:val="(%1)"/>
      <w:numFmt w:val="lowerLetter"/>
      <w:start w:val="1"/>
    </w:lvl>
  </w:abstractNum>
  <w:abstractNum w:abstractNumId="125">
    <w:nsid w:val="4DEFDFA0"/>
    <w:multiLevelType w:val="hybridMultilevel"/>
    <w:lvl w:ilvl="0">
      <w:lvlJc w:val="left"/>
      <w:lvlText w:val="%1"/>
      <w:numFmt w:val="lowerLetter"/>
      <w:start w:val="1"/>
    </w:lvl>
    <w:lvl w:ilvl="1">
      <w:lvlJc w:val="left"/>
      <w:lvlText w:val="(%2)"/>
      <w:numFmt w:val="lowerLetter"/>
      <w:start w:val="2"/>
    </w:lvl>
  </w:abstractNum>
  <w:abstractNum w:abstractNumId="126">
    <w:nsid w:val="2123D5F2"/>
    <w:multiLevelType w:val="hybridMultilevel"/>
    <w:lvl w:ilvl="0">
      <w:lvlJc w:val="left"/>
      <w:lvlText w:val="(%1)"/>
      <w:numFmt w:val="lowerLetter"/>
      <w:start w:val="9"/>
    </w:lvl>
    <w:lvl w:ilvl="1">
      <w:lvlJc w:val="left"/>
      <w:lvlText w:val="(%2)"/>
      <w:numFmt w:val="lowerLetter"/>
      <w:start w:val="3"/>
    </w:lvl>
  </w:abstractNum>
  <w:abstractNum w:abstractNumId="127">
    <w:nsid w:val="135B8110"/>
    <w:multiLevelType w:val="hybridMultilevel"/>
    <w:lvl w:ilvl="0">
      <w:lvlJc w:val="left"/>
      <w:lvlText w:val="(%1)"/>
      <w:numFmt w:val="lowerLetter"/>
      <w:start w:val="4"/>
    </w:lvl>
  </w:abstractNum>
  <w:abstractNum w:abstractNumId="128">
    <w:nsid w:val="94927A8"/>
    <w:multiLevelType w:val="hybridMultilevel"/>
    <w:lvl w:ilvl="0">
      <w:lvlJc w:val="left"/>
      <w:lvlText w:val="%1"/>
      <w:numFmt w:val="decimal"/>
      <w:start w:val="1"/>
    </w:lvl>
    <w:lvl w:ilvl="1">
      <w:lvlJc w:val="left"/>
      <w:lvlText w:val="(%2)"/>
      <w:numFmt w:val="lowerLetter"/>
      <w:start w:val="6"/>
    </w:lvl>
  </w:abstractNum>
  <w:abstractNum w:abstractNumId="129">
    <w:nsid w:val="DCDF8F6"/>
    <w:multiLevelType w:val="hybridMultilevel"/>
    <w:lvl w:ilvl="0">
      <w:lvlJc w:val="left"/>
      <w:lvlText w:val="(%1)"/>
      <w:numFmt w:val="decimal"/>
      <w:start w:val="30"/>
    </w:lvl>
    <w:lvl w:ilvl="1">
      <w:lvlJc w:val="left"/>
      <w:lvlText w:val="(%2)"/>
      <w:numFmt w:val="lowerLetter"/>
      <w:start w:val="7"/>
    </w:lvl>
  </w:abstractNum>
  <w:abstractNum w:abstractNumId="130">
    <w:nsid w:val="52D7B105"/>
    <w:multiLevelType w:val="hybridMultilevel"/>
    <w:lvl w:ilvl="0">
      <w:lvlJc w:val="left"/>
      <w:lvlText w:val="(%1)"/>
      <w:numFmt w:val="lowerLetter"/>
      <w:start w:val="6"/>
    </w:lvl>
  </w:abstractNum>
  <w:abstractNum w:abstractNumId="131">
    <w:nsid w:val="2E8A6394"/>
    <w:multiLevelType w:val="hybridMultilevel"/>
    <w:lvl w:ilvl="0">
      <w:lvlJc w:val="left"/>
      <w:lvlText w:val="(%1)"/>
      <w:numFmt w:val="lowerLetter"/>
      <w:start w:val="8"/>
    </w:lvl>
  </w:abstractNum>
  <w:abstractNum w:abstractNumId="132">
    <w:nsid w:val="24E60401"/>
    <w:multiLevelType w:val="hybridMultilevel"/>
    <w:lvl w:ilvl="0">
      <w:lvlJc w:val="left"/>
      <w:lvlText w:val="(%1)"/>
      <w:numFmt w:val="lowerLetter"/>
      <w:start w:val="1"/>
    </w:lvl>
  </w:abstractNum>
  <w:abstractNum w:abstractNumId="133">
    <w:nsid w:val="2A6AD9BE"/>
    <w:multiLevelType w:val="hybridMultilevel"/>
    <w:lvl w:ilvl="0">
      <w:lvlJc w:val="left"/>
      <w:lvlText w:val="(%1)"/>
      <w:numFmt w:val="lowerLetter"/>
      <w:start w:val="3"/>
    </w:lvl>
  </w:abstractNum>
  <w:abstractNum w:abstractNumId="134">
    <w:nsid w:val="BAAC1B4"/>
    <w:multiLevelType w:val="hybridMultilevel"/>
    <w:lvl w:ilvl="0">
      <w:lvlJc w:val="left"/>
      <w:lvlText w:val="(%1)"/>
      <w:numFmt w:val="lowerLetter"/>
      <w:start w:val="1"/>
    </w:lvl>
  </w:abstractNum>
  <w:abstractNum w:abstractNumId="135">
    <w:nsid w:val="36B2ACBC"/>
    <w:multiLevelType w:val="hybridMultilevel"/>
    <w:lvl w:ilvl="0">
      <w:lvlJc w:val="left"/>
      <w:lvlText w:val="(%1)"/>
      <w:numFmt w:val="lowerLetter"/>
      <w:start w:val="3"/>
    </w:lvl>
  </w:abstractNum>
  <w:abstractNum w:abstractNumId="136">
    <w:nsid w:val="779D8544"/>
    <w:multiLevelType w:val="hybridMultilevel"/>
    <w:lvl w:ilvl="0">
      <w:lvlJc w:val="left"/>
      <w:lvlText w:val="(%1)"/>
      <w:numFmt w:val="lowerLetter"/>
      <w:start w:val="12"/>
    </w:lvl>
  </w:abstractNum>
  <w:abstractNum w:abstractNumId="137">
    <w:nsid w:val="4AB26E78"/>
    <w:multiLevelType w:val="hybridMultilevel"/>
    <w:lvl w:ilvl="0">
      <w:lvlJc w:val="left"/>
      <w:lvlText w:val="(%1)"/>
      <w:numFmt w:val="lowerLetter"/>
      <w:start w:val="1"/>
    </w:lvl>
    <w:lvl w:ilvl="1">
      <w:lvlJc w:val="left"/>
      <w:lvlText w:val="(%2)"/>
      <w:numFmt w:val="lowerRoman"/>
      <w:start w:val="1"/>
    </w:lvl>
  </w:abstractNum>
  <w:abstractNum w:abstractNumId="138">
    <w:nsid w:val="21FAA2FA"/>
    <w:multiLevelType w:val="hybridMultilevel"/>
    <w:lvl w:ilvl="0">
      <w:lvlJc w:val="left"/>
      <w:lvlText w:val="(%1)"/>
      <w:numFmt w:val="lowerRoman"/>
      <w:start w:val="3"/>
    </w:lvl>
  </w:abstractNum>
  <w:abstractNum w:abstractNumId="139">
    <w:nsid w:val="5451CF49"/>
    <w:multiLevelType w:val="hybridMultilevel"/>
    <w:lvl w:ilvl="0">
      <w:lvlJc w:val="left"/>
      <w:lvlText w:val="(%1)"/>
      <w:numFmt w:val="lowerLetter"/>
      <w:start w:val="10"/>
    </w:lvl>
  </w:abstractNum>
  <w:abstractNum w:abstractNumId="140">
    <w:nsid w:val="6181EF69"/>
    <w:multiLevelType w:val="hybridMultilevel"/>
    <w:lvl w:ilvl="0">
      <w:lvlJc w:val="left"/>
      <w:lvlText w:val="(%1)"/>
      <w:numFmt w:val="lowerLetter"/>
      <w:start w:val="2"/>
    </w:lvl>
  </w:abstractNum>
  <w:abstractNum w:abstractNumId="141">
    <w:nsid w:val="3E6400E6"/>
    <w:multiLevelType w:val="hybridMultilevel"/>
    <w:lvl w:ilvl="0">
      <w:lvlJc w:val="left"/>
      <w:lvlText w:val="(%1)"/>
      <w:numFmt w:val="lowerLetter"/>
      <w:start w:val="3"/>
    </w:lvl>
  </w:abstractNum>
  <w:abstractNum w:abstractNumId="142">
    <w:nsid w:val="14217E23"/>
    <w:multiLevelType w:val="hybridMultilevel"/>
    <w:lvl w:ilvl="0">
      <w:lvlJc w:val="left"/>
      <w:lvlText w:val="(%1)"/>
      <w:numFmt w:val="lowerLetter"/>
      <w:start w:val="2"/>
    </w:lvl>
  </w:abstractNum>
  <w:abstractNum w:abstractNumId="143">
    <w:nsid w:val="710757D0"/>
    <w:multiLevelType w:val="hybridMultilevel"/>
    <w:lvl w:ilvl="0">
      <w:lvlJc w:val="left"/>
      <w:lvlText w:val="(%1)"/>
      <w:numFmt w:val="lowerLetter"/>
      <w:start w:val="2"/>
    </w:lvl>
  </w:abstractNum>
  <w:abstractNum w:abstractNumId="144">
    <w:nsid w:val="5015CD1A"/>
    <w:multiLevelType w:val="hybridMultilevel"/>
    <w:lvl w:ilvl="0">
      <w:lvlJc w:val="left"/>
      <w:lvlText w:val="(%1)"/>
      <w:numFmt w:val="lowerLetter"/>
      <w:start w:val="2"/>
    </w:lvl>
  </w:abstractNum>
  <w:abstractNum w:abstractNumId="145">
    <w:nsid w:val="424479DA"/>
    <w:multiLevelType w:val="hybridMultilevel"/>
    <w:lvl w:ilvl="0">
      <w:lvlJc w:val="left"/>
      <w:lvlText w:val="(%1)"/>
      <w:numFmt w:val="lowerLetter"/>
      <w:start w:val="1"/>
    </w:lvl>
  </w:abstractNum>
  <w:abstractNum w:abstractNumId="146">
    <w:nsid w:val="1A9A9E69"/>
    <w:multiLevelType w:val="hybridMultilevel"/>
    <w:lvl w:ilvl="0">
      <w:lvlJc w:val="left"/>
      <w:lvlText w:val="%1"/>
      <w:numFmt w:val="upperLetter"/>
      <w:start w:val="1"/>
    </w:lvl>
    <w:lvl w:ilvl="1">
      <w:lvlJc w:val="left"/>
      <w:lvlText w:val="(%2)"/>
      <w:numFmt w:val="lowerLetter"/>
      <w:start w:val="7"/>
    </w:lvl>
  </w:abstractNum>
  <w:abstractNum w:abstractNumId="147">
    <w:nsid w:val="475E256A"/>
    <w:multiLevelType w:val="hybridMultilevel"/>
    <w:lvl w:ilvl="0">
      <w:lvlJc w:val="left"/>
      <w:lvlText w:val="(%1)"/>
      <w:numFmt w:val="upperLetter"/>
      <w:start w:val="5"/>
    </w:lvl>
    <w:lvl w:ilvl="1">
      <w:lvlJc w:val="left"/>
      <w:lvlText w:val="(%2)"/>
      <w:numFmt w:val="lowerLetter"/>
      <w:start w:val="9"/>
    </w:lvl>
  </w:abstractNum>
  <w:abstractNum w:abstractNumId="148">
    <w:nsid w:val="368DB37E"/>
    <w:multiLevelType w:val="hybridMultilevel"/>
    <w:lvl w:ilvl="0">
      <w:lvlJc w:val="left"/>
      <w:lvlText w:val="(%1)"/>
      <w:numFmt w:val="lowerLetter"/>
      <w:start w:val="12"/>
    </w:lvl>
  </w:abstractNum>
  <w:abstractNum w:abstractNumId="149">
    <w:nsid w:val="6A3B714C"/>
    <w:multiLevelType w:val="hybridMultilevel"/>
    <w:lvl w:ilvl="0">
      <w:lvlJc w:val="left"/>
      <w:lvlText w:val="(%1)"/>
      <w:numFmt w:val="lowerLetter"/>
      <w:start w:val="1"/>
    </w:lvl>
  </w:abstractNum>
  <w:abstractNum w:abstractNumId="150">
    <w:nsid w:val="327B517E"/>
    <w:multiLevelType w:val="hybridMultilevel"/>
    <w:lvl w:ilvl="0">
      <w:lvlJc w:val="left"/>
      <w:lvlText w:val="(%1)"/>
      <w:numFmt w:val="lowerLetter"/>
      <w:start w:val="2"/>
    </w:lvl>
  </w:abstractNum>
  <w:abstractNum w:abstractNumId="151">
    <w:nsid w:val="1F461B51"/>
    <w:multiLevelType w:val="hybridMultilevel"/>
    <w:lvl w:ilvl="0">
      <w:lvlJc w:val="left"/>
      <w:lvlText w:val="(%1)"/>
      <w:numFmt w:val="lowerLetter"/>
      <w:start w:val="1"/>
    </w:lvl>
  </w:abstractNum>
  <w:abstractNum w:abstractNumId="152">
    <w:nsid w:val="29BACF25"/>
    <w:multiLevelType w:val="hybridMultilevel"/>
    <w:lvl w:ilvl="0">
      <w:lvlJc w:val="left"/>
      <w:lvlText w:val="(%1)"/>
      <w:numFmt w:val="lowerLetter"/>
      <w:start w:val="1"/>
    </w:lvl>
  </w:abstractNum>
  <w:abstractNum w:abstractNumId="153">
    <w:nsid w:val="5D5BABB3"/>
    <w:multiLevelType w:val="hybridMultilevel"/>
    <w:lvl w:ilvl="0">
      <w:lvlJc w:val="left"/>
      <w:lvlText w:val="(%1)"/>
      <w:numFmt w:val="lowerLetter"/>
      <w:start w:val="1"/>
    </w:lvl>
  </w:abstractNum>
  <w:abstractNum w:abstractNumId="154">
    <w:nsid w:val="51BF6B48"/>
    <w:multiLevelType w:val="hybridMultilevel"/>
    <w:lvl w:ilvl="0">
      <w:lvlJc w:val="left"/>
      <w:lvlText w:val="(%1)"/>
      <w:numFmt w:val="lowerLetter"/>
      <w:start w:val="2"/>
    </w:lvl>
  </w:abstractNum>
  <w:abstractNum w:abstractNumId="155">
    <w:nsid w:val="7E0F6384"/>
    <w:multiLevelType w:val="hybridMultilevel"/>
    <w:lvl w:ilvl="0">
      <w:lvlJc w:val="left"/>
      <w:lvlText w:val="(%1)"/>
      <w:numFmt w:val="lowerLetter"/>
      <w:start w:val="1"/>
    </w:lvl>
  </w:abstractNum>
  <w:abstractNum w:abstractNumId="156">
    <w:nsid w:val="2B4B8B53"/>
    <w:multiLevelType w:val="hybridMultilevel"/>
    <w:lvl w:ilvl="0">
      <w:lvlJc w:val="left"/>
      <w:lvlText w:val="(%1)"/>
      <w:numFmt w:val="lowerLetter"/>
      <w:start w:val="1"/>
    </w:lvl>
  </w:abstractNum>
  <w:abstractNum w:abstractNumId="157">
    <w:nsid w:val="72E3413A"/>
    <w:multiLevelType w:val="hybridMultilevel"/>
    <w:lvl w:ilvl="0">
      <w:lvlJc w:val="left"/>
      <w:lvlText w:val="%1"/>
      <w:numFmt w:val="lowerLetter"/>
      <w:start w:val="1"/>
    </w:lvl>
    <w:lvl w:ilvl="1">
      <w:lvlJc w:val="left"/>
      <w:lvlText w:val="(%2)"/>
      <w:numFmt w:val="lowerRoman"/>
      <w:start w:val="1"/>
    </w:lvl>
  </w:abstractNum>
  <w:abstractNum w:abstractNumId="158">
    <w:nsid w:val="116AE494"/>
    <w:multiLevelType w:val="hybridMultilevel"/>
    <w:lvl w:ilvl="0">
      <w:lvlJc w:val="left"/>
      <w:lvlText w:val="(%1)"/>
      <w:numFmt w:val="lowerLetter"/>
      <w:start w:val="3"/>
    </w:lvl>
    <w:lvl w:ilvl="1">
      <w:lvlJc w:val="left"/>
      <w:lvlText w:val="%2"/>
      <w:numFmt w:val="lowerRoman"/>
      <w:start w:val="1"/>
    </w:lvl>
  </w:abstractNum>
  <w:abstractNum w:abstractNumId="159">
    <w:nsid w:val="3494B2FB"/>
    <w:multiLevelType w:val="hybridMultilevel"/>
    <w:lvl w:ilvl="0">
      <w:lvlJc w:val="left"/>
      <w:lvlText w:val="(%1)"/>
      <w:numFmt w:val="lowerLetter"/>
      <w:start w:val="6"/>
    </w:lvl>
  </w:abstractNum>
  <w:abstractNum w:abstractNumId="160">
    <w:nsid w:val="B13A31"/>
    <w:multiLevelType w:val="hybridMultilevel"/>
    <w:lvl w:ilvl="0">
      <w:lvlJc w:val="left"/>
      <w:lvlText w:val="(%1)"/>
      <w:numFmt w:val="lowerLetter"/>
      <w:start w:val="1"/>
    </w:lvl>
  </w:abstractNum>
  <w:abstractNum w:abstractNumId="161">
    <w:nsid w:val="64429599"/>
    <w:multiLevelType w:val="hybridMultilevel"/>
    <w:lvl w:ilvl="0">
      <w:lvlJc w:val="left"/>
      <w:lvlText w:val="(%1)"/>
      <w:numFmt w:val="lowerLetter"/>
      <w:start w:val="1"/>
    </w:lvl>
    <w:lvl w:ilvl="1">
      <w:lvlJc w:val="left"/>
      <w:lvlText w:val="(%2)"/>
      <w:numFmt w:val="lowerRoman"/>
      <w:start w:val="1"/>
    </w:lvl>
  </w:abstractNum>
  <w:abstractNum w:abstractNumId="162">
    <w:nsid w:val="631F1690"/>
    <w:multiLevelType w:val="hybridMultilevel"/>
    <w:lvl w:ilvl="0">
      <w:lvlJc w:val="left"/>
      <w:lvlText w:val="(%1)"/>
      <w:numFmt w:val="lowerRoman"/>
      <w:start w:val="8"/>
    </w:lvl>
  </w:abstractNum>
  <w:abstractNum w:abstractNumId="163">
    <w:nsid w:val="25973E32"/>
    <w:multiLevelType w:val="hybridMultilevel"/>
    <w:lvl w:ilvl="0">
      <w:lvlJc w:val="left"/>
      <w:lvlText w:val="(%1)"/>
      <w:numFmt w:val="lowerLetter"/>
      <w:start w:val="2"/>
    </w:lvl>
  </w:abstractNum>
  <w:abstractNum w:abstractNumId="164">
    <w:nsid w:val="EAD6F57"/>
    <w:multiLevelType w:val="hybridMultilevel"/>
    <w:lvl w:ilvl="0">
      <w:lvlJc w:val="left"/>
      <w:lvlText w:val="(%1)"/>
      <w:numFmt w:val="lowerLetter"/>
      <w:start w:val="3"/>
    </w:lvl>
  </w:abstractNum>
  <w:abstractNum w:abstractNumId="165">
    <w:nsid w:val="6EC9D844"/>
    <w:multiLevelType w:val="hybridMultilevel"/>
    <w:lvl w:ilvl="0">
      <w:lvlJc w:val="left"/>
      <w:lvlText w:val="%1"/>
      <w:numFmt w:val="lowerLetter"/>
      <w:start w:val="1"/>
    </w:lvl>
    <w:lvl w:ilvl="1">
      <w:lvlJc w:val="left"/>
      <w:lvlText w:val="(%2)"/>
      <w:numFmt w:val="lowerLetter"/>
      <w:start w:val="5"/>
    </w:lvl>
  </w:abstractNum>
  <w:abstractNum w:abstractNumId="166">
    <w:nsid w:val="5C49EAEE"/>
    <w:multiLevelType w:val="hybridMultilevel"/>
    <w:lvl w:ilvl="0">
      <w:lvlJc w:val="left"/>
      <w:lvlText w:val="(%1)"/>
      <w:numFmt w:val="lowerLetter"/>
      <w:start w:val="35"/>
    </w:lvl>
    <w:lvl w:ilvl="1">
      <w:lvlJc w:val="left"/>
      <w:lvlText w:val="%2"/>
      <w:numFmt w:val="lowerLetter"/>
      <w:start w:val="1"/>
    </w:lvl>
  </w:abstractNum>
  <w:abstractNum w:abstractNumId="167">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397C46BC"/>
    <w:multiLevelType w:val="hybridMultilevel"/>
    <w:lvl w:ilvl="0">
      <w:lvlJc w:val="left"/>
      <w:lvlText w:val="(%1)"/>
      <w:numFmt w:val="lowerRoman"/>
      <w:start w:val="2"/>
    </w:lvl>
    <w:lvl w:ilvl="1">
      <w:lvlJc w:val="left"/>
      <w:lvlText w:val="(%2)"/>
      <w:numFmt w:val="upperLetter"/>
      <w:start w:val="1"/>
    </w:lvl>
  </w:abstractNum>
  <w:abstractNum w:abstractNumId="169">
    <w:nsid w:val="7E448DE9"/>
    <w:multiLevelType w:val="hybridMultilevel"/>
    <w:lvl w:ilvl="0">
      <w:lvlJc w:val="left"/>
      <w:lvlText w:val="%1"/>
      <w:numFmt w:val="lowerRoman"/>
      <w:start w:val="1"/>
    </w:lvl>
    <w:lvl w:ilvl="1">
      <w:lvlJc w:val="left"/>
      <w:lvlText w:val="(%2)"/>
      <w:numFmt w:val="upperLetter"/>
      <w:start w:val="3"/>
    </w:lvl>
  </w:abstractNum>
  <w:abstractNum w:abstractNumId="170">
    <w:nsid w:val="5A9CC3E5"/>
    <w:multiLevelType w:val="hybridMultilevel"/>
    <w:lvl w:ilvl="0">
      <w:lvlJc w:val="left"/>
      <w:lvlText w:val="(%1)"/>
      <w:numFmt w:val="lowerRoman"/>
      <w:start w:val="4"/>
    </w:lvl>
    <w:lvl w:ilvl="1">
      <w:lvlJc w:val="left"/>
      <w:lvlText w:val="%2"/>
      <w:numFmt w:val="upperLetter"/>
      <w:start w:val="1"/>
    </w:lvl>
  </w:abstractNum>
  <w:abstractNum w:abstractNumId="171">
    <w:nsid w:val="1AFE3625"/>
    <w:multiLevelType w:val="hybridMultilevel"/>
    <w:lvl w:ilvl="0">
      <w:lvlJc w:val="left"/>
      <w:lvlText w:val="(%1)"/>
      <w:numFmt w:val="lowerLetter"/>
      <w:start w:val="3"/>
    </w:lvl>
  </w:abstractNum>
  <w:abstractNum w:abstractNumId="172">
    <w:nsid w:val="3CA88ECF"/>
    <w:multiLevelType w:val="hybridMultilevel"/>
    <w:lvl w:ilvl="0">
      <w:lvlJc w:val="left"/>
      <w:lvlText w:val="%1"/>
      <w:numFmt w:val="lowerLetter"/>
      <w:start w:val="1"/>
    </w:lvl>
    <w:lvl w:ilvl="1">
      <w:lvlJc w:val="left"/>
      <w:lvlText w:val="(%2)"/>
      <w:numFmt w:val="lowerLetter"/>
      <w:start w:val="5"/>
    </w:lvl>
  </w:abstractNum>
  <w:abstractNum w:abstractNumId="173">
    <w:nsid w:val="6EBE4208"/>
    <w:multiLevelType w:val="hybridMultilevel"/>
    <w:lvl w:ilvl="0">
      <w:lvlJc w:val="left"/>
      <w:lvlText w:val="(%1)"/>
      <w:numFmt w:val="lowerLetter"/>
      <w:start w:val="35"/>
    </w:lvl>
    <w:lvl w:ilvl="1">
      <w:lvlJc w:val="left"/>
      <w:lvlText w:val="%2"/>
      <w:numFmt w:val="lowerLetter"/>
      <w:start w:val="1"/>
    </w:lvl>
  </w:abstractNum>
  <w:abstractNum w:abstractNumId="174">
    <w:nsid w:val="C058DF5"/>
    <w:multiLevelType w:val="hybridMultilevel"/>
    <w:lvl w:ilvl="0">
      <w:lvlJc w:val="left"/>
      <w:lvlText w:val="(%1)"/>
      <w:numFmt w:val="lowerLetter"/>
      <w:start w:val="8"/>
    </w:lvl>
  </w:abstractNum>
  <w:abstractNum w:abstractNumId="175">
    <w:nsid w:val="CBE5BE9"/>
    <w:multiLevelType w:val="hybridMultilevel"/>
    <w:lvl w:ilvl="0">
      <w:lvlJc w:val="left"/>
      <w:lvlText w:val="(%1)"/>
      <w:numFmt w:val="lowerLetter"/>
      <w:start w:val="1"/>
    </w:lvl>
  </w:abstractNum>
  <w:abstractNum w:abstractNumId="176">
    <w:nsid w:val="3102BBE2"/>
    <w:multiLevelType w:val="hybridMultilevel"/>
    <w:lvl w:ilvl="0">
      <w:lvlJc w:val="left"/>
      <w:lvlText w:val="(%1)"/>
      <w:numFmt w:val="lowerLetter"/>
      <w:start w:val="2"/>
    </w:lvl>
  </w:abstractNum>
  <w:abstractNum w:abstractNumId="177">
    <w:nsid w:val="26A02C5E"/>
    <w:multiLevelType w:val="hybridMultilevel"/>
    <w:lvl w:ilvl="0">
      <w:lvlJc w:val="left"/>
      <w:lvlText w:val="(%1)"/>
      <w:numFmt w:val="lowerLetter"/>
      <w:start w:val="3"/>
    </w:lvl>
  </w:abstractNum>
  <w:abstractNum w:abstractNumId="178">
    <w:nsid w:val="541C8153"/>
    <w:multiLevelType w:val="hybridMultilevel"/>
    <w:lvl w:ilvl="0">
      <w:lvlJc w:val="left"/>
      <w:lvlText w:val="(%1)"/>
      <w:numFmt w:val="lowerLetter"/>
      <w:start w:val="2"/>
    </w:lvl>
    <w:lvl w:ilvl="1">
      <w:lvlJc w:val="left"/>
      <w:lvlText w:val="(%2)"/>
      <w:numFmt w:val="lowerRoman"/>
      <w:start w:val="1"/>
    </w:lvl>
  </w:abstractNum>
  <w:abstractNum w:abstractNumId="179">
    <w:nsid w:val="67906F60"/>
    <w:multiLevelType w:val="hybridMultilevel"/>
    <w:lvl w:ilvl="0">
      <w:lvlJc w:val="left"/>
      <w:lvlText w:val="%1"/>
      <w:numFmt w:val="upperLetter"/>
      <w:start w:val="1"/>
    </w:lvl>
    <w:lvl w:ilvl="1">
      <w:lvlJc w:val="left"/>
      <w:lvlText w:val="(%2)"/>
      <w:numFmt w:val="lowerRoman"/>
      <w:start w:val="4"/>
    </w:lvl>
  </w:abstractNum>
  <w:abstractNum w:abstractNumId="180">
    <w:nsid w:val="10DB9DAA"/>
    <w:multiLevelType w:val="hybridMultilevel"/>
    <w:lvl w:ilvl="0">
      <w:lvlJc w:val="left"/>
      <w:lvlText w:val="(%1)"/>
      <w:numFmt w:val="upperLetter"/>
      <w:start w:val="2"/>
    </w:lvl>
    <w:lvl w:ilvl="1">
      <w:lvlJc w:val="left"/>
      <w:lvlText w:val="%2"/>
      <w:numFmt w:val="lowerRoman"/>
      <w:start w:val="1"/>
    </w:lvl>
  </w:abstractNum>
  <w:abstractNum w:abstractNumId="181">
    <w:nsid w:val="697D2D2"/>
    <w:multiLevelType w:val="hybridMultilevel"/>
    <w:lvl w:ilvl="0">
      <w:lvlJc w:val="left"/>
      <w:lvlText w:val="(%1)"/>
      <w:numFmt w:val="upperLetter"/>
      <w:start w:val="6"/>
    </w:lvl>
    <w:lvl w:ilvl="1">
      <w:lvlJc w:val="left"/>
      <w:lvlText w:val="(%2)"/>
      <w:numFmt w:val="lowerRoman"/>
      <w:start w:val="5"/>
    </w:lvl>
  </w:abstractNum>
  <w:abstractNum w:abstractNumId="182">
    <w:nsid w:val="6D68AB2"/>
    <w:multiLevelType w:val="hybridMultilevel"/>
    <w:lvl w:ilvl="0">
      <w:lvlJc w:val="left"/>
      <w:lvlText w:val="(%1)"/>
      <w:numFmt w:val="lowerRoman"/>
      <w:start w:val="7"/>
    </w:lvl>
  </w:abstractNum>
  <w:abstractNum w:abstractNumId="183">
    <w:nsid w:val="3A966CD0"/>
    <w:multiLevelType w:val="hybridMultilevel"/>
    <w:lvl w:ilvl="0">
      <w:lvlJc w:val="left"/>
      <w:lvlText w:val="(%1)"/>
      <w:numFmt w:val="lowerLetter"/>
      <w:start w:val="2"/>
    </w:lvl>
  </w:abstractNum>
  <w:abstractNum w:abstractNumId="184">
    <w:nsid w:val="63F37E85"/>
    <w:multiLevelType w:val="hybridMultilevel"/>
    <w:lvl w:ilvl="0">
      <w:lvlJc w:val="left"/>
      <w:lvlText w:val="(%1)"/>
      <w:numFmt w:val="lowerLetter"/>
      <w:start w:val="2"/>
    </w:lvl>
  </w:abstractNum>
  <w:abstractNum w:abstractNumId="185">
    <w:nsid w:val="5895F5FA"/>
    <w:multiLevelType w:val="hybridMultilevel"/>
    <w:lvl w:ilvl="0">
      <w:lvlJc w:val="left"/>
      <w:lvlText w:val="(%1)"/>
      <w:numFmt w:val="lowerLetter"/>
      <w:start w:val="1"/>
    </w:lvl>
  </w:abstractNum>
  <w:abstractNum w:abstractNumId="186">
    <w:nsid w:val="38A5D0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7">
    <w:nsid w:val="F3F09D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88">
    <w:nsid w:val="4B793735"/>
    <w:multiLevelType w:val="hybridMultilevel"/>
    <w:lvl w:ilvl="0">
      <w:lvlJc w:val="left"/>
      <w:lvlText w:val="(%1)"/>
      <w:numFmt w:val="lowerLetter"/>
      <w:start w:val="5"/>
    </w:lvl>
  </w:abstractNum>
  <w:abstractNum w:abstractNumId="189">
    <w:nsid w:val="4A10B4E8"/>
    <w:multiLevelType w:val="hybridMultilevel"/>
    <w:lvl w:ilvl="0">
      <w:lvlJc w:val="left"/>
      <w:lvlText w:val="(%1)"/>
      <w:numFmt w:val="lowerRoman"/>
      <w:start w:val="1"/>
    </w:lvl>
  </w:abstractNum>
  <w:abstractNum w:abstractNumId="190">
    <w:nsid w:val="43D3BCD4"/>
    <w:multiLevelType w:val="hybridMultilevel"/>
    <w:lvl w:ilvl="0">
      <w:lvlJc w:val="left"/>
      <w:lvlText w:val="1"/>
      <w:numFmt w:val="bullet"/>
      <w:start w:val="1"/>
    </w:lvl>
  </w:abstractNum>
  <w:abstractNum w:abstractNumId="191">
    <w:nsid w:val="4C2A7166"/>
    <w:multiLevelType w:val="hybridMultilevel"/>
    <w:lvl w:ilvl="0">
      <w:lvlJc w:val="left"/>
      <w:lvlText w:val="2"/>
      <w:numFmt w:val="bullet"/>
      <w:start w:val="1"/>
    </w:lvl>
  </w:abstractNum>
  <w:abstractNum w:abstractNumId="192">
    <w:nsid w:val="2E534A82"/>
    <w:multiLevelType w:val="hybridMultilevel"/>
    <w:lvl w:ilvl="0">
      <w:lvlJc w:val="left"/>
      <w:lvlText w:val="3"/>
      <w:numFmt w:val="bullet"/>
      <w:start w:val="1"/>
    </w:lvl>
  </w:abstractNum>
  <w:abstractNum w:abstractNumId="193">
    <w:nsid w:val="26F2D364"/>
    <w:multiLevelType w:val="hybridMultilevel"/>
    <w:lvl w:ilvl="0">
      <w:lvlJc w:val="left"/>
      <w:lvlText w:val="4"/>
      <w:numFmt w:val="bullet"/>
      <w:start w:val="1"/>
    </w:lvl>
  </w:abstractNum>
  <w:abstractNum w:abstractNumId="194">
    <w:nsid w:val="71C1AF98"/>
    <w:multiLevelType w:val="hybridMultilevel"/>
    <w:lvl w:ilvl="0">
      <w:lvlJc w:val="left"/>
      <w:lvlText w:val="%1."/>
      <w:numFmt w:val="decimal"/>
      <w:start w:val="6"/>
    </w:lvl>
  </w:abstractNum>
  <w:abstractNum w:abstractNumId="195">
    <w:nsid w:val="3D00B9D9"/>
    <w:multiLevelType w:val="hybridMultilevel"/>
    <w:lvl w:ilvl="0">
      <w:lvlJc w:val="left"/>
      <w:lvlText w:val="5"/>
      <w:numFmt w:val="bullet"/>
      <w:start w:val="1"/>
    </w:lvl>
  </w:abstractNum>
  <w:abstractNum w:abstractNumId="196">
    <w:nsid w:val="15BCABA8"/>
    <w:multiLevelType w:val="hybridMultilevel"/>
    <w:lvl w:ilvl="0">
      <w:lvlJc w:val="left"/>
      <w:lvlText w:val="6"/>
      <w:numFmt w:val="bullet"/>
      <w:start w:val="1"/>
    </w:lvl>
  </w:abstractNum>
  <w:abstractNum w:abstractNumId="197">
    <w:nsid w:val="4E0B9A87"/>
    <w:multiLevelType w:val="hybridMultilevel"/>
    <w:lvl w:ilvl="0">
      <w:lvlJc w:val="left"/>
      <w:lvlText w:val="%1"/>
      <w:numFmt w:val="decimal"/>
      <w:start w:val="10"/>
    </w:lvl>
  </w:abstractNum>
  <w:abstractNum w:abstractNumId="198">
    <w:nsid w:val="434BAE75"/>
    <w:multiLevelType w:val="hybridMultilevel"/>
    <w:lvl w:ilvl="0">
      <w:lvlJc w:val="left"/>
      <w:lvlText w:val="%1"/>
      <w:numFmt w:val="decimal"/>
      <w:start w:val="11"/>
    </w:lvl>
  </w:abstractNum>
  <w:abstractNum w:abstractNumId="199">
    <w:nsid w:val="4F38F265"/>
    <w:multiLevelType w:val="hybridMultilevel"/>
    <w:lvl w:ilvl="0">
      <w:lvlJc w:val="left"/>
      <w:lvlText w:val="%1."/>
      <w:numFmt w:val="decimal"/>
      <w:start w:val="1"/>
    </w:lvl>
  </w:abstractNum>
  <w:abstractNum w:abstractNumId="200">
    <w:nsid w:val="4C502870"/>
    <w:multiLevelType w:val="hybridMultilevel"/>
    <w:lvl w:ilvl="0">
      <w:lvlJc w:val="left"/>
      <w:lvlText w:val="%1."/>
      <w:numFmt w:val="decimal"/>
      <w:start w:val="2"/>
    </w:lvl>
  </w:abstractNum>
  <w:abstractNum w:abstractNumId="201">
    <w:nsid w:val="1DE8725A"/>
    <w:multiLevelType w:val="hybridMultilevel"/>
    <w:lvl w:ilvl="0">
      <w:lvlJc w:val="left"/>
      <w:lvlText w:val="(%1)"/>
      <w:numFmt w:val="upperLetter"/>
      <w:start w:val="1"/>
    </w:lvl>
  </w:abstractNum>
  <w:abstractNum w:abstractNumId="202">
    <w:nsid w:val="6A37288A"/>
    <w:multiLevelType w:val="hybridMultilevel"/>
    <w:lvl w:ilvl="0">
      <w:lvlJc w:val="left"/>
      <w:lvlText w:val="(%1)"/>
      <w:numFmt w:val="upperLetter"/>
      <w:start w:val="2"/>
    </w:lvl>
  </w:abstractNum>
  <w:abstractNum w:abstractNumId="203">
    <w:nsid w:val="8F8B73F"/>
    <w:multiLevelType w:val="hybridMultilevel"/>
    <w:lvl w:ilvl="0">
      <w:lvlJc w:val="left"/>
      <w:lvlText w:val="(%1)"/>
      <w:numFmt w:val="upperLetter"/>
      <w:start w:val="5"/>
    </w:lvl>
  </w:abstractNum>
  <w:abstractNum w:abstractNumId="204">
    <w:nsid w:val="CA6B462"/>
    <w:multiLevelType w:val="hybridMultilevel"/>
    <w:lvl w:ilvl="0">
      <w:lvlJc w:val="left"/>
      <w:lvlText w:val="1"/>
      <w:numFmt w:val="bullet"/>
      <w:start w:val="1"/>
    </w:lvl>
  </w:abstractNum>
  <w:abstractNum w:abstractNumId="205">
    <w:nsid w:val="763CB680"/>
    <w:multiLevelType w:val="hybridMultilevel"/>
    <w:lvl w:ilvl="0">
      <w:lvlJc w:val="left"/>
      <w:lvlText w:val="2"/>
      <w:numFmt w:val="bullet"/>
      <w:start w:val="1"/>
    </w:lvl>
  </w:abstractNum>
  <w:abstractNum w:abstractNumId="206">
    <w:nsid w:val="15B71329"/>
    <w:multiLevelType w:val="hybridMultilevel"/>
    <w:lvl w:ilvl="0">
      <w:lvlJc w:val="left"/>
      <w:lvlText w:val="3"/>
      <w:numFmt w:val="bullet"/>
      <w:start w:val="1"/>
    </w:lvl>
  </w:abstractNum>
  <w:abstractNum w:abstractNumId="207">
    <w:nsid w:val="3DA97044"/>
    <w:multiLevelType w:val="hybridMultilevel"/>
    <w:lvl w:ilvl="0">
      <w:lvlJc w:val="left"/>
      <w:lvlText w:val="4"/>
      <w:numFmt w:val="bullet"/>
      <w:start w:val="1"/>
    </w:lvl>
  </w:abstractNum>
  <w:abstractNum w:abstractNumId="208">
    <w:nsid w:val="1CDCE2DE"/>
    <w:multiLevelType w:val="hybridMultilevel"/>
    <w:lvl w:ilvl="0">
      <w:lvlJc w:val="left"/>
      <w:lvlText w:val="(%1)"/>
      <w:numFmt w:val="upperLetter"/>
      <w:start w:val="1"/>
    </w:lvl>
  </w:abstractNum>
  <w:abstractNum w:abstractNumId="209">
    <w:nsid w:val="69D3947C"/>
    <w:multiLevelType w:val="hybridMultilevel"/>
    <w:lvl w:ilvl="0">
      <w:lvlJc w:val="left"/>
      <w:lvlText w:val="(%1)"/>
      <w:numFmt w:val="upperLetter"/>
      <w:start w:val="2"/>
    </w:lvl>
  </w:abstractNum>
  <w:abstractNum w:abstractNumId="210">
    <w:nsid w:val="2539DFA5"/>
    <w:multiLevelType w:val="hybridMultilevel"/>
    <w:lvl w:ilvl="0">
      <w:lvlJc w:val="left"/>
      <w:lvlText w:val="(%1)"/>
      <w:numFmt w:val="upperLetter"/>
      <w:start w:val="3"/>
    </w:lvl>
  </w:abstractNum>
  <w:abstractNum w:abstractNumId="211">
    <w:nsid w:val="2DB88089"/>
    <w:multiLevelType w:val="hybridMultilevel"/>
    <w:lvl w:ilvl="0">
      <w:lvlJc w:val="left"/>
      <w:lvlText w:val="1"/>
      <w:numFmt w:val="bullet"/>
      <w:start w:val="1"/>
    </w:lvl>
  </w:abstractNum>
  <w:abstractNum w:abstractNumId="212">
    <w:nsid w:val="706B674E"/>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2019-12-09T04:40:19Z</dcterms:created>
  <dcterms:modified xsi:type="dcterms:W3CDTF">2019-12-09T04:40:19Z</dcterms:modified>
</cp:coreProperties>
</file>