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jc w:val="center"/>
              <w:ind w:right="27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75"/>
              <w:spacing w:after="0" w:line="13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-635635</wp:posOffset>
            </wp:positionV>
            <wp:extent cx="58420" cy="648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97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-635635</wp:posOffset>
            </wp:positionV>
            <wp:extent cx="58420" cy="648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97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4249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2494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Steininger Frank</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02/23/2016</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20" w:firstLine="5"/>
        <w:spacing w:after="0" w:line="242"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15"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95"/>
        <w:spacing w:after="0"/>
        <w:rPr>
          <w:sz w:val="20"/>
          <w:szCs w:val="20"/>
          <w:color w:val="auto"/>
        </w:rPr>
      </w:pPr>
      <w:r>
        <w:rPr>
          <w:rFonts w:ascii="Arial" w:cs="Arial" w:eastAsia="Arial" w:hAnsi="Arial"/>
          <w:sz w:val="17"/>
          <w:szCs w:val="17"/>
          <w:color w:val="0000FF"/>
        </w:rPr>
        <w:t>See Remarks</w:t>
      </w:r>
    </w:p>
    <w:p>
      <w:pPr>
        <w:spacing w:after="0" w:line="317" w:lineRule="exact"/>
        <w:rPr>
          <w:sz w:val="24"/>
          <w:szCs w:val="24"/>
          <w:color w:val="auto"/>
        </w:rPr>
      </w:pPr>
    </w:p>
    <w:p>
      <w:pPr>
        <w:sectPr>
          <w:pgSz w:w="11900" w:h="16838" w:orient="portrait"/>
          <w:cols w:equalWidth="0" w:num="3">
            <w:col w:w="3340" w:space="720"/>
            <w:col w:w="3265" w:space="720"/>
            <w:col w:w="3475"/>
          </w:cols>
          <w:pgMar w:left="240" w:top="223"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4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3"/>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4"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900" w:space="160"/>
            <w:col w:w="746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tcPr>
          <w:p>
            <w:pPr>
              <w:ind w:left="8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ind w:left="8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ind w:left="8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1"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1"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2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Disposed of</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02/23/2016</w:t>
            </w:r>
          </w:p>
        </w:tc>
        <w:tc>
          <w:tcPr>
            <w:tcW w:w="1120" w:type="dxa"/>
            <w:vAlign w:val="bottom"/>
          </w:tcPr>
          <w:p>
            <w:pPr>
              <w:spacing w:after="0"/>
              <w:rPr>
                <w:sz w:val="21"/>
                <w:szCs w:val="21"/>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Pr>
          <w:p>
            <w:pPr>
              <w:ind w:left="80"/>
              <w:spacing w:after="0"/>
              <w:rPr>
                <w:sz w:val="20"/>
                <w:szCs w:val="20"/>
                <w:color w:val="auto"/>
              </w:rPr>
            </w:pPr>
            <w:r>
              <w:rPr>
                <w:rFonts w:ascii="Arial" w:cs="Arial" w:eastAsia="Arial" w:hAnsi="Arial"/>
                <w:sz w:val="13"/>
                <w:szCs w:val="13"/>
                <w:color w:val="0000FF"/>
              </w:rPr>
              <w:t>194,445</w:t>
            </w:r>
            <w:r>
              <w:rPr>
                <w:rFonts w:ascii="Arial" w:cs="Arial" w:eastAsia="Arial" w:hAnsi="Arial"/>
                <w:sz w:val="21"/>
                <w:szCs w:val="21"/>
                <w:color w:val="008000"/>
                <w:vertAlign w:val="superscript"/>
              </w:rPr>
              <w:t>(1)</w:t>
            </w:r>
          </w:p>
        </w:tc>
        <w:tc>
          <w:tcPr>
            <w:tcW w:w="24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jc w:val="right"/>
              <w:ind w:right="223"/>
              <w:spacing w:after="0"/>
              <w:rPr>
                <w:sz w:val="20"/>
                <w:szCs w:val="20"/>
                <w:color w:val="auto"/>
              </w:rPr>
            </w:pPr>
            <w:r>
              <w:rPr>
                <w:rFonts w:ascii="Arial" w:cs="Arial" w:eastAsia="Arial" w:hAnsi="Arial"/>
                <w:sz w:val="11"/>
                <w:szCs w:val="11"/>
                <w:color w:val="008000"/>
              </w:rPr>
              <w:t>(1)</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194,445</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260"/>
              <w:spacing w:after="0"/>
              <w:rPr>
                <w:sz w:val="20"/>
                <w:szCs w:val="20"/>
                <w:color w:val="auto"/>
              </w:rPr>
            </w:pPr>
            <w:r>
              <w:rPr>
                <w:rFonts w:ascii="Arial" w:cs="Arial" w:eastAsia="Arial" w:hAnsi="Arial"/>
                <w:sz w:val="13"/>
                <w:szCs w:val="13"/>
                <w:color w:val="0000FF"/>
              </w:rPr>
              <w:t>194,445</w:t>
            </w: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Shares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3"/>
                <w:szCs w:val="13"/>
                <w:color w:val="0000FF"/>
              </w:rPr>
              <w:t>Shares</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64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share award under the 2014 Equity Participation Plan of Civeo Corporation that vests in equal installments on each of the first three anniversaries of February 23, 2016. Each phantom share is the economic equivalent of one Civeo Corporation common share and is payable in cash.</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Chief Financial Officer and Treasurer</w:t>
      </w:r>
    </w:p>
    <w:p>
      <w:pPr>
        <w:spacing w:after="0" w:line="73"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Frank C. Steininger,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-10160</wp:posOffset>
            </wp:positionV>
            <wp:extent cx="1136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Bradley J. Dodson, as Attorney- 02/25/2016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-13970</wp:posOffset>
            </wp:positionV>
            <wp:extent cx="19475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754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-13970</wp:posOffset>
            </wp:positionV>
            <wp:extent cx="306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6070" cy="8255"/>
                    </a:xfrm>
                    <a:prstGeom prst="rect">
                      <a:avLst/>
                    </a:prstGeom>
                    <a:noFill/>
                  </pic:spPr>
                </pic:pic>
              </a:graphicData>
            </a:graphic>
          </wp:anchor>
        </w:drawing>
      </w:r>
    </w:p>
    <w:p>
      <w:pPr>
        <w:spacing w:after="0" w:line="4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9145"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2019-12-08T23:36:22Z</dcterms:created>
  <dcterms:modified xsi:type="dcterms:W3CDTF">2019-12-08T23:36:22Z</dcterms:modified>
</cp:coreProperties>
</file>