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Civeo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17878Y207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MARC S. DIAGONALE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CHIEF FINANCIAL OFFICER, C/O ENGINE CAPITAL MANAGEMENT, LP</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10105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212-321-0048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Engine Capital, 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878,258.00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878,258.00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878,258.00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Jet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88,607.00</w:t>
            </w: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88,607.00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88,607.00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0.6 %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Lift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90,432.00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90,432.00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90,432.00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1,057,297.00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1,057,297.00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1,057,297.00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1,057,297.00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1,057,297.00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1,057,297.00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5" w:name="page6"/>
    <w:bookmarkEnd w:id="5"/>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966,865.00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966,865.00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966,865.00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Investments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90,432.00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40"/>
        <w:spacing w:after="0"/>
        <w:rPr>
          <w:sz w:val="20"/>
          <w:szCs w:val="20"/>
          <w:color w:val="auto"/>
        </w:rPr>
      </w:pPr>
      <w:r>
        <w:rPr>
          <w:rFonts w:ascii="Times New Roman" w:cs="Times New Roman" w:eastAsia="Times New Roman" w:hAnsi="Times New Roman"/>
          <w:sz w:val="22"/>
          <w:szCs w:val="22"/>
          <w:color w:val="auto"/>
        </w:rPr>
        <w:t>90,432.00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90,432.00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Ajdler Arnaud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BELGIUM</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1,057,297.00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1,057,297.00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1,057,297.00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02"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02" w:right="1440" w:bottom="0" w:gutter="0" w:footer="0" w:header="0"/>
          <w:type w:val="continuous"/>
        </w:sectPr>
      </w:pPr>
    </w:p>
    <w:bookmarkStart w:id="7" w:name="page8"/>
    <w:bookmarkEnd w:id="7"/>
    <w:p>
      <w:pPr>
        <w:spacing w:after="0" w:line="107" w:lineRule="exact"/>
        <w:rPr>
          <w:sz w:val="20"/>
          <w:szCs w:val="20"/>
          <w:color w:val="auto"/>
        </w:rPr>
      </w:pPr>
    </w:p>
    <w:p>
      <w:pPr>
        <w:ind w:left="1120" w:right="5540" w:hanging="1112"/>
        <w:spacing w:after="0" w:line="371" w:lineRule="auto"/>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7.7 %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Civeo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right="2060" w:firstLine="932"/>
        <w:spacing w:after="0" w:line="283" w:lineRule="auto"/>
        <w:rPr>
          <w:sz w:val="20"/>
          <w:szCs w:val="20"/>
          <w:color w:val="auto"/>
        </w:rPr>
      </w:pPr>
      <w:r>
        <w:rPr>
          <w:rFonts w:ascii="Times New Roman" w:cs="Times New Roman" w:eastAsia="Times New Roman" w:hAnsi="Times New Roman"/>
          <w:sz w:val="22"/>
          <w:szCs w:val="22"/>
          <w:color w:val="auto"/>
        </w:rPr>
        <w:t>THREE ALLEN CENTER, 333 CLAY STREET, SUITE 4400, HOUSTON, TEXAS , 77002. Item 2. Identity and Background</w:t>
      </w:r>
    </w:p>
    <w:p>
      <w:pPr>
        <w:jc w:val="both"/>
        <w:ind w:left="940" w:right="60"/>
        <w:spacing w:after="0" w:line="249" w:lineRule="auto"/>
        <w:rPr>
          <w:sz w:val="20"/>
          <w:szCs w:val="20"/>
          <w:color w:val="auto"/>
        </w:rPr>
      </w:pPr>
      <w:r>
        <w:rPr>
          <w:rFonts w:ascii="Times New Roman" w:cs="Times New Roman" w:eastAsia="Times New Roman" w:hAnsi="Times New Roman"/>
          <w:sz w:val="21"/>
          <w:szCs w:val="21"/>
          <w:color w:val="auto"/>
        </w:rPr>
        <w:t>This statement is filed by: (i) Engine Capital, L.P., a Delaware limited partnership ("Engine Capital"), with respect to the Common Shares, no par value (the "Shares"), directly and beneficially owned by it; (ii) Engine Jet Capital, L.P., a Delaware limited partnership ("Engine Jet"), with respect to the Shares directly and beneficially owned by it; (iii)</w:t>
      </w:r>
    </w:p>
    <w:p>
      <w:pPr>
        <w:spacing w:after="0" w:line="1" w:lineRule="exact"/>
        <w:rPr>
          <w:sz w:val="20"/>
          <w:szCs w:val="20"/>
          <w:color w:val="auto"/>
        </w:rPr>
      </w:pPr>
    </w:p>
    <w:p>
      <w:pPr>
        <w:ind w:left="940" w:right="120"/>
        <w:spacing w:after="0" w:line="241" w:lineRule="auto"/>
        <w:rPr>
          <w:sz w:val="20"/>
          <w:szCs w:val="20"/>
          <w:color w:val="auto"/>
        </w:rPr>
      </w:pPr>
      <w:r>
        <w:rPr>
          <w:rFonts w:ascii="Times New Roman" w:cs="Times New Roman" w:eastAsia="Times New Roman" w:hAnsi="Times New Roman"/>
          <w:sz w:val="21"/>
          <w:szCs w:val="21"/>
          <w:color w:val="auto"/>
        </w:rPr>
        <w:t>Engine Lift Capital, LP, a Delaware limited partnership ("Engine Lift"), with respect to the Shares directly and beneficially owned by it; (iv) Engine Capital Management, LP, a Delaware limited partnership ("Engine Management"), as the investment manager of each of Engine Capital, Engine Jet and Engine Lift; (v) Engine Capital</w:t>
      </w:r>
    </w:p>
    <w:p>
      <w:pPr>
        <w:spacing w:after="0" w:line="2" w:lineRule="exact"/>
        <w:rPr>
          <w:sz w:val="20"/>
          <w:szCs w:val="20"/>
          <w:color w:val="auto"/>
        </w:rPr>
      </w:pPr>
    </w:p>
    <w:p>
      <w:pPr>
        <w:ind w:left="940" w:hanging="932"/>
        <w:spacing w:after="0" w:line="207" w:lineRule="auto"/>
        <w:tabs>
          <w:tab w:leader="none" w:pos="94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Management GP, LLC, a Delaware limited liability company ("Engine GP"), as the general partner of Engine Management; (vi) Engine Investments, LLC, a Delaware limited liability company ("Engine Investments"), as the general partner of each of Engine Capital and Engine Jet; (vii) Engine Investments II, LLC, a Delaware limited liability company ("Engine Investments II"), as the general partner of Engine Lift; and (viii) Arnaud Ajdler, as the managing partner of Engine Management and the managing member of each of Engine GP, Engine Investments and Engine Investments II. 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20" w:lineRule="exact"/>
        <w:rPr>
          <w:rFonts w:ascii="Times New Roman" w:cs="Times New Roman" w:eastAsia="Times New Roman" w:hAnsi="Times New Roman"/>
          <w:sz w:val="43"/>
          <w:szCs w:val="43"/>
          <w:color w:val="auto"/>
          <w:vertAlign w:val="subscript"/>
        </w:rPr>
      </w:pPr>
    </w:p>
    <w:p>
      <w:pPr>
        <w:ind w:left="9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principal business address of each of Engine Capital, Engine Jet, Engine Lift, Engine Management, Engine GP,</w:t>
      </w:r>
    </w:p>
    <w:p>
      <w:pPr>
        <w:spacing w:after="0" w:line="25" w:lineRule="exact"/>
        <w:rPr>
          <w:rFonts w:ascii="Times New Roman" w:cs="Times New Roman" w:eastAsia="Times New Roman" w:hAnsi="Times New Roman"/>
          <w:sz w:val="43"/>
          <w:szCs w:val="43"/>
          <w:color w:val="auto"/>
          <w:vertAlign w:val="subscript"/>
        </w:rPr>
      </w:pPr>
    </w:p>
    <w:p>
      <w:pPr>
        <w:ind w:left="940" w:right="320" w:hanging="932"/>
        <w:spacing w:after="0" w:line="237" w:lineRule="auto"/>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Engine Investments, Engine Investments II and Mr. Ajdler is 1345 Avenue of the Americas, 2nd Floor, New York, New York 10105.</w:t>
      </w:r>
    </w:p>
    <w:p>
      <w:pPr>
        <w:spacing w:after="0" w:line="16" w:lineRule="exact"/>
        <w:rPr>
          <w:rFonts w:ascii="Times New Roman" w:cs="Times New Roman" w:eastAsia="Times New Roman" w:hAnsi="Times New Roman"/>
          <w:sz w:val="22"/>
          <w:szCs w:val="22"/>
          <w:color w:val="auto"/>
        </w:rPr>
      </w:pPr>
    </w:p>
    <w:p>
      <w:pPr>
        <w:ind w:left="940" w:right="40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principal business of each of Engine Capital, Engine Jet and Engine Lift is investing in securities. Engine Management serves as the investment manager of each of Engine Capital, Engine Jet and Engine Lift. Engine GP</w:t>
      </w:r>
    </w:p>
    <w:p>
      <w:pPr>
        <w:ind w:left="940" w:hanging="932"/>
        <w:spacing w:after="0" w:line="189" w:lineRule="auto"/>
        <w:tabs>
          <w:tab w:leader="none" w:pos="94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serves as the general partner of Engine Management. Engine Investments serves as the general partner of each of Engine Capital and Engine Jet. Engine Investments II serves as the general partner of Engine Lift. Mr. Ajdler serves as the managing partner of Engine Management and the managing member of each of Engine GP, Engine Investments and Engine Investments II.</w:t>
      </w:r>
    </w:p>
    <w:p>
      <w:pPr>
        <w:spacing w:after="0" w:line="14" w:lineRule="exact"/>
        <w:rPr>
          <w:rFonts w:ascii="Times New Roman" w:cs="Times New Roman" w:eastAsia="Times New Roman" w:hAnsi="Times New Roman"/>
          <w:sz w:val="43"/>
          <w:szCs w:val="43"/>
          <w:color w:val="auto"/>
          <w:vertAlign w:val="subscript"/>
        </w:rPr>
      </w:pPr>
    </w:p>
    <w:p>
      <w:pPr>
        <w:ind w:left="940" w:right="660" w:hanging="932"/>
        <w:spacing w:after="0" w:line="185" w:lineRule="auto"/>
        <w:tabs>
          <w:tab w:leader="none" w:pos="94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Reporting Person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 Reporting Person has, during the last five years, been party to a civil proceeding of a judicial or administrative</w:t>
      </w:r>
    </w:p>
    <w:p>
      <w:pPr>
        <w:spacing w:after="0" w:line="14" w:lineRule="exact"/>
        <w:rPr>
          <w:rFonts w:ascii="Times New Roman" w:cs="Times New Roman" w:eastAsia="Times New Roman" w:hAnsi="Times New Roman"/>
          <w:sz w:val="39"/>
          <w:szCs w:val="39"/>
          <w:color w:val="auto"/>
          <w:vertAlign w:val="subscript"/>
        </w:rPr>
      </w:pPr>
    </w:p>
    <w:p>
      <w:pPr>
        <w:ind w:left="940" w:hanging="932"/>
        <w:spacing w:after="0" w:line="184" w:lineRule="auto"/>
        <w:tabs>
          <w:tab w:leader="none" w:pos="94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Ajdler is a citizen of Belgium.</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Shares purchased by each of Engine Capital, Engine Jet and Engine Lift were purchased with working capital</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(which may, at any given time, include margin loans made by brokerage firms in the ordinary course of business).</w:t>
      </w:r>
    </w:p>
    <w:p>
      <w:pPr>
        <w:ind w:left="940"/>
        <w:spacing w:after="0" w:line="230" w:lineRule="auto"/>
        <w:rPr>
          <w:sz w:val="20"/>
          <w:szCs w:val="20"/>
          <w:color w:val="auto"/>
        </w:rPr>
      </w:pPr>
      <w:r>
        <w:rPr>
          <w:rFonts w:ascii="Times New Roman" w:cs="Times New Roman" w:eastAsia="Times New Roman" w:hAnsi="Times New Roman"/>
          <w:sz w:val="22"/>
          <w:szCs w:val="22"/>
          <w:color w:val="auto"/>
        </w:rPr>
        <w:t>The aggregate purchase price of the 878,258 Shares beneficially owned by Engine Capital is approximately</w:t>
      </w:r>
    </w:p>
    <w:p>
      <w:pPr>
        <w:ind w:left="940"/>
        <w:spacing w:after="0" w:line="231" w:lineRule="auto"/>
        <w:rPr>
          <w:sz w:val="20"/>
          <w:szCs w:val="20"/>
          <w:color w:val="auto"/>
        </w:rPr>
      </w:pPr>
      <w:r>
        <w:rPr>
          <w:rFonts w:ascii="Times New Roman" w:cs="Times New Roman" w:eastAsia="Times New Roman" w:hAnsi="Times New Roman"/>
          <w:sz w:val="22"/>
          <w:szCs w:val="22"/>
          <w:color w:val="auto"/>
        </w:rPr>
        <w:t>$21,186,234, including brokerage commissions. The aggregate purchase price of the 88,607 Shares beneficially</w:t>
      </w:r>
    </w:p>
    <w:p>
      <w:pPr>
        <w:ind w:left="940"/>
        <w:spacing w:after="0" w:line="230" w:lineRule="auto"/>
        <w:rPr>
          <w:sz w:val="20"/>
          <w:szCs w:val="20"/>
          <w:color w:val="auto"/>
        </w:rPr>
      </w:pPr>
      <w:r>
        <w:rPr>
          <w:rFonts w:ascii="Times New Roman" w:cs="Times New Roman" w:eastAsia="Times New Roman" w:hAnsi="Times New Roman"/>
          <w:sz w:val="22"/>
          <w:szCs w:val="22"/>
          <w:color w:val="auto"/>
        </w:rPr>
        <w:t>owned by Engine Jet is approximately $2,137,724, including brokerage commissions. The aggregate purchase price</w:t>
      </w:r>
    </w:p>
    <w:p>
      <w:pPr>
        <w:ind w:left="940"/>
        <w:spacing w:after="0" w:line="231" w:lineRule="auto"/>
        <w:rPr>
          <w:sz w:val="20"/>
          <w:szCs w:val="20"/>
          <w:color w:val="auto"/>
        </w:rPr>
      </w:pPr>
      <w:r>
        <w:rPr>
          <w:rFonts w:ascii="Times New Roman" w:cs="Times New Roman" w:eastAsia="Times New Roman" w:hAnsi="Times New Roman"/>
          <w:sz w:val="22"/>
          <w:szCs w:val="22"/>
          <w:color w:val="auto"/>
        </w:rPr>
        <w:t>of the 90,432 Shares beneficially owned by Engine Lift is approximately $2,182,204, including brokerage</w:t>
      </w:r>
    </w:p>
    <w:p>
      <w:pPr>
        <w:ind w:left="940"/>
        <w:spacing w:after="0"/>
        <w:rPr>
          <w:sz w:val="20"/>
          <w:szCs w:val="20"/>
          <w:color w:val="auto"/>
        </w:rPr>
      </w:pPr>
      <w:r>
        <w:rPr>
          <w:rFonts w:ascii="Times New Roman" w:cs="Times New Roman" w:eastAsia="Times New Roman" w:hAnsi="Times New Roman"/>
          <w:sz w:val="22"/>
          <w:szCs w:val="22"/>
          <w:color w:val="auto"/>
        </w:rPr>
        <w:t>commissions.</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380"/>
        <w:spacing w:after="0" w:line="282" w:lineRule="auto"/>
        <w:rPr>
          <w:sz w:val="20"/>
          <w:szCs w:val="20"/>
          <w:color w:val="auto"/>
        </w:rPr>
      </w:pPr>
      <w:r>
        <w:rPr>
          <w:rFonts w:ascii="Times New Roman" w:cs="Times New Roman" w:eastAsia="Times New Roman" w:hAnsi="Times New Roman"/>
          <w:sz w:val="21"/>
          <w:szCs w:val="21"/>
          <w:color w:val="auto"/>
        </w:rPr>
        <w:t>The Reporting Persons purchased the Shares based on their belief that the Shares, when purchased, constituted an attractive investment opportunity. Depending upon overall market conditions, other investment opportunities</w:t>
      </w:r>
    </w:p>
    <w:p>
      <w:pPr>
        <w:sectPr>
          <w:pgSz w:w="11900" w:h="16945" w:orient="portrait"/>
          <w:cols w:equalWidth="0" w:num="1">
            <w:col w:w="11140"/>
          </w:cols>
          <w:pgMar w:left="360" w:top="111" w:right="399" w:bottom="0" w:gutter="0" w:footer="0" w:header="0"/>
        </w:sectPr>
      </w:pPr>
    </w:p>
    <w:bookmarkStart w:id="8" w:name="page9"/>
    <w:bookmarkEnd w:id="8"/>
    <w:p>
      <w:pPr>
        <w:ind w:left="940"/>
        <w:spacing w:after="0" w:line="244" w:lineRule="auto"/>
        <w:rPr>
          <w:sz w:val="20"/>
          <w:szCs w:val="20"/>
          <w:color w:val="auto"/>
        </w:rPr>
      </w:pPr>
      <w:r>
        <w:rPr>
          <w:rFonts w:ascii="Times New Roman" w:cs="Times New Roman" w:eastAsia="Times New Roman" w:hAnsi="Times New Roman"/>
          <w:sz w:val="21"/>
          <w:szCs w:val="21"/>
          <w:color w:val="auto"/>
        </w:rPr>
        <w:t>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 The Reporting Persons do not have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Depending on various factors including, without limitation, the Issuer's financial position, results and strategic direction, actions taken by the Issuer's management and the Board of Directors (the "Board"), other investment opportunities available to the Reporting Persons,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communications and information exchanges with the Issuer's management and Board, engaging in discussions with shareholders of the Issuer or other third parties about the Issuer and the Reporting Persons' investment, making recommendations concerning changes to the Issuer's operations, governance or capitalization, potential business combinations or dispositions involving the Issuer or certain of its businesses, or suggestions for improving the Issuer's financial and/or operational performance, acquiring additional Shares, disposing of some or all of Shares, or changing their intention with respect to any and all matters referred to in Item 4.</w:t>
      </w:r>
    </w:p>
    <w:p>
      <w:pPr>
        <w:spacing w:after="0" w:line="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80"/>
        <w:spacing w:after="0" w:line="243" w:lineRule="auto"/>
        <w:rPr>
          <w:sz w:val="20"/>
          <w:szCs w:val="20"/>
          <w:color w:val="auto"/>
        </w:rPr>
      </w:pPr>
      <w:r>
        <w:rPr>
          <w:rFonts w:ascii="Times New Roman" w:cs="Times New Roman" w:eastAsia="Times New Roman" w:hAnsi="Times New Roman"/>
          <w:sz w:val="21"/>
          <w:szCs w:val="21"/>
          <w:color w:val="auto"/>
        </w:rPr>
        <w:t>The aggregate percentage of Shares reported owned by each person named herein is based upon 13,772,802 Shares outstanding as of October 25, 2024, which is the total number of Shares outstanding as reported in the Issuer's Quarterly Report on Form 10-Q filed with the Securities and Exchange Commission on October 30, 2024. A. Engine Capital As of the date hereof, Engine Capital directly owned 878,258 Shares. Percentage: Approximately 6.4% B. Engine Jet As of the date hereof, Engine Jet directly owned 88,607 Shares. Percentage: 0.6% C. Engine Lift As of the date hereof, Engine Lift directly owned 90,432 Shares. Percentage: 0.7% D. Engine Management Engine Management, as the investment manager of each of Engine Capital, Engine Jet and Engine Lift, may be deemed to beneficially own the 1,057,297 Shares owned in the aggregate by Engine Capital, Engine Jet and Engine Lift. Percentage: Approximately 7.7% E. Engine GP Engine GP, as the general partner of Engine Management, may be deemed to beneficially own the 1,057,297 Shares owned in the aggregate by Engine Capital, Engine Jet and Engine</w:t>
      </w:r>
    </w:p>
    <w:p>
      <w:pPr>
        <w:spacing w:after="0" w:line="9" w:lineRule="exact"/>
        <w:rPr>
          <w:sz w:val="20"/>
          <w:szCs w:val="20"/>
          <w:color w:val="auto"/>
        </w:rPr>
      </w:pPr>
    </w:p>
    <w:p>
      <w:pPr>
        <w:ind w:left="940" w:right="140" w:hanging="932"/>
        <w:spacing w:after="0" w:line="231" w:lineRule="auto"/>
        <w:tabs>
          <w:tab w:leader="none" w:pos="9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Lift. Percentage: Approximately 7.7% F. Engine Investments Engine Investments, as the general partner of each of Engine Capital and Engine Jet, may be deemed to beneficially own the 966,865 Shares owned in the aggregate by Engine Capital and Engine Jet. Percentage: Approximately 7.0% G. Engine Investments II Engine Investments II, as the general partner of Engine Lift, may be deemed to beneficially own the 90,432 Shares owned by Engine Lift. Percentage: 0.7% H. Arnaud Ajdler Mr. Ajdler, as the managing partner of Engine Management and the managing member of each of Engine GP, Engine Investments and Engine Investments II, may be deemed to beneficially own the 1,057,297 Shares owned in the aggregate by Engine Capital, Engine Jet and Engine Lift. Percentage: Approximately 7.7% 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2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Engine Capital 1. Sole power to vote or direct vote: 878,258 2. Shared power to vote or direct vote: 0 3. Sole</w:t>
      </w:r>
    </w:p>
    <w:p>
      <w:pPr>
        <w:spacing w:after="0" w:line="14" w:lineRule="exact"/>
        <w:rPr>
          <w:rFonts w:ascii="Times New Roman" w:cs="Times New Roman" w:eastAsia="Times New Roman" w:hAnsi="Times New Roman"/>
          <w:sz w:val="22"/>
          <w:szCs w:val="22"/>
          <w:color w:val="auto"/>
        </w:rPr>
      </w:pPr>
    </w:p>
    <w:p>
      <w:pPr>
        <w:ind w:left="94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to dispose or direct the disposition: 878,258 4. Shared power to dispose or direct the disposition: 0 B. Engine</w:t>
      </w:r>
    </w:p>
    <w:p>
      <w:pPr>
        <w:ind w:left="94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Jet 1. Sole power to vote or direct vote: 88,607 2. Shared power to vote or direct vote: 0 3. Sole power to dispose or</w:t>
      </w:r>
    </w:p>
    <w:p>
      <w:pPr>
        <w:ind w:left="94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the disposition: 88,607 4. Shared power to dispose or direct the disposition: 0 C. Engine Lift 1. Sole power to</w:t>
      </w: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vote or direct vote: 90,432 2. Shared power to vote or direct vote: 0 3. Sole power to dispose or direct the disposition:</w:t>
      </w:r>
    </w:p>
    <w:p>
      <w:pPr>
        <w:spacing w:after="0" w:line="1"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90,432 4. Shared power to dispose or direct the disposition: 0 D. Engine Management 1. Sole power to vote or direct</w:t>
      </w:r>
    </w:p>
    <w:p>
      <w:pPr>
        <w:spacing w:after="0" w:line="1"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vote: 1,057,297 2. Shared power to vote or direct vote: 0 3. Sole power to dispose or direct the disposition: 1,057,297</w:t>
      </w:r>
    </w:p>
    <w:p>
      <w:pPr>
        <w:spacing w:after="0" w:line="1" w:lineRule="exact"/>
        <w:rPr>
          <w:rFonts w:ascii="Times New Roman" w:cs="Times New Roman" w:eastAsia="Times New Roman" w:hAnsi="Times New Roman"/>
          <w:sz w:val="22"/>
          <w:szCs w:val="22"/>
          <w:color w:val="auto"/>
        </w:rPr>
      </w:pPr>
    </w:p>
    <w:p>
      <w:pPr>
        <w:ind w:left="940" w:hanging="932"/>
        <w:spacing w:after="0" w:line="181" w:lineRule="auto"/>
        <w:tabs>
          <w:tab w:leader="none" w:pos="940" w:val="left"/>
        </w:tabs>
        <w:numPr>
          <w:ilvl w:val="0"/>
          <w:numId w:val="11"/>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4. Shared power to dispose or direct the disposition: 0 E. Engine GP 1. Sole power to vote or direct vote: 1,057,297 2.</w:t>
      </w:r>
    </w:p>
    <w:p>
      <w:pPr>
        <w:ind w:left="94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Shared power to vote or direct vote: 0 3. Sole power to dispose or direct the disposition: 1,057,297 4. Shared power to</w:t>
      </w:r>
    </w:p>
    <w:p>
      <w:pPr>
        <w:spacing w:after="0" w:line="1" w:lineRule="exact"/>
        <w:rPr>
          <w:rFonts w:ascii="Times New Roman" w:cs="Times New Roman" w:eastAsia="Times New Roman" w:hAnsi="Times New Roman"/>
          <w:sz w:val="28"/>
          <w:szCs w:val="28"/>
          <w:color w:val="auto"/>
          <w:vertAlign w:val="subscript"/>
        </w:rPr>
      </w:pPr>
    </w:p>
    <w:p>
      <w:pPr>
        <w:ind w:left="94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dispose or direct the disposition: 0 F. Engine Investments 1. Sole power to vote or direct vote: 966,865 2. Shared</w:t>
      </w:r>
    </w:p>
    <w:p>
      <w:pPr>
        <w:ind w:left="94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power to vote or direct vote: 0 3. Sole power to dispose or direct the disposition: 966,865 4. Shared power to dispose</w:t>
      </w:r>
    </w:p>
    <w:p>
      <w:pPr>
        <w:spacing w:after="0" w:line="1" w:lineRule="exact"/>
        <w:rPr>
          <w:rFonts w:ascii="Times New Roman" w:cs="Times New Roman" w:eastAsia="Times New Roman" w:hAnsi="Times New Roman"/>
          <w:sz w:val="28"/>
          <w:szCs w:val="28"/>
          <w:color w:val="auto"/>
          <w:vertAlign w:val="subscript"/>
        </w:rPr>
      </w:pPr>
    </w:p>
    <w:p>
      <w:pPr>
        <w:ind w:left="94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or direct the disposition: 0 G. Engine Investments II 1. Sole power to vote or direct vote: 90,432 2. Shared power to</w:t>
      </w:r>
    </w:p>
    <w:p>
      <w:pPr>
        <w:ind w:left="94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vote or direct vote: 0 3. Sole power to dispose or direct the disposition: 90,432 4. Shared power to dispose or direct</w:t>
      </w:r>
    </w:p>
    <w:p>
      <w:pPr>
        <w:ind w:left="94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the disposition: 0 H. Arnaud Ajdler 1. Sole power to vote or direct vote: 1,057,297 2. Shared power to vote or direct</w:t>
      </w:r>
    </w:p>
    <w:p>
      <w:pPr>
        <w:ind w:left="94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vote: 0 3. Sole power to dispose or direct the disposition: 1,057,297 4. Shared power to dispose or direct the</w:t>
      </w:r>
    </w:p>
    <w:p>
      <w:pPr>
        <w:ind w:left="94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disposition: 0</w:t>
      </w:r>
    </w:p>
    <w:p>
      <w:pPr>
        <w:spacing w:after="0" w:line="20" w:lineRule="exact"/>
        <w:rPr>
          <w:rFonts w:ascii="Times New Roman" w:cs="Times New Roman" w:eastAsia="Times New Roman" w:hAnsi="Times New Roman"/>
          <w:sz w:val="28"/>
          <w:szCs w:val="28"/>
          <w:color w:val="auto"/>
          <w:vertAlign w:val="subscript"/>
        </w:rPr>
      </w:pPr>
    </w:p>
    <w:p>
      <w:pPr>
        <w:ind w:left="940" w:right="300" w:hanging="932"/>
        <w:spacing w:after="0" w:line="185" w:lineRule="auto"/>
        <w:tabs>
          <w:tab w:leader="none" w:pos="94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in the Shares during the past 60 days by certain of the Reporting Persons are set forth on Exhibit1 attached hereto and are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40" w:right="80" w:hanging="932"/>
        <w:spacing w:after="0" w:line="185" w:lineRule="auto"/>
        <w:tabs>
          <w:tab w:leader="none" w:pos="94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proceeds from the sale of, the Shares.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60"/>
        <w:spacing w:after="0" w:line="251" w:lineRule="auto"/>
        <w:rPr>
          <w:sz w:val="20"/>
          <w:szCs w:val="20"/>
          <w:color w:val="auto"/>
        </w:rPr>
      </w:pPr>
      <w:r>
        <w:rPr>
          <w:rFonts w:ascii="Times New Roman" w:cs="Times New Roman" w:eastAsia="Times New Roman" w:hAnsi="Times New Roman"/>
          <w:sz w:val="21"/>
          <w:szCs w:val="21"/>
          <w:color w:val="auto"/>
        </w:rPr>
        <w:t>On February 26, 2025, the Reporting Persons entered into a Joint Filing Agreement in which the Reporting Persons agreed to the joint filing on behalf of each of them of statements on Schedule 13D with respect to the securities of the Issuer. The Joint Filing Agreement is attached hereto as Exhibit 99.1 and is incorporated herein by reference. Other than as described herein, there are no contracts, arrangements, understandings or relationships among the Reporting Persons, or between the Reporting Persons and any other person, with respect to the securities of the Issuer.</w:t>
      </w:r>
    </w:p>
    <w:p>
      <w:pPr>
        <w:sectPr>
          <w:pgSz w:w="11900" w:h="16838" w:orient="portrait"/>
          <w:cols w:equalWidth="0" w:num="1">
            <w:col w:w="11160"/>
          </w:cols>
          <w:pgMar w:left="360" w:top="111" w:right="379" w:bottom="0" w:gutter="0" w:footer="0" w:header="0"/>
        </w:sectPr>
      </w:pPr>
    </w:p>
    <w:bookmarkStart w:id="9" w:name="page10"/>
    <w:bookmarkEnd w:id="9"/>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1 - Transactions in the Securities. 99.1 - Joint Filing Agreement, dated February 26, 2025.</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Engine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02/26/2025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Engine Jet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02/26/2025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Engine Lift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II,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02/26/2025</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Engine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Capital Management GP, LLC, its General Partner</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02/26/2025</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Engine Capital Management GP,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02/26/2025</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Engine Investments,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02/26/2025</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Engine Investments II,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02/26/2025</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Ajdler Arnaud</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Arnaud Ajdler</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02/26/2025</w:t>
      </w:r>
    </w:p>
    <w:p>
      <w:pPr>
        <w:sectPr>
          <w:pgSz w:w="11900" w:h="16838" w:orient="portrait"/>
          <w:cols w:equalWidth="0" w:num="1">
            <w:col w:w="11140"/>
          </w:cols>
          <w:pgMar w:left="360" w:top="111" w:right="3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in the Shares of the Issuer During the Past 60 Days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4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w w:val="98"/>
              </w:rPr>
              <w:t>Amount of Securities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94"/>
        </w:trPr>
        <w:tc>
          <w:tcPr>
            <w:tcW w:w="620" w:type="dxa"/>
            <w:vAlign w:val="bottom"/>
          </w:tcPr>
          <w:p>
            <w:pPr>
              <w:spacing w:after="0"/>
              <w:rPr>
                <w:sz w:val="16"/>
                <w:szCs w:val="16"/>
                <w:color w:val="auto"/>
              </w:rPr>
            </w:pPr>
          </w:p>
        </w:tc>
        <w:tc>
          <w:tcPr>
            <w:tcW w:w="1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Nature of Transaction</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1520" w:type="dxa"/>
            <w:vAlign w:val="bottom"/>
          </w:tcPr>
          <w:p>
            <w:pPr>
              <w:spacing w:after="0"/>
              <w:rPr>
                <w:sz w:val="16"/>
                <w:szCs w:val="16"/>
                <w:color w:val="auto"/>
              </w:rPr>
            </w:pPr>
          </w:p>
        </w:tc>
        <w:tc>
          <w:tcPr>
            <w:tcW w:w="2020" w:type="dxa"/>
            <w:vAlign w:val="bottom"/>
            <w:gridSpan w:val="5"/>
          </w:tcPr>
          <w:p>
            <w:pPr>
              <w:jc w:val="center"/>
              <w:ind w:right="680"/>
              <w:spacing w:after="0" w:line="194" w:lineRule="exact"/>
              <w:rPr>
                <w:sz w:val="20"/>
                <w:szCs w:val="20"/>
                <w:color w:val="auto"/>
              </w:rPr>
            </w:pPr>
            <w:r>
              <w:rPr>
                <w:rFonts w:ascii="Times New Roman" w:cs="Times New Roman" w:eastAsia="Times New Roman" w:hAnsi="Times New Roman"/>
                <w:sz w:val="18"/>
                <w:szCs w:val="18"/>
                <w:color w:val="auto"/>
                <w:w w:val="98"/>
              </w:rPr>
              <w:t xml:space="preserve">Price per Share </w:t>
            </w: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w:t>
            </w:r>
          </w:p>
        </w:tc>
        <w:tc>
          <w:tcPr>
            <w:tcW w:w="286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Date of Purchase/Sale</w:t>
            </w:r>
          </w:p>
        </w:tc>
      </w:tr>
      <w:tr>
        <w:trPr>
          <w:trHeight w:val="20"/>
        </w:trPr>
        <w:tc>
          <w:tcPr>
            <w:tcW w:w="6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gridSpan w:val="7"/>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ENGINE CAPITAL, L.P.</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564,820</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23.0109</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02/07/2025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rPr>
              <w:t>289,799</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26.0000</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02/19/2025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26.8895</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02/20/2025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6"/>
              </w:rPr>
              <w:t>12,781</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27.1546</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02/21/2025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6"/>
              </w:rPr>
              <w:t>10,726</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26.7110</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02/24/2025</w:t>
            </w:r>
          </w:p>
        </w:tc>
        <w:tc>
          <w:tcPr>
            <w:tcW w:w="600" w:type="dxa"/>
            <w:vAlign w:val="bottom"/>
            <w:shd w:val="clear" w:color="auto" w:fill="CCEEFF"/>
          </w:tcPr>
          <w:p>
            <w:pPr>
              <w:spacing w:after="0"/>
              <w:rPr>
                <w:sz w:val="18"/>
                <w:szCs w:val="18"/>
                <w:color w:val="auto"/>
              </w:rPr>
            </w:pPr>
          </w:p>
        </w:tc>
      </w:tr>
      <w:tr>
        <w:trPr>
          <w:trHeight w:val="392"/>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20" w:type="dxa"/>
            <w:vAlign w:val="bottom"/>
            <w:gridSpan w:val="8"/>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ENGINE JET CAPITAL, L.P.</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6"/>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6"/>
              </w:rPr>
              <w:t>56,899</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23.0109</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02/07/2025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88"/>
              </w:rPr>
              <w:t>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26.0000</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02/19/2025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6"/>
              </w:rPr>
              <w:t>29,238</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26.0000</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02/19/2025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88"/>
              </w:rPr>
              <w:t>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26.8895</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02/20/2025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8"/>
              </w:rPr>
              <w:t>1,290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27.1546</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02/21/2025</w:t>
            </w:r>
          </w:p>
        </w:tc>
        <w:tc>
          <w:tcPr>
            <w:tcW w:w="600" w:type="dxa"/>
            <w:vAlign w:val="bottom"/>
            <w:shd w:val="clear" w:color="auto" w:fill="CCEEFF"/>
          </w:tcPr>
          <w:p>
            <w:pPr>
              <w:spacing w:after="0"/>
              <w:rPr>
                <w:sz w:val="18"/>
                <w:szCs w:val="18"/>
                <w:color w:val="auto"/>
              </w:rPr>
            </w:pPr>
          </w:p>
        </w:tc>
      </w:tr>
      <w:tr>
        <w:trPr>
          <w:trHeight w:val="234"/>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8"/>
              </w:rPr>
              <w:t>1,082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26.7110</w:t>
            </w:r>
          </w:p>
        </w:tc>
        <w:tc>
          <w:tcPr>
            <w:tcW w:w="680" w:type="dxa"/>
            <w:vAlign w:val="bottom"/>
          </w:tcPr>
          <w:p>
            <w:pPr>
              <w:spacing w:after="0"/>
              <w:rPr>
                <w:sz w:val="20"/>
                <w:szCs w:val="20"/>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02/24/2025</w:t>
            </w:r>
          </w:p>
        </w:tc>
        <w:tc>
          <w:tcPr>
            <w:tcW w:w="600" w:type="dxa"/>
            <w:vAlign w:val="bottom"/>
          </w:tcPr>
          <w:p>
            <w:pPr>
              <w:spacing w:after="0"/>
              <w:rPr>
                <w:sz w:val="20"/>
                <w:szCs w:val="20"/>
                <w:color w:val="auto"/>
              </w:rPr>
            </w:pPr>
          </w:p>
        </w:tc>
      </w:tr>
      <w:tr>
        <w:trPr>
          <w:trHeight w:val="373"/>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80" w:type="dxa"/>
            <w:vAlign w:val="bottom"/>
            <w:gridSpan w:val="9"/>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ENGINE LIFT CAPITAL, LP</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6"/>
              </w:rPr>
              <w:t>57,920</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23.0109</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02/07/2025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26.0000</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02/19/2025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6"/>
              </w:rPr>
              <w:t>29,840</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26.0000</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02/19/2025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88"/>
              </w:rPr>
              <w:t>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26.8895</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02/20/2025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8"/>
              </w:rPr>
              <w:t>1,316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27.1546</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02/21/2025</w:t>
            </w:r>
          </w:p>
        </w:tc>
        <w:tc>
          <w:tcPr>
            <w:tcW w:w="600" w:type="dxa"/>
            <w:vAlign w:val="bottom"/>
            <w:shd w:val="clear" w:color="auto" w:fill="CCEEFF"/>
          </w:tcPr>
          <w:p>
            <w:pPr>
              <w:spacing w:after="0"/>
              <w:rPr>
                <w:sz w:val="18"/>
                <w:szCs w:val="18"/>
                <w:color w:val="auto"/>
              </w:rPr>
            </w:pPr>
          </w:p>
        </w:tc>
      </w:tr>
      <w:tr>
        <w:trPr>
          <w:trHeight w:val="234"/>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8"/>
              </w:rPr>
              <w:t>1,104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26.7110</w:t>
            </w:r>
          </w:p>
        </w:tc>
        <w:tc>
          <w:tcPr>
            <w:tcW w:w="680" w:type="dxa"/>
            <w:vAlign w:val="bottom"/>
          </w:tcPr>
          <w:p>
            <w:pPr>
              <w:spacing w:after="0"/>
              <w:rPr>
                <w:sz w:val="20"/>
                <w:szCs w:val="20"/>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02/24/2025</w:t>
            </w:r>
          </w:p>
        </w:tc>
        <w:tc>
          <w:tcPr>
            <w:tcW w:w="600" w:type="dxa"/>
            <w:vAlign w:val="bottom"/>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FILING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13d-1(k)(1)(iii) under the Securities Exchange Act of 1934, as amended, the persons named below agree to the joint filing on behalf of each of them of a Statement on Schedule 13D (including amendments thereto) with respect to the Common Shares, no par value, of Civeo Corporation, a British Columbia corporation. This Joint Filing Agreement shall be filed as an Exhibit to such Statement.</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Engine Capital, L.P.</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Arnaud Ajdler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Arnaud Ajdler, Managing Member of Engine Investments, LLC, its General Partner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02/26/2025</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Engine Jet Capital, L.P.</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Arnaud Ajdler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Arnaud Ajdler, Managing Member of Engine Investments, LLC, its General Partner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02/26/2025</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Engine Lift Capital, LP</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Arnaud Ajdler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Arnaud Ajdler, Managing Member of Engine Investments II, LLC, its General Partner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02/26/2025</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Engine Capital Management, LP</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Arnaud Ajdler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Arnaud Ajdler, Managing Member of Engine Capital Management GP, LLC, its General Partner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02/26/2025</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Engine Capital Management GP, LLC</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Arnaud Ajdler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Arnaud Ajdler, Managing Member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02/26/2025</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Engine Investments, LLC</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Arnaud Ajdler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Arnaud Ajdler, Managing Member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02/26/2025</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Engine Investments II, LLC</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Arnaud Ajdler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Arnaud Ajdler, Managing Member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02/26/2025</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Ajdler Arnaud</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Arnaud Ajdler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Arnaud Ajdler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02/26/2025</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3"/>
      <w:numFmt w:val="bullet"/>
      <w:start w:val="1"/>
    </w:lvl>
  </w:abstractNum>
  <w:abstractNum w:abstractNumId="8">
    <w:nsid w:val="4DB127F8"/>
    <w:multiLevelType w:val="hybridMultilevel"/>
    <w:lvl w:ilvl="0">
      <w:lvlJc w:val="left"/>
      <w:lvlText w:val="%1"/>
      <w:numFmt w:val="decimal"/>
      <w:start w:val="13"/>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2025-02-26T17:17:07Z</dcterms:created>
  <dcterms:modified xsi:type="dcterms:W3CDTF">2025-02-26T17:17:07Z</dcterms:modified>
</cp:coreProperties>
</file>