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Civeo 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Three Allen Center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333 Clay Street, Suite 4980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77002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7, 2014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Kristina Aberg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Attorney-Advisor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20549-3561</w:t>
      </w:r>
    </w:p>
    <w:p>
      <w:pPr>
        <w:sectPr>
          <w:pgSz w:w="11900" w:h="16838" w:orient="portrait"/>
          <w:cols w:equalWidth="0" w:num="1">
            <w:col w:w="11420"/>
          </w:cols>
          <w:pgMar w:left="240" w:top="449" w:right="23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Civeo Corporation (formerly known as OIS Accommodations SpinCo Inc.)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Amendment No. 4 to Form 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May 5, 2014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001-36246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320"/>
            <w:col w:w="10840"/>
          </w:cols>
          <w:pgMar w:left="240" w:top="449" w:right="2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Set forth below is the response of Civeo Corporation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”,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we</w:t>
      </w:r>
      <w:r>
        <w:rPr>
          <w:rFonts w:ascii="Arial" w:cs="Arial" w:eastAsia="Arial" w:hAnsi="Arial"/>
          <w:sz w:val="18"/>
          <w:szCs w:val="18"/>
          <w:color w:val="auto"/>
        </w:rPr>
        <w:t>,”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us</w:t>
      </w:r>
      <w:r>
        <w:rPr>
          <w:rFonts w:ascii="Arial" w:cs="Arial" w:eastAsia="Arial" w:hAnsi="Arial"/>
          <w:sz w:val="18"/>
          <w:szCs w:val="18"/>
          <w:color w:val="auto"/>
        </w:rPr>
        <w:t>” or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our</w:t>
      </w:r>
      <w:r>
        <w:rPr>
          <w:rFonts w:ascii="Arial" w:cs="Arial" w:eastAsia="Arial" w:hAnsi="Arial"/>
          <w:sz w:val="18"/>
          <w:szCs w:val="18"/>
          <w:color w:val="auto"/>
        </w:rPr>
        <w:t>”), to the oral comment received from the staff of the Division of Corporation Finance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Staff</w:t>
      </w:r>
      <w:r>
        <w:rPr>
          <w:rFonts w:ascii="Arial" w:cs="Arial" w:eastAsia="Arial" w:hAnsi="Arial"/>
          <w:sz w:val="18"/>
          <w:szCs w:val="18"/>
          <w:color w:val="auto"/>
        </w:rPr>
        <w:t>”) of the Securities and Exchange Commission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”), with respect to Amendment No. 4 to Form 10, File No. 001-36246, filed with the Commission on May 5, 2014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Information Statement</w:t>
      </w:r>
      <w:r>
        <w:rPr>
          <w:rFonts w:ascii="Arial" w:cs="Arial" w:eastAsia="Arial" w:hAnsi="Arial"/>
          <w:sz w:val="18"/>
          <w:szCs w:val="18"/>
          <w:color w:val="auto"/>
        </w:rPr>
        <w:t>”).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your convenience, our response is prefaced by the text of the Staff’s oral comment in bold, italicized text. All references to page numbers correspond to the Amendment No. 5 to the Information Statement unless otherwise specified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Please include additional disclosure supporting your proposed dividend amount.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acknowledge the Staff’s comment and have revised pages 9, 14, 36, 51 and 68.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spacing w:after="0"/>
        <w:tabs>
          <w:tab w:leader="none" w:pos="220" w:val="left"/>
          <w:tab w:leader="none" w:pos="200" w:val="left"/>
          <w:tab w:leader="none" w:pos="200" w:val="left"/>
          <w:tab w:leader="none" w:pos="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*</w:t>
        <w:tab/>
        <w:t>*</w:t>
        <w:tab/>
        <w:t>*</w:t>
        <w:tab/>
        <w:t>*</w:t>
        <w:tab/>
        <w:t>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509905</wp:posOffset>
            </wp:positionV>
            <wp:extent cx="726757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4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7, 2014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direct any questions that you have with respect to the foregoing or if any additional supplemental information is required by the Staff, please contact Matthew R. Pacey of Vinson &amp; Elkins L.L.P. at (713) 758-4786.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CIVEO CORPORATION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Bradley J. Dodson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Bradley J. Dodson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4001135</wp:posOffset>
            </wp:positionH>
            <wp:positionV relativeFrom="paragraph">
              <wp:posOffset>-130175</wp:posOffset>
            </wp:positionV>
            <wp:extent cx="238379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720"/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President and Chief Executive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Enclosures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Matthew R. Pacey (Vinson &amp; Elkins)</w:t>
      </w:r>
    </w:p>
    <w:sectPr>
      <w:pgSz w:w="11900" w:h="16838" w:orient="portrait"/>
      <w:cols w:equalWidth="0" w:num="1">
        <w:col w:w="11420"/>
      </w:cols>
      <w:pgMar w:left="240" w:top="58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2019-12-08T07:54:55Z</dcterms:created>
  <dcterms:modified xsi:type="dcterms:W3CDTF">2019-12-08T07:54:55Z</dcterms:modified>
</cp:coreProperties>
</file>