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March 21, 2017</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24" w:right="2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80" w:type="dxa"/>
            <w:vAlign w:val="bottom"/>
          </w:tcPr>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16"/>
        </w:trPr>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80" w:type="dxa"/>
            <w:vAlign w:val="bottom"/>
            <w:tcBorders>
              <w:bottom w:val="single" w:sz="8" w:color="auto"/>
            </w:tcBorders>
          </w:tcPr>
          <w:p>
            <w:pPr>
              <w:spacing w:after="0"/>
              <w:rPr>
                <w:sz w:val="18"/>
                <w:szCs w:val="18"/>
                <w:color w:val="auto"/>
              </w:rPr>
            </w:pPr>
          </w:p>
        </w:tc>
      </w:tr>
      <w:tr>
        <w:trPr>
          <w:trHeight w:val="244"/>
        </w:trPr>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80" w:type="dxa"/>
            <w:vAlign w:val="bottom"/>
            <w:tcBorders>
              <w:bottom w:val="single" w:sz="8" w:color="auto"/>
            </w:tcBorders>
          </w:tcPr>
          <w:p>
            <w:pPr>
              <w:spacing w:after="0"/>
              <w:rPr>
                <w:sz w:val="21"/>
                <w:szCs w:val="21"/>
                <w:color w:val="auto"/>
              </w:rPr>
            </w:pPr>
          </w:p>
        </w:tc>
      </w:tr>
      <w:tr>
        <w:trPr>
          <w:trHeight w:val="361"/>
        </w:trPr>
        <w:tc>
          <w:tcPr>
            <w:tcW w:w="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w:t>
      </w:r>
    </w:p>
    <w:p>
      <w:pPr>
        <w:spacing w:after="0" w:line="22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March 21, 2017, upon recommendation of the Nominating &amp; Corporate Governance Committee (the “Nominating Committee”) of the board of directors (the “Board”) of Civeo Corporation (“Civeo”), the Board increased the size of the Board from seven to eight directors and appointed Mr. Timothy O. Wall to fill the newly created directorship, effective immediately. Mr. Wall will serve as a director of Civeo until the expiration of his term on May 11, 2017, the date of Civeo’s annual general meeting of shareholders in 2017 (the “Annual Meeting”), and until his successor is elected and qualified. Mr. Wall is expected to stand for election as a director at the Annual Meeting. Mr. Wall has also been appointed to the Nominating Committee and the Finance &amp; Investment Committee (the “Finance Committee”) of the Board.</w:t>
      </w:r>
    </w:p>
    <w:p>
      <w:pPr>
        <w:spacing w:after="0" w:line="193"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Mr. Wall, 55, served as the President of Kitimat LNG Upstream Operations, a division of Apache Canada Ltd., from March 2013 until June 2015. He previously served as the President of Apache Canada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 Petroleum Engineering from Texas A&amp;M University.</w:t>
      </w:r>
    </w:p>
    <w:p>
      <w:pPr>
        <w:spacing w:after="0" w:line="178"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connection with his appointment, the Board approved Civeo entering into an indemnification agreement with Mr. Wall. The form of indemnification agreement approved is in the same form as the previously disclosed indemnification agreement entered into with the other members of the Board. The foregoing description of the indemnification agreement is qualified by reference to the complete form of agreement, which is incorporated by reference as an exhibit to this report and hereby incorporated by reference into this Item.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w:t>
      </w:r>
    </w:p>
    <w:p>
      <w:pPr>
        <w:spacing w:after="0" w:line="225"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Upon his appointment, Mr. Wall was granted restricted share awards valued at $125,000, which was equal to 47,529 shares based on the closing trading price of Civeo common shares on the date of his appointment.</w:t>
      </w:r>
    </w:p>
    <w:p>
      <w:pPr>
        <w:spacing w:after="0" w:line="170"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Consistent with Civeo’s standard arrangement for non-employee directors, Mr. Wall will receive (i) an annual retainer of $50,000 for his service on the Board, (ii) fees of $2,000 for attendance at each Board or committee meeting and (iii) additional annual retainers of $5,000 for his service on each of the Nominating Committee and the Finance Committee, respectively. In addition, it is expected that Mr. Wall will be granted restricted share awards valued at $125,000 at each annual general meeting of shareholders, beginning with the 2018 annual general meeting, after which he continues to serve.</w:t>
      </w:r>
    </w:p>
    <w:p>
      <w:pPr>
        <w:spacing w:after="0" w:line="15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There are no material arrangements or understandings between Mr. Wall and any other person pursuant to which Mr. Wall was appointed to serve as a director that are not described above. Civeo is not aware of any transaction in which Mr. Wall has an interest requiring disclosure under Item 404(a) of Regulation 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52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54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84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Number</w:t>
            </w:r>
          </w:p>
        </w:tc>
        <w:tc>
          <w:tcPr>
            <w:tcW w:w="480" w:type="dxa"/>
            <w:vAlign w:val="bottom"/>
          </w:tcPr>
          <w:p>
            <w:pPr>
              <w:spacing w:after="0"/>
              <w:rPr>
                <w:sz w:val="17"/>
                <w:szCs w:val="17"/>
                <w:color w:val="auto"/>
              </w:rPr>
            </w:pPr>
          </w:p>
        </w:tc>
        <w:tc>
          <w:tcPr>
            <w:tcW w:w="1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2"/>
              </w:rPr>
              <w:t>Description of Document</w:t>
            </w:r>
          </w:p>
        </w:tc>
        <w:tc>
          <w:tcPr>
            <w:tcW w:w="8480" w:type="dxa"/>
            <w:vAlign w:val="bottom"/>
          </w:tcPr>
          <w:p>
            <w:pPr>
              <w:spacing w:after="0"/>
              <w:rPr>
                <w:sz w:val="17"/>
                <w:szCs w:val="17"/>
                <w:color w:val="auto"/>
              </w:rPr>
            </w:pPr>
          </w:p>
        </w:tc>
      </w:tr>
      <w:tr>
        <w:trPr>
          <w:trHeight w:val="4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w w:val="93"/>
              </w:rPr>
              <w:t>Form of Indemnification Agreement (incorporated herein by reference to Exhibit 10.1 to the Current Report on Form 8-K12B (File No. 001-</w:t>
            </w:r>
          </w:p>
        </w:tc>
      </w:tr>
      <w:tr>
        <w:trPr>
          <w:trHeight w:val="230"/>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36246) filed on July 17, 2015).</w:t>
            </w:r>
          </w:p>
        </w:tc>
      </w:tr>
      <w:tr>
        <w:trPr>
          <w:trHeight w:val="243"/>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Press Release dated March 22, 2017</w:t>
            </w:r>
          </w:p>
        </w:tc>
      </w:tr>
      <w:tr>
        <w:trPr>
          <w:trHeight w:val="240"/>
        </w:trPr>
        <w:tc>
          <w:tcPr>
            <w:tcW w:w="2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tcBorders>
          </w:tcPr>
          <w:p>
            <w:pPr>
              <w:spacing w:after="0"/>
              <w:rPr>
                <w:sz w:val="20"/>
                <w:szCs w:val="20"/>
                <w:color w:val="auto"/>
              </w:rPr>
            </w:pPr>
          </w:p>
        </w:tc>
        <w:tc>
          <w:tcPr>
            <w:tcW w:w="84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198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March 22, 2017</w:t>
            </w:r>
          </w:p>
        </w:tc>
        <w:tc>
          <w:tcPr>
            <w:tcW w:w="7860" w:type="dxa"/>
            <w:vAlign w:val="bottom"/>
            <w:gridSpan w:val="3"/>
          </w:tcPr>
          <w:p>
            <w:pPr>
              <w:ind w:left="1980"/>
              <w:spacing w:after="0"/>
              <w:rPr>
                <w:sz w:val="20"/>
                <w:szCs w:val="20"/>
                <w:color w:val="auto"/>
              </w:rPr>
            </w:pPr>
            <w:r>
              <w:rPr>
                <w:rFonts w:ascii="Arial" w:cs="Arial" w:eastAsia="Arial" w:hAnsi="Arial"/>
                <w:sz w:val="18"/>
                <w:szCs w:val="18"/>
                <w:color w:val="auto"/>
              </w:rPr>
              <w:t>By: /s/ Frank C. Steininger</w:t>
            </w:r>
          </w:p>
        </w:tc>
      </w:tr>
      <w:tr>
        <w:trPr>
          <w:trHeight w:val="222"/>
        </w:trPr>
        <w:tc>
          <w:tcPr>
            <w:tcW w:w="3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3520" w:type="dxa"/>
            <w:vAlign w:val="bottom"/>
          </w:tcPr>
          <w:p>
            <w:pPr>
              <w:spacing w:after="0"/>
              <w:rPr>
                <w:sz w:val="19"/>
                <w:szCs w:val="19"/>
                <w:color w:val="auto"/>
              </w:rPr>
            </w:pPr>
          </w:p>
        </w:tc>
      </w:tr>
      <w:tr>
        <w:trPr>
          <w:trHeight w:val="216"/>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300" w:type="dxa"/>
            <w:vAlign w:val="bottom"/>
          </w:tcPr>
          <w:p>
            <w:pPr>
              <w:ind w:left="2000"/>
              <w:spacing w:after="0"/>
              <w:rPr>
                <w:sz w:val="20"/>
                <w:szCs w:val="20"/>
                <w:color w:val="auto"/>
              </w:rPr>
            </w:pPr>
            <w:r>
              <w:rPr>
                <w:rFonts w:ascii="Arial" w:cs="Arial" w:eastAsia="Arial" w:hAnsi="Arial"/>
                <w:sz w:val="18"/>
                <w:szCs w:val="18"/>
                <w:b w:val="1"/>
                <w:bCs w:val="1"/>
                <w:color w:val="auto"/>
              </w:rPr>
              <w:t>Index to Exhibits</w:t>
            </w:r>
          </w:p>
        </w:tc>
      </w:tr>
      <w:tr>
        <w:trPr>
          <w:trHeight w:val="824"/>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196"/>
        </w:trPr>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w w:val="87"/>
              </w:rPr>
              <w:t>Number</w:t>
            </w:r>
          </w:p>
        </w:tc>
        <w:tc>
          <w:tcPr>
            <w:tcW w:w="10760" w:type="dxa"/>
            <w:vAlign w:val="bottom"/>
            <w:gridSpan w:val="3"/>
          </w:tcPr>
          <w:p>
            <w:pPr>
              <w:ind w:left="640"/>
              <w:spacing w:after="0" w:line="196" w:lineRule="exact"/>
              <w:rPr>
                <w:sz w:val="20"/>
                <w:szCs w:val="20"/>
                <w:color w:val="auto"/>
              </w:rPr>
            </w:pPr>
            <w:r>
              <w:rPr>
                <w:rFonts w:ascii="Arial" w:cs="Arial" w:eastAsia="Arial" w:hAnsi="Arial"/>
                <w:sz w:val="18"/>
                <w:szCs w:val="18"/>
                <w:color w:val="auto"/>
              </w:rPr>
              <w:t>Description of Document</w:t>
            </w:r>
          </w:p>
        </w:tc>
      </w:tr>
      <w:tr>
        <w:trPr>
          <w:trHeight w:val="20"/>
        </w:trPr>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24"/>
                <w:szCs w:val="24"/>
                <w:color w:val="auto"/>
              </w:rPr>
            </w:pPr>
          </w:p>
        </w:tc>
        <w:tc>
          <w:tcPr>
            <w:tcW w:w="10760" w:type="dxa"/>
            <w:vAlign w:val="bottom"/>
            <w:gridSpan w:val="3"/>
          </w:tcPr>
          <w:p>
            <w:pPr>
              <w:ind w:left="640"/>
              <w:spacing w:after="0"/>
              <w:rPr>
                <w:sz w:val="20"/>
                <w:szCs w:val="20"/>
                <w:color w:val="auto"/>
              </w:rPr>
            </w:pPr>
            <w:r>
              <w:rPr>
                <w:rFonts w:ascii="Arial" w:cs="Arial" w:eastAsia="Arial" w:hAnsi="Arial"/>
                <w:sz w:val="18"/>
                <w:szCs w:val="18"/>
                <w:color w:val="auto"/>
                <w:w w:val="92"/>
              </w:rPr>
              <w:t>Form of Indemnification Agreement (incorporated herein by reference to Exhibit 10.1 to the Current Report on Form 8-K12B (File No. 001-</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760" w:type="dxa"/>
            <w:vAlign w:val="bottom"/>
            <w:gridSpan w:val="3"/>
          </w:tcPr>
          <w:p>
            <w:pPr>
              <w:ind w:left="640"/>
              <w:spacing w:after="0"/>
              <w:rPr>
                <w:sz w:val="20"/>
                <w:szCs w:val="20"/>
                <w:color w:val="auto"/>
              </w:rPr>
            </w:pPr>
            <w:r>
              <w:rPr>
                <w:rFonts w:ascii="Arial" w:cs="Arial" w:eastAsia="Arial" w:hAnsi="Arial"/>
                <w:sz w:val="18"/>
                <w:szCs w:val="18"/>
                <w:color w:val="auto"/>
              </w:rPr>
              <w:t>36246) filed on July 17, 2015).</w:t>
            </w:r>
          </w:p>
        </w:tc>
      </w:tr>
      <w:tr>
        <w:trPr>
          <w:trHeight w:val="190"/>
        </w:trPr>
        <w:tc>
          <w:tcPr>
            <w:tcW w:w="32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80" w:type="dxa"/>
            <w:vAlign w:val="bottom"/>
          </w:tcPr>
          <w:p>
            <w:pPr>
              <w:spacing w:after="0"/>
              <w:rPr>
                <w:sz w:val="16"/>
                <w:szCs w:val="16"/>
                <w:color w:val="auto"/>
              </w:rPr>
            </w:pPr>
          </w:p>
        </w:tc>
        <w:tc>
          <w:tcPr>
            <w:tcW w:w="10760" w:type="dxa"/>
            <w:vAlign w:val="bottom"/>
            <w:gridSpan w:val="3"/>
          </w:tcPr>
          <w:p>
            <w:pPr>
              <w:ind w:left="640"/>
              <w:spacing w:after="0" w:line="190" w:lineRule="exact"/>
              <w:rPr>
                <w:sz w:val="20"/>
                <w:szCs w:val="20"/>
                <w:color w:val="auto"/>
              </w:rPr>
            </w:pPr>
            <w:r>
              <w:rPr>
                <w:rFonts w:ascii="Arial" w:cs="Arial" w:eastAsia="Arial" w:hAnsi="Arial"/>
                <w:sz w:val="18"/>
                <w:szCs w:val="18"/>
                <w:color w:val="auto"/>
              </w:rPr>
              <w:t>Press Release dated March 22, 2017</w:t>
            </w:r>
          </w:p>
        </w:tc>
      </w:tr>
    </w:tbl>
    <w:p>
      <w:pPr>
        <w:sectPr>
          <w:pgSz w:w="11900" w:h="16838" w:orient="portrait"/>
          <w:cols w:equalWidth="0" w:num="1">
            <w:col w:w="11360"/>
          </w:cols>
          <w:pgMar w:left="240" w:top="337"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Announces Appointment of New Board Member</w:t>
      </w:r>
    </w:p>
    <w:p>
      <w:pPr>
        <w:spacing w:after="0" w:line="212" w:lineRule="exact"/>
        <w:rPr>
          <w:sz w:val="20"/>
          <w:szCs w:val="20"/>
          <w:color w:val="auto"/>
        </w:rPr>
      </w:pPr>
    </w:p>
    <w:p>
      <w:pPr>
        <w:ind w:right="280"/>
        <w:spacing w:after="0" w:line="252" w:lineRule="auto"/>
        <w:rPr>
          <w:sz w:val="20"/>
          <w:szCs w:val="20"/>
          <w:color w:val="auto"/>
        </w:rPr>
      </w:pPr>
      <w:r>
        <w:rPr>
          <w:rFonts w:ascii="Arial" w:cs="Arial" w:eastAsia="Arial" w:hAnsi="Arial"/>
          <w:sz w:val="21"/>
          <w:szCs w:val="21"/>
          <w:color w:val="auto"/>
        </w:rPr>
        <w:t>HOUSTON, March 22, 2017 (GLOBE NEWSWIRE) -- Civeo Corporation (NYSE:CVEO) announced today the appointment of Timothy O. Wall to Civeo’s Board of Directors, effective immediately. Mr. Wall previously held a variety of senior positions at Apache Corporation. He brings a depth of industry, advisory and leadership experience to Civeo's board. Mr. Wall will serve on Civeo’s Nominating &amp; Corporate Governance and Finance &amp; Investment Committees.</w:t>
      </w:r>
    </w:p>
    <w:p>
      <w:pPr>
        <w:spacing w:after="0" w:line="174"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Douglas E. Swanson, chairman of the Civeo Board of Directors, stated, "The addition of Tim’s extensive energy experience to our already deeply experienced board will be a tremendous asset to our company and its shareholders. Tim has experience in all the geographic markets Civeo serves.” With the addition of Mr. Wall, Civeo’s Board of Directors will consist of eight members.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Biographical Information on New Director</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Timothy O. Wall served as the President of Kitimat LNG Upstream Operations, a division of Apache Canada Ltd., from March 2013 until June 2015. He previously served as the President of Apache Canada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 Petroleum Engineering from Texas A&amp;M University.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Civeo</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solutions,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2019-12-29T06:27:51Z</dcterms:created>
  <dcterms:modified xsi:type="dcterms:W3CDTF">2019-12-29T06:27:51Z</dcterms:modified>
</cp:coreProperties>
</file>