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McCann Peter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73"/>
              <w:spacing w:after="0"/>
              <w:rPr>
                <w:sz w:val="20"/>
                <w:szCs w:val="20"/>
                <w:color w:val="auto"/>
              </w:rPr>
            </w:pPr>
            <w:r>
              <w:rPr>
                <w:rFonts w:ascii="Arial" w:cs="Arial" w:eastAsia="Arial" w:hAnsi="Arial"/>
                <w:sz w:val="18"/>
                <w:szCs w:val="18"/>
                <w:color w:val="0000FF"/>
                <w:w w:val="88"/>
              </w:rPr>
              <w:t>05/17/2015</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0000FF"/>
                <w:w w:val="93"/>
              </w:rPr>
              <w:t>1,984</w:t>
            </w: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0000FF"/>
              </w:rPr>
              <w:t>23,217</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05/17/2015</w:t>
            </w:r>
          </w:p>
        </w:tc>
        <w:tc>
          <w:tcPr>
            <w:tcW w:w="114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920" w:type="dxa"/>
            <w:vAlign w:val="bottom"/>
            <w:vMerge w:val="restart"/>
          </w:tcPr>
          <w:p>
            <w:pPr>
              <w:ind w:left="480"/>
              <w:spacing w:after="0"/>
              <w:rPr>
                <w:sz w:val="20"/>
                <w:szCs w:val="20"/>
                <w:color w:val="auto"/>
              </w:rPr>
            </w:pPr>
            <w:r>
              <w:rPr>
                <w:rFonts w:ascii="Arial" w:cs="Arial" w:eastAsia="Arial" w:hAnsi="Arial"/>
                <w:sz w:val="14"/>
                <w:szCs w:val="14"/>
                <w:color w:val="0000FF"/>
              </w:rPr>
              <w:t>1,984</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6"/>
              <w:spacing w:after="0"/>
              <w:rPr>
                <w:sz w:val="20"/>
                <w:szCs w:val="20"/>
                <w:color w:val="auto"/>
              </w:rPr>
            </w:pPr>
            <w:r>
              <w:rPr>
                <w:rFonts w:ascii="Arial" w:cs="Arial" w:eastAsia="Arial" w:hAnsi="Arial"/>
                <w:sz w:val="18"/>
                <w:szCs w:val="18"/>
                <w:color w:val="0000FF"/>
                <w:w w:val="93"/>
              </w:rPr>
              <w:t>1,984</w:t>
            </w:r>
          </w:p>
        </w:tc>
        <w:tc>
          <w:tcPr>
            <w:tcW w:w="60" w:type="dxa"/>
            <w:vAlign w:val="bottom"/>
          </w:tcPr>
          <w:p>
            <w:pPr>
              <w:spacing w:after="0"/>
              <w:rPr>
                <w:sz w:val="16"/>
                <w:szCs w:val="16"/>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rPr>
                <w:sz w:val="20"/>
                <w:szCs w:val="20"/>
                <w:color w:val="auto"/>
              </w:rPr>
            </w:pPr>
            <w:r>
              <w:rPr>
                <w:rFonts w:ascii="Arial" w:cs="Arial" w:eastAsia="Arial" w:hAnsi="Arial"/>
                <w:sz w:val="14"/>
                <w:szCs w:val="14"/>
                <w:color w:val="0000FF"/>
                <w:w w:val="82"/>
              </w:rPr>
              <w:t>181,415</w:t>
            </w:r>
          </w:p>
        </w:tc>
        <w:tc>
          <w:tcPr>
            <w:tcW w:w="26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share of deferred stock represents a contingent right to receive one share of common stock of the Issuer. The deferred stock vests at various times based on the grant date. 1,984 shares vested on May 17, 2015.</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Australia</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8"/>
              </w:rPr>
              <w:t>/s/ Peter McCann, by Bradley</w:t>
            </w: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05/19/2015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0"/>
              </w:rPr>
              <w:t>J. Dodson, as Attorney-in-Fact</w:t>
            </w: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6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2019-12-09T03:35:41Z</dcterms:created>
  <dcterms:modified xsi:type="dcterms:W3CDTF">2019-12-09T03:35:41Z</dcterms:modified>
</cp:coreProperties>
</file>