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Torlowna Investments Ltd.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Lance Torgerson</w:t>
      </w:r>
    </w:p>
    <w:p>
      <w:pPr>
        <w:spacing w:after="0" w:line="211" w:lineRule="exact"/>
        <w:rPr>
          <w:sz w:val="24"/>
          <w:szCs w:val="24"/>
          <w:color w:val="auto"/>
        </w:rPr>
      </w:pPr>
    </w:p>
    <w:p>
      <w:pPr>
        <w:ind w:left="4904"/>
        <w:spacing w:after="0"/>
        <w:rPr>
          <w:sz w:val="20"/>
          <w:szCs w:val="20"/>
          <w:color w:val="auto"/>
        </w:rPr>
      </w:pPr>
      <w:r>
        <w:rPr>
          <w:rFonts w:ascii="Arial" w:cs="Arial" w:eastAsia="Arial" w:hAnsi="Arial"/>
          <w:sz w:val="18"/>
          <w:szCs w:val="18"/>
          <w:b w:val="1"/>
          <w:bCs w:val="1"/>
          <w:i w:val="1"/>
          <w:iCs w:val="1"/>
          <w:color w:val="auto"/>
        </w:rPr>
        <w:t>- with copies to -</w:t>
      </w:r>
    </w:p>
    <w:p>
      <w:pPr>
        <w:spacing w:after="0" w:line="113" w:lineRule="exact"/>
        <w:rPr>
          <w:sz w:val="24"/>
          <w:szCs w:val="24"/>
          <w:color w:val="auto"/>
        </w:rPr>
      </w:pPr>
    </w:p>
    <w:p>
      <w:pPr>
        <w:ind w:left="4664"/>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28,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4"/>
          <w:szCs w:val="24"/>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4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7"/>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right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8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4"/>
                <w:szCs w:val="14"/>
                <w:color w:val="auto"/>
              </w:rPr>
            </w:pPr>
          </w:p>
        </w:tc>
        <w:tc>
          <w:tcPr>
            <w:tcW w:w="8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6"/>
                <w:szCs w:val="16"/>
                <w:color w:val="auto"/>
              </w:rPr>
            </w:pPr>
          </w:p>
        </w:tc>
        <w:tc>
          <w:tcPr>
            <w:tcW w:w="8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40" w:type="dxa"/>
            <w:vAlign w:val="bottom"/>
          </w:tcPr>
          <w:p>
            <w:pPr>
              <w:ind w:left="34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900"/>
          </w:cols>
          <w:pgMar w:left="440" w:top="486"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2"/>
              </w:rPr>
              <w:t>989677 Alberta Ltd.</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8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SEC USE ONLY</w:t>
            </w:r>
          </w:p>
        </w:tc>
        <w:tc>
          <w:tcPr>
            <w:tcW w:w="8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9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0"/>
                <w:szCs w:val="20"/>
                <w:color w:val="auto"/>
              </w:rPr>
            </w:pPr>
          </w:p>
        </w:tc>
        <w:tc>
          <w:tcPr>
            <w:tcW w:w="8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1"/>
                <w:szCs w:val="11"/>
                <w:color w:val="auto"/>
              </w:rPr>
            </w:pPr>
          </w:p>
        </w:tc>
        <w:tc>
          <w:tcPr>
            <w:tcW w:w="8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8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160,104</w:t>
            </w: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5"/>
                <w:szCs w:val="5"/>
                <w:color w:val="auto"/>
              </w:rPr>
            </w:pPr>
          </w:p>
        </w:tc>
        <w:tc>
          <w:tcPr>
            <w:tcW w:w="8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8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8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160,104</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160,104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3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486"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4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7"/>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right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8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160,104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36"/>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440" w:type="dxa"/>
            <w:vAlign w:val="bottom"/>
            <w:tcBorders>
              <w:bottom w:val="single" w:sz="8" w:color="auto"/>
              <w:right w:val="single" w:sz="8" w:color="auto"/>
            </w:tcBorders>
          </w:tcPr>
          <w:p>
            <w:pPr>
              <w:spacing w:after="0"/>
              <w:rPr>
                <w:sz w:val="11"/>
                <w:szCs w:val="11"/>
                <w:color w:val="auto"/>
              </w:rPr>
            </w:pPr>
          </w:p>
        </w:tc>
        <w:tc>
          <w:tcPr>
            <w:tcW w:w="8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4"/>
                <w:szCs w:val="14"/>
                <w:color w:val="auto"/>
              </w:rPr>
            </w:pPr>
          </w:p>
        </w:tc>
        <w:tc>
          <w:tcPr>
            <w:tcW w:w="8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6"/>
                <w:szCs w:val="16"/>
                <w:color w:val="auto"/>
              </w:rPr>
            </w:pPr>
          </w:p>
        </w:tc>
        <w:tc>
          <w:tcPr>
            <w:tcW w:w="8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160,104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6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 xml:space="preserve">160,104 </w:t>
            </w:r>
            <w:r>
              <w:rPr>
                <w:rFonts w:ascii="Arial" w:cs="Arial" w:eastAsia="Arial" w:hAnsi="Arial"/>
                <w:sz w:val="26"/>
                <w:szCs w:val="26"/>
                <w:color w:val="auto"/>
                <w:w w:val="94"/>
                <w:vertAlign w:val="superscript"/>
              </w:rPr>
              <w:t>(1)</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4" w:right="22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Svenco Investments Ltd. may be deemed to be the beneficial owner of 160,104 shares held indirectly by Svenco Investments Ltd. as the direct owner of all of the voting shares of 989677 Alberta Ltd.</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486"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Torlowna Investments Ltd.</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4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7"/>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right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8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1,041,777</w:t>
            </w: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4"/>
                <w:szCs w:val="14"/>
                <w:color w:val="auto"/>
              </w:rPr>
            </w:pPr>
          </w:p>
        </w:tc>
        <w:tc>
          <w:tcPr>
            <w:tcW w:w="8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6"/>
                <w:szCs w:val="16"/>
                <w:color w:val="auto"/>
              </w:rPr>
            </w:pPr>
          </w:p>
        </w:tc>
        <w:tc>
          <w:tcPr>
            <w:tcW w:w="8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1,041,777</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1,041,777</w:t>
            </w:r>
          </w:p>
        </w:tc>
        <w:tc>
          <w:tcPr>
            <w:tcW w:w="4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6.9%</w:t>
            </w:r>
          </w:p>
        </w:tc>
        <w:tc>
          <w:tcPr>
            <w:tcW w:w="44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CO</w:t>
            </w:r>
          </w:p>
        </w:tc>
        <w:tc>
          <w:tcPr>
            <w:tcW w:w="44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40" w:type="dxa"/>
            <w:vAlign w:val="bottom"/>
          </w:tcPr>
          <w:p>
            <w:pPr>
              <w:ind w:left="34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0900"/>
          </w:cols>
          <w:pgMar w:left="440" w:top="486"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5"/>
              </w:rPr>
              <w:t>Lance Torgerson</w:t>
            </w: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4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200"/>
              <w:spacing w:after="0"/>
              <w:rPr>
                <w:sz w:val="20"/>
                <w:szCs w:val="20"/>
                <w:color w:val="auto"/>
              </w:rPr>
            </w:pPr>
            <w:r>
              <w:rPr>
                <w:rFonts w:ascii="Arial" w:cs="Arial" w:eastAsia="Arial" w:hAnsi="Arial"/>
                <w:sz w:val="18"/>
                <w:szCs w:val="18"/>
                <w:color w:val="auto"/>
                <w:w w:val="97"/>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8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8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1,201,881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36"/>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8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8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8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10</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1,201,881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6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8"/>
              </w:rPr>
              <w:t xml:space="preserve">1,201,881 </w:t>
            </w:r>
            <w:r>
              <w:rPr>
                <w:rFonts w:ascii="Arial" w:cs="Arial" w:eastAsia="Arial" w:hAnsi="Arial"/>
                <w:sz w:val="26"/>
                <w:szCs w:val="26"/>
                <w:color w:val="auto"/>
                <w:w w:val="88"/>
                <w:vertAlign w:val="superscript"/>
              </w:rPr>
              <w:t>(2)</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IN</w:t>
            </w:r>
          </w:p>
        </w:tc>
        <w:tc>
          <w:tcPr>
            <w:tcW w:w="38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4" w:right="220" w:hanging="444"/>
        <w:spacing w:after="0" w:line="207" w:lineRule="auto"/>
        <w:tabs>
          <w:tab w:leader="none" w:pos="44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Lance Torgerson may be deemed to be the beneficial owner of the shares held directly by Torlowna Investments Ltd. and 989677 Alberta Ltd., which are controlled by Lance Torgerson.</w:t>
      </w:r>
    </w:p>
    <w:p>
      <w:pPr>
        <w:spacing w:after="0" w:line="13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4"/>
          </w:cols>
          <w:pgMar w:left="436" w:top="486" w:right="5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88"/>
              </w:rPr>
              <w:t>Tammy Torgerson</w:t>
            </w: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4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200"/>
              <w:spacing w:after="0"/>
              <w:rPr>
                <w:sz w:val="20"/>
                <w:szCs w:val="20"/>
                <w:color w:val="auto"/>
              </w:rPr>
            </w:pPr>
            <w:r>
              <w:rPr>
                <w:rFonts w:ascii="Arial" w:cs="Arial" w:eastAsia="Arial" w:hAnsi="Arial"/>
                <w:sz w:val="18"/>
                <w:szCs w:val="18"/>
                <w:color w:val="auto"/>
                <w:w w:val="97"/>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8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8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8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1,201,881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136"/>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8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8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8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10</w:t>
            </w:r>
          </w:p>
        </w:tc>
        <w:tc>
          <w:tcPr>
            <w:tcW w:w="8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1,201,881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6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8"/>
              </w:rPr>
              <w:t xml:space="preserve">1,201,881 </w:t>
            </w:r>
            <w:r>
              <w:rPr>
                <w:rFonts w:ascii="Arial" w:cs="Arial" w:eastAsia="Arial" w:hAnsi="Arial"/>
                <w:sz w:val="26"/>
                <w:szCs w:val="26"/>
                <w:color w:val="auto"/>
                <w:w w:val="88"/>
                <w:vertAlign w:val="superscript"/>
              </w:rPr>
              <w:t>(3)</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IN</w:t>
            </w:r>
          </w:p>
        </w:tc>
        <w:tc>
          <w:tcPr>
            <w:tcW w:w="380" w:type="dxa"/>
            <w:vAlign w:val="bottom"/>
          </w:tcPr>
          <w:p>
            <w:pPr>
              <w:spacing w:after="0"/>
              <w:rPr>
                <w:sz w:val="24"/>
                <w:szCs w:val="24"/>
                <w:color w:val="auto"/>
              </w:rPr>
            </w:pP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64" w:right="2640" w:hanging="5464"/>
        <w:spacing w:after="0" w:line="329" w:lineRule="auto"/>
        <w:tabs>
          <w:tab w:leader="none" w:pos="442"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Mrs. Torgerson may be deemed to be the beneficial owner of the shares held by her spouse Lance Torgerson. 7</w:t>
      </w:r>
    </w:p>
    <w:p>
      <w:pPr>
        <w:sectPr>
          <w:pgSz w:w="11900" w:h="16838" w:orient="portrait"/>
          <w:cols w:equalWidth="0" w:num="1">
            <w:col w:w="10904"/>
          </w:cols>
          <w:pgMar w:left="436" w:top="486"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3"/>
              </w:rPr>
              <w:t>Richard Torgerson</w:t>
            </w: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2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620" w:type="dxa"/>
            <w:vAlign w:val="bottom"/>
            <w:gridSpan w:val="3"/>
          </w:tcPr>
          <w:p>
            <w:pPr>
              <w:ind w:left="200"/>
              <w:spacing w:after="0"/>
              <w:rPr>
                <w:sz w:val="20"/>
                <w:szCs w:val="20"/>
                <w:color w:val="auto"/>
              </w:rPr>
            </w:pPr>
            <w:r>
              <w:rPr>
                <w:rFonts w:ascii="Arial" w:cs="Arial" w:eastAsia="Arial" w:hAnsi="Arial"/>
                <w:sz w:val="18"/>
                <w:szCs w:val="18"/>
                <w:color w:val="auto"/>
              </w:rPr>
              <w:t>SEC USE ONLY</w:t>
            </w:r>
          </w:p>
        </w:tc>
        <w:tc>
          <w:tcPr>
            <w:tcW w:w="8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9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5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9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Canada</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20"/>
                <w:szCs w:val="20"/>
                <w:color w:val="auto"/>
              </w:rPr>
            </w:pPr>
          </w:p>
        </w:tc>
        <w:tc>
          <w:tcPr>
            <w:tcW w:w="8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7"/>
        </w:trPr>
        <w:tc>
          <w:tcPr>
            <w:tcW w:w="15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4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4"/>
              </w:rPr>
              <w:t>SHARES</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1"/>
                <w:szCs w:val="11"/>
                <w:color w:val="auto"/>
              </w:rPr>
            </w:pPr>
          </w:p>
        </w:tc>
        <w:tc>
          <w:tcPr>
            <w:tcW w:w="8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8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tcBorders>
              <w:left w:val="single" w:sz="8" w:color="auto"/>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right w:val="single" w:sz="8" w:color="auto"/>
            </w:tcBorders>
            <w:vMerge w:val="restart"/>
          </w:tcPr>
          <w:p>
            <w:pPr>
              <w:jc w:val="center"/>
              <w:ind w:right="234"/>
              <w:spacing w:after="0"/>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5"/>
                <w:szCs w:val="5"/>
                <w:color w:val="auto"/>
              </w:rPr>
            </w:pPr>
          </w:p>
        </w:tc>
        <w:tc>
          <w:tcPr>
            <w:tcW w:w="8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340" w:type="dxa"/>
            <w:vAlign w:val="bottom"/>
            <w:tcBorders>
              <w:left w:val="single" w:sz="8" w:color="auto"/>
            </w:tcBorders>
          </w:tcPr>
          <w:p>
            <w:pPr>
              <w:spacing w:after="0"/>
              <w:rPr>
                <w:sz w:val="14"/>
                <w:szCs w:val="14"/>
                <w:color w:val="auto"/>
              </w:rPr>
            </w:pPr>
          </w:p>
        </w:tc>
        <w:tc>
          <w:tcPr>
            <w:tcW w:w="120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200" w:type="dxa"/>
            <w:vAlign w:val="bottom"/>
            <w:tcBorders>
              <w:right w:val="single" w:sz="8" w:color="auto"/>
            </w:tcBorders>
            <w:gridSpan w:val="2"/>
            <w:vMerge w:val="continue"/>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auto"/>
            </w:tcBorders>
          </w:tcPr>
          <w:p>
            <w:pPr>
              <w:jc w:val="center"/>
              <w:ind w:right="214"/>
              <w:spacing w:after="0" w:line="190"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8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100" w:type="dxa"/>
            <w:vAlign w:val="bottom"/>
          </w:tcPr>
          <w:p>
            <w:pPr>
              <w:ind w:left="200"/>
              <w:spacing w:after="0"/>
              <w:rPr>
                <w:sz w:val="20"/>
                <w:szCs w:val="20"/>
                <w:color w:val="auto"/>
              </w:rPr>
            </w:pPr>
            <w:r>
              <w:rPr>
                <w:rFonts w:ascii="Arial" w:cs="Arial" w:eastAsia="Arial" w:hAnsi="Arial"/>
                <w:sz w:val="18"/>
                <w:szCs w:val="18"/>
                <w:color w:val="auto"/>
                <w:w w:val="75"/>
              </w:rPr>
              <w:t>AGGREGATE</w:t>
            </w:r>
          </w:p>
        </w:tc>
        <w:tc>
          <w:tcPr>
            <w:tcW w:w="93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3"/>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60" w:type="dxa"/>
            <w:vAlign w:val="bottom"/>
          </w:tcPr>
          <w:p>
            <w:pPr>
              <w:ind w:left="34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0900"/>
          </w:cols>
          <w:pgMar w:left="440" w:top="486" w:right="559" w:bottom="1440" w:gutter="0" w:footer="0" w:header="0"/>
        </w:sectPr>
      </w:pPr>
    </w:p>
    <w:bookmarkStart w:id="8" w:name="page9"/>
    <w:bookmarkEnd w:id="8"/>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AMENDMENT NO. 12 TO SCHEDULE 13D</w:t>
      </w:r>
    </w:p>
    <w:p>
      <w:pPr>
        <w:spacing w:after="0" w:line="229"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This Amendment No. 12 to Schedule 13D/A (the “Amendment”) relates to the Common Shares (“Common Shares”) of Civeo Corporation, a British Columbia corporation (the “Issuer” or the “Company”). This Amendment is being filed to amend the Schedule 13D/A that was filed on February 10, 2023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ownership percentage is calculated based upon 15,049,360 Common Shares outstanding as of April 24, 2023, as reported in the Issuer’s Quarterly Report on Form 10-Q filed with the Securities and Exchange Commission (the “SEC”) on April 28, 2023.</w:t>
      </w:r>
    </w:p>
    <w:p>
      <w:pPr>
        <w:spacing w:after="0" w:line="170" w:lineRule="exact"/>
        <w:rPr>
          <w:sz w:val="20"/>
          <w:szCs w:val="20"/>
          <w:color w:val="auto"/>
        </w:rPr>
      </w:pPr>
    </w:p>
    <w:p>
      <w:pPr>
        <w:ind w:left="4" w:right="260" w:hanging="4"/>
        <w:spacing w:after="0" w:line="263"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table below sets forth all transactions in Common Shares within the past 60 days by the Reporting Persons. The transactions set forth below were effected on the open market. Except for the transactions set forth below, none of the Reporting Persons effected any transaction in the Common Shares during the past 60 days.</w:t>
      </w:r>
    </w:p>
    <w:p>
      <w:pPr>
        <w:spacing w:after="0" w:line="202" w:lineRule="exact"/>
        <w:rPr>
          <w:sz w:val="20"/>
          <w:szCs w:val="20"/>
          <w:color w:val="auto"/>
        </w:rPr>
      </w:pPr>
    </w:p>
    <w:tbl>
      <w:tblPr>
        <w:tblLayout w:type="fixed"/>
        <w:tblInd w:w="884" w:type="dxa"/>
        <w:tblCellMar>
          <w:top w:w="0" w:type="dxa"/>
          <w:left w:w="0" w:type="dxa"/>
          <w:bottom w:w="0" w:type="dxa"/>
          <w:right w:w="0" w:type="dxa"/>
        </w:tblCellMar>
      </w:tblPr>
      <w:tr>
        <w:trPr>
          <w:trHeight w:val="19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Nature of Transaction</w:t>
            </w:r>
          </w:p>
        </w:tc>
        <w:tc>
          <w:tcPr>
            <w:tcW w:w="2260" w:type="dxa"/>
            <w:vAlign w:val="bottom"/>
            <w:gridSpan w:val="3"/>
          </w:tcPr>
          <w:p>
            <w:pPr>
              <w:ind w:left="760"/>
              <w:spacing w:after="0"/>
              <w:rPr>
                <w:sz w:val="20"/>
                <w:szCs w:val="20"/>
                <w:color w:val="auto"/>
              </w:rPr>
            </w:pPr>
            <w:r>
              <w:rPr>
                <w:rFonts w:ascii="Arial" w:cs="Arial" w:eastAsia="Arial" w:hAnsi="Arial"/>
                <w:sz w:val="14"/>
                <w:szCs w:val="14"/>
                <w:b w:val="1"/>
                <w:bCs w:val="1"/>
                <w:color w:val="auto"/>
              </w:rPr>
              <w:t>Number of Shares</w:t>
            </w:r>
          </w:p>
        </w:tc>
        <w:tc>
          <w:tcPr>
            <w:tcW w:w="140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Price Per Share</w:t>
            </w:r>
          </w:p>
        </w:tc>
      </w:tr>
      <w:tr>
        <w:trPr>
          <w:trHeight w:val="203"/>
        </w:trPr>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24-</w:t>
            </w:r>
          </w:p>
        </w:tc>
        <w:tc>
          <w:tcPr>
            <w:tcW w:w="2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May-23</w:t>
            </w:r>
          </w:p>
        </w:tc>
        <w:tc>
          <w:tcPr>
            <w:tcW w:w="17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Sale</w:t>
            </w:r>
          </w:p>
        </w:tc>
        <w:tc>
          <w:tcPr>
            <w:tcW w:w="7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2,138</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20.59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25-May-23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20.47</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26-May-23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3,200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30-May-23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1,500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20.09</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31-May-23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1,600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1-Jun-23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2,890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20.24</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2-Jun-23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5,200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20.99</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5-Jun-23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1,600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20.44</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6-Jun-23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6,400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7-Jun-23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4,800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21.33</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8-Jun-23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5,057</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9-Jun-23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2,900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20.59</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12-Jun-23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4,653</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13-Jun-23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42,835</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19.67</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16-Jun-23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15,164</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19.61</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21-Jun-23</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15,734</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27-Jun-23</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19,505</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28-Jun-23</w:t>
            </w:r>
          </w:p>
        </w:tc>
        <w:tc>
          <w:tcPr>
            <w:tcW w:w="17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2260" w:type="dxa"/>
            <w:vAlign w:val="bottom"/>
            <w:gridSpan w:val="3"/>
          </w:tcPr>
          <w:p>
            <w:pPr>
              <w:jc w:val="right"/>
              <w:ind w:right="380"/>
              <w:spacing w:after="0"/>
              <w:rPr>
                <w:sz w:val="20"/>
                <w:szCs w:val="20"/>
                <w:color w:val="auto"/>
              </w:rPr>
            </w:pPr>
            <w:r>
              <w:rPr>
                <w:rFonts w:ascii="Arial" w:cs="Arial" w:eastAsia="Arial" w:hAnsi="Arial"/>
                <w:sz w:val="18"/>
                <w:szCs w:val="18"/>
                <w:color w:val="auto"/>
              </w:rPr>
              <w:t>15,235</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19.52</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 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 Not applicable.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486" w:right="47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Lance Torgerson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Lance Torgerson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60"/>
              <w:spacing w:after="0"/>
              <w:rPr>
                <w:sz w:val="20"/>
                <w:szCs w:val="20"/>
                <w:color w:val="auto"/>
              </w:rPr>
            </w:pPr>
            <w:r>
              <w:rPr>
                <w:rFonts w:ascii="Arial" w:cs="Arial" w:eastAsia="Arial" w:hAnsi="Arial"/>
                <w:sz w:val="18"/>
                <w:szCs w:val="18"/>
                <w:color w:val="auto"/>
              </w:rPr>
              <w:t>Lance Torgerson</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Torlowna Investments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Lance Torgerson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Lance Torgerson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Torgerson</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sectPr>
      <w:pgSz w:w="11900" w:h="16838" w:orient="portrait"/>
      <w:cols w:equalWidth="0" w:num="1">
        <w:col w:w="10900"/>
      </w:cols>
      <w:pgMar w:left="440" w:top="48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2023-06-30T15:08:35Z</dcterms:created>
  <dcterms:modified xsi:type="dcterms:W3CDTF">2023-06-30T15:08:35Z</dcterms:modified>
</cp:coreProperties>
</file>