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July 28,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722"/>
        <w:spacing w:after="0" w:line="342" w:lineRule="auto"/>
        <w:rPr>
          <w:sz w:val="20"/>
          <w:szCs w:val="20"/>
          <w:color w:val="auto"/>
        </w:rPr>
      </w:pPr>
      <w:r>
        <w:rPr>
          <w:rFonts w:ascii="Arial" w:cs="Arial" w:eastAsia="Arial" w:hAnsi="Arial"/>
          <w:sz w:val="16"/>
          <w:szCs w:val="16"/>
          <w:color w:val="auto"/>
        </w:rPr>
        <w:t>On July 28, 2017, Civeo Corporation (“Civeo”) issued a press release announcing its financial condition and results of operations as of and for the quarter ended June 30, 2017. A copy of the press release is furnished as Exhibit 99.1 to this report on Form 8-K, and is incorporated herein by reference.</w:t>
      </w:r>
    </w:p>
    <w:p>
      <w:pPr>
        <w:spacing w:after="0" w:line="124" w:lineRule="exact"/>
        <w:rPr>
          <w:sz w:val="20"/>
          <w:szCs w:val="20"/>
          <w:color w:val="auto"/>
        </w:rPr>
      </w:pPr>
    </w:p>
    <w:p>
      <w:pPr>
        <w:jc w:val="both"/>
        <w:ind w:firstLine="889"/>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60" w:hanging="52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Description of Document</w:t>
      </w:r>
    </w:p>
    <w:p>
      <w:pPr>
        <w:spacing w:after="0" w:line="26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140" w:type="dxa"/>
            <w:vAlign w:val="bottom"/>
            <w:gridSpan w:val="3"/>
          </w:tcPr>
          <w:p>
            <w:pPr>
              <w:ind w:left="206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July 28, 2017</w:t>
            </w:r>
          </w:p>
        </w:tc>
        <w:tc>
          <w:tcPr>
            <w:tcW w:w="5140" w:type="dxa"/>
            <w:vAlign w:val="bottom"/>
            <w:gridSpan w:val="3"/>
          </w:tcPr>
          <w:p>
            <w:pPr>
              <w:ind w:left="2060"/>
              <w:spacing w:after="0"/>
              <w:rPr>
                <w:sz w:val="20"/>
                <w:szCs w:val="20"/>
                <w:color w:val="auto"/>
              </w:rPr>
            </w:pPr>
            <w:r>
              <w:rPr>
                <w:rFonts w:ascii="Arial" w:cs="Arial" w:eastAsia="Arial" w:hAnsi="Arial"/>
                <w:sz w:val="18"/>
                <w:szCs w:val="18"/>
                <w:color w:val="auto"/>
              </w:rPr>
              <w:t>By: /s/ Frank C. Steininger</w:t>
            </w:r>
          </w:p>
        </w:tc>
      </w:tr>
      <w:tr>
        <w:trPr>
          <w:trHeight w:val="222"/>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720" w:type="dxa"/>
            <w:vAlign w:val="bottom"/>
          </w:tcPr>
          <w:p>
            <w:pPr>
              <w:spacing w:after="0"/>
              <w:rPr>
                <w:sz w:val="19"/>
                <w:szCs w:val="19"/>
                <w:color w:val="auto"/>
              </w:rPr>
            </w:pPr>
          </w:p>
        </w:tc>
      </w:tr>
      <w:tr>
        <w:trPr>
          <w:trHeight w:val="216"/>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Description of Document</w:t>
      </w:r>
    </w:p>
    <w:p>
      <w:pPr>
        <w:spacing w:after="0" w:line="292" w:lineRule="exact"/>
        <w:rPr>
          <w:sz w:val="20"/>
          <w:szCs w:val="20"/>
          <w:color w:val="auto"/>
        </w:rPr>
      </w:pPr>
    </w:p>
    <w:p>
      <w:pPr>
        <w:ind w:left="20"/>
        <w:spacing w:after="0"/>
        <w:tabs>
          <w:tab w:leader="none" w:pos="7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July 28, 2017</w:t>
      </w:r>
    </w:p>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Second Quarter 2017 Results</w:t>
      </w: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HOUSTON, July 28, 2017 (GLOBE NEWSWIRE) -- Civeo Corporation (NYSE:CVEO) today reported financial and operating results for the second quarter ended June 30,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second quarter revenues of $92.0 million primarily due to higher than expected occupancy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680"/>
        <w:spacing w:after="0" w:line="251" w:lineRule="auto"/>
        <w:rPr>
          <w:sz w:val="20"/>
          <w:szCs w:val="20"/>
          <w:color w:val="auto"/>
        </w:rPr>
      </w:pPr>
      <w:r>
        <w:rPr>
          <w:rFonts w:ascii="Arial" w:cs="Arial" w:eastAsia="Arial" w:hAnsi="Arial"/>
          <w:sz w:val="22"/>
          <w:szCs w:val="22"/>
          <w:color w:val="auto"/>
        </w:rPr>
        <w:t>Reduced net loss sequentially to $14.8 million from $21.0 million, and generated $18.6 million in Adjusted EBITDA, sequentially higher in all three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160"/>
        <w:spacing w:after="0" w:line="251" w:lineRule="auto"/>
        <w:rPr>
          <w:sz w:val="20"/>
          <w:szCs w:val="20"/>
          <w:color w:val="auto"/>
        </w:rPr>
      </w:pPr>
      <w:r>
        <w:rPr>
          <w:rFonts w:ascii="Arial" w:cs="Arial" w:eastAsia="Arial" w:hAnsi="Arial"/>
          <w:sz w:val="22"/>
          <w:szCs w:val="22"/>
          <w:color w:val="auto"/>
        </w:rPr>
        <w:t>Awarded four accommodation contracts for pipeline projects in Canada with expected revenue totaling approximately C$20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“Despite the continuing macroeconomic headwinds impacting our industry, we delivered strong operational results during the second quarter. Although we are still seeing pricing volatility across our end-markets, we continue to secure new work. During the quarter, we were awarded four accommodation contracts for pipeline projects in Canada with expected revenue totaling approximately C$20 million. We also experienced increased occupancy in the US Permian and Bakken regions, stronger than anticipated performance in our Canadian lodges, and continued improvement in our Australian operations occupancy driven by shorter-term work in the mining sector.” said Bradley J. Dodson, President and Chief Executive Officer.</w:t>
      </w:r>
    </w:p>
    <w:p>
      <w:pPr>
        <w:spacing w:after="0" w:line="151"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Mr. Dodson concluded, “We remain focused on our strategic priorities which include delevering our balance sheet, improving operational efficiencies across all segments, and generating free cash flow to pursue opportunistic growth opportunities and reduce debt. To that end, we continue to vigilantly adhere to our operational standards of providing best-in-class service to our customers, including implementing technology to enhance the guest experience such as our a la carte food ordering system.”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2017 Results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 the second quarter of 2017, Civeo generated revenues of $92.0 million and reported a net loss of $14.8 million, or $0.11 per share. During the second quarter of 2017, Civeo generated operating cash flow of $4.6 million, Adjusted EBITDA of $18.6 million, and free cash flow of $3.0 million.</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(EBITDA is a non-GAAP financial measure that is defined as net income plus interest, taxes, depreciation and amortization, and Adjusted EBITDA is defined as EBITDA adjusted to exclude impairment charges and the costs directly associated with Civeo’s redomiciliation to Canada.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By comparison, in the second quarter of 2016, Civeo generated revenues of $107.0 million and reported a net loss of $11.5 million, or $0.11 per share. That net loss included the impact of $0.2 million of pre-tax expense related to Civeo’s redomiciliation to Canada. During the second quarter of 2016, Civeo generated operating cash flow of $23.9 million, Adjusted EBITDA of $26.9 million and free cash flow of $19.2 million.</w:t>
      </w:r>
    </w:p>
    <w:p>
      <w:pPr>
        <w:spacing w:after="0" w:line="1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Revenues, operating cash flow and Adjusted EBITDA declined, and net loss increased, in the second quarter of 2017 as compared to the second quarter of 2016, primarily due to higher Canadian lodge occupancy in the 2016 quarter during and after the Ft. McMurray wild fires.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noted, the following discussion compares the quarterly results for the second quarter of 2017 to the results for the second quarter of 2016. The Adjusted EBITDA amounts discussed below exclude the fixed asset impairment and redomiciliation-related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During the second quarter of 2017, the Canadian segment generated revenues of $57.7 million, operating loss of $9.6 million and Adjusted EBITDA of $14.7 million, compared to revenues of $77.1 million, operating income of $0.7 million and Adjusted EBITDA of $23.9 million in the second quarter of 2016. Results reflect the impact of a weaker Canadian dollar relative to the U.S. dollar, which reduced revenues by $2.5 million and Adjusted EBITDA by $0.6 million. On a constant currency basis, revenues decreased primarily due to the Canadian outperformance in the 2016 quarter related to the Ft. McMurray fires. These items were partially offset by higher lodge occupancy related to customer construction and maintenance projects.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The financial results of the Australian segment for the second quarter of 2017 were comparable to the second quarter in 2016. Revenue was $28.6 million, operating loss was $3.4 million and Adjusted EBITDA was $10.8 million in the second quarter of</w:t>
      </w:r>
    </w:p>
    <w:p>
      <w:pPr>
        <w:sectPr>
          <w:pgSz w:w="11900" w:h="16838" w:orient="portrait"/>
          <w:cols w:equalWidth="0" w:num="1">
            <w:col w:w="11420"/>
          </w:cols>
          <w:pgMar w:left="240" w:top="112" w:right="239" w:bottom="0" w:gutter="0" w:footer="0" w:header="0"/>
        </w:sectPr>
      </w:pPr>
    </w:p>
    <w:bookmarkStart w:id="4" w:name="page5"/>
    <w:bookmarkEnd w:id="4"/>
    <w:p>
      <w:pPr>
        <w:ind w:right="140"/>
        <w:spacing w:after="0" w:line="251" w:lineRule="auto"/>
        <w:rPr>
          <w:sz w:val="20"/>
          <w:szCs w:val="20"/>
          <w:color w:val="auto"/>
        </w:rPr>
      </w:pPr>
      <w:r>
        <w:rPr>
          <w:rFonts w:ascii="Arial" w:cs="Arial" w:eastAsia="Arial" w:hAnsi="Arial"/>
          <w:sz w:val="22"/>
          <w:szCs w:val="22"/>
          <w:color w:val="auto"/>
        </w:rPr>
        <w:t>2017, compared to revenues of $27.5 million, operating loss of $0.9 million and Adjusted EBITDA of $11.0 million in the second quarter of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The U.S. segment generated revenues of $5.7 million, operating loss of $3.6 million and an Adjusted EBITDA loss of $1.1 million in the second quarter of 2017, compared to revenues of $2.4 million, operating loss of $3.8 million and an Adjusted EBITDA loss of $2.4 million in the second quarter of 2016. The Adjusted EBITDA increase was primarily due to the year-over-year improvement in occupancy at our West Permian and Killdeer lodges, continued improvement in our wellsite business resulting from increased U.S. drilling and completion activity in the Bakken, Rockies and Texas markets and cost containment measures put in place in 2016.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Civeo recognized an income tax benefit of $2.9 million, which resulted in an effective tax rate of 16.5% in the second quarter of 2017. During the second quarter of 2016, Civeo recognized an income tax benefit of $0.9 million, which resulted in an effective tax rate of 7.7%.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As of June 30, 2017, Civeo had total liquidity of approximately $144.8 million, consisting of $117.5 million available under its revolving credit facilities and $27.3 million of cash on hand.</w:t>
      </w:r>
    </w:p>
    <w:p>
      <w:pPr>
        <w:spacing w:after="0" w:line="173"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Civeo’s total debt outstanding at June 30, 2017 was $320.2 million, a $3.7 million increase over the first quarter of 2017. The increase in debt from March 31, 2017 was due to the Canadian dollar strengthening versus the U.S. dollar toward the end of the second quarter, partially offset by $4.0 million in debt reduction payments.</w:t>
      </w:r>
    </w:p>
    <w:p>
      <w:pPr>
        <w:spacing w:after="0" w:line="186"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During the second quarter of 2017, Civeo invested $2.2 million in capital expenditures, down from $5.1 million during the second quarter of 2016. For both periods, such capital expenditures were primarily for routine maintenance.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and Full Year 2017 Guidance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the third quarter of 2017, Civeo expects revenues of $89 million to $95 million and EBITDA of $16.0 million to $18.5 million.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For the full year of 2017, Civeo expects revenues of $354 million to $363 million and EBITDA of $61 million to $66 million.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Civeo expects capital expenditures of approximately $12 to $15 million for the full year 2017.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color w:val="auto"/>
        </w:rPr>
        <w:t>Civeo will host a conference call to discuss its second quarter 2017 financial results today at 11:00 a.m. Eastern time. This call is being webcast and can be accessed at Civeo's website at www.civeo.com. Participants may also join the conference call by dialing</w:t>
      </w:r>
    </w:p>
    <w:p>
      <w:pPr>
        <w:spacing w:after="0" w:line="2" w:lineRule="exact"/>
        <w:rPr>
          <w:sz w:val="20"/>
          <w:szCs w:val="20"/>
          <w:color w:val="auto"/>
        </w:rPr>
      </w:pPr>
    </w:p>
    <w:p>
      <w:pPr>
        <w:ind w:right="220" w:firstLine="8"/>
        <w:spacing w:after="0" w:line="234" w:lineRule="auto"/>
        <w:tabs>
          <w:tab w:leader="none" w:pos="522" w:val="left"/>
        </w:tabs>
        <w:numPr>
          <w:ilvl w:val="0"/>
          <w:numId w:val="3"/>
        </w:numPr>
        <w:rPr>
          <w:rFonts w:ascii="Arial" w:cs="Arial" w:eastAsia="Arial" w:hAnsi="Arial"/>
          <w:sz w:val="22"/>
          <w:szCs w:val="22"/>
          <w:color w:val="auto"/>
        </w:rPr>
      </w:pPr>
      <w:r>
        <w:rPr>
          <w:rFonts w:ascii="Arial" w:cs="Arial" w:eastAsia="Arial" w:hAnsi="Arial"/>
          <w:sz w:val="22"/>
          <w:szCs w:val="22"/>
          <w:color w:val="auto"/>
        </w:rPr>
        <w:t>708-5689 in the United States or (913) 312-0381 internationally and using the conference ID 5801271. A replay will be available after the call by dialing (844) 512-2921 in the United States or (412) 317-6671 internationally and using the conference ID 5801271.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views regarding broadening stabilization in its core end markets; improving performance in its Australian and U.S. segments and continued signs of improvement in fundamental macro-economic drivers; optimism about market demand in 2017; and third quarter and full year 2017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 Management’s Discussion</w:t>
      </w:r>
    </w:p>
    <w:p>
      <w:pPr>
        <w:sectPr>
          <w:pgSz w:w="11900" w:h="16838" w:orient="portrait"/>
          <w:cols w:equalWidth="0" w:num="1">
            <w:col w:w="11380"/>
          </w:cols>
          <w:pgMar w:left="240" w:top="118" w:right="279" w:bottom="0" w:gutter="0" w:footer="0" w:header="0"/>
        </w:sectPr>
      </w:pPr>
    </w:p>
    <w:bookmarkStart w:id="5" w:name="page6"/>
    <w:bookmarkEnd w:id="5"/>
    <w:p>
      <w:pPr>
        <w:spacing w:after="0" w:line="249" w:lineRule="auto"/>
        <w:rPr>
          <w:sz w:val="20"/>
          <w:szCs w:val="20"/>
          <w:color w:val="auto"/>
        </w:rPr>
      </w:pPr>
      <w:r>
        <w:rPr>
          <w:rFonts w:ascii="Arial" w:cs="Arial" w:eastAsia="Arial" w:hAnsi="Arial"/>
          <w:sz w:val="21"/>
          <w:szCs w:val="21"/>
          <w:color w:val="auto"/>
        </w:rPr>
        <w:t>and Analysis of Financial Condition and Results of Operations " and "Risk Factors" sections of Civeo’s annual report on Form 10-K for the year ended December 31, 2016,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86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20" w:type="dxa"/>
            <w:vAlign w:val="bottom"/>
          </w:tcPr>
          <w:p>
            <w:pPr>
              <w:spacing w:after="0"/>
              <w:rPr>
                <w:sz w:val="21"/>
                <w:szCs w:val="21"/>
                <w:color w:val="auto"/>
              </w:rPr>
            </w:pPr>
          </w:p>
        </w:tc>
        <w:tc>
          <w:tcPr>
            <w:tcW w:w="4900" w:type="dxa"/>
            <w:vAlign w:val="bottom"/>
            <w:gridSpan w:val="11"/>
          </w:tcPr>
          <w:p>
            <w:pPr>
              <w:ind w:left="20"/>
              <w:spacing w:after="0"/>
              <w:rPr>
                <w:sz w:val="20"/>
                <w:szCs w:val="20"/>
                <w:color w:val="auto"/>
              </w:rPr>
            </w:pPr>
            <w:r>
              <w:rPr>
                <w:rFonts w:ascii="Arial" w:cs="Arial" w:eastAsia="Arial" w:hAnsi="Arial"/>
                <w:sz w:val="22"/>
                <w:szCs w:val="22"/>
                <w:b w:val="1"/>
                <w:bCs w:val="1"/>
                <w:color w:val="auto"/>
              </w:rPr>
              <w:t>THREE MONTHS ENDED SIX MONTHS ENDED</w:t>
            </w:r>
          </w:p>
        </w:tc>
      </w:tr>
      <w:tr>
        <w:trPr>
          <w:trHeight w:val="270"/>
        </w:trPr>
        <w:tc>
          <w:tcPr>
            <w:tcW w:w="5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gridSpan w:val="4"/>
          </w:tcPr>
          <w:p>
            <w:pPr>
              <w:jc w:val="right"/>
              <w:ind w:right="55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w w:val="89"/>
              </w:rPr>
              <w:t>2016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2016</w:t>
            </w:r>
          </w:p>
        </w:tc>
      </w:tr>
      <w:tr>
        <w:trPr>
          <w:trHeight w:val="532"/>
        </w:trPr>
        <w:tc>
          <w:tcPr>
            <w:tcW w:w="5520" w:type="dxa"/>
            <w:vAlign w:val="bottom"/>
          </w:tcPr>
          <w:p>
            <w:pPr>
              <w:spacing w:after="0"/>
              <w:rPr>
                <w:sz w:val="20"/>
                <w:szCs w:val="20"/>
                <w:color w:val="auto"/>
              </w:rPr>
            </w:pPr>
            <w:r>
              <w:rPr>
                <w:rFonts w:ascii="Arial" w:cs="Arial" w:eastAsia="Arial" w:hAnsi="Arial"/>
                <w:sz w:val="22"/>
                <w:szCs w:val="22"/>
                <w:color w:val="auto"/>
              </w:rPr>
              <w:t>Revenues</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92,010</w:t>
            </w:r>
          </w:p>
        </w:tc>
        <w:tc>
          <w:tcPr>
            <w:tcW w:w="100" w:type="dxa"/>
            <w:vAlign w:val="bottom"/>
          </w:tcPr>
          <w:p>
            <w:pPr>
              <w:spacing w:after="0"/>
              <w:rPr>
                <w:sz w:val="24"/>
                <w:szCs w:val="24"/>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860" w:type="dxa"/>
            <w:vAlign w:val="bottom"/>
          </w:tcPr>
          <w:p>
            <w:pPr>
              <w:jc w:val="right"/>
              <w:ind w:right="32"/>
              <w:spacing w:after="0"/>
              <w:rPr>
                <w:sz w:val="20"/>
                <w:szCs w:val="20"/>
                <w:color w:val="auto"/>
              </w:rPr>
            </w:pPr>
            <w:r>
              <w:rPr>
                <w:rFonts w:ascii="Arial" w:cs="Arial" w:eastAsia="Arial" w:hAnsi="Arial"/>
                <w:sz w:val="22"/>
                <w:szCs w:val="22"/>
                <w:color w:val="auto"/>
                <w:w w:val="87"/>
              </w:rPr>
              <w:t>107,035</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183,439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ind w:right="12"/>
              <w:spacing w:after="0"/>
              <w:rPr>
                <w:sz w:val="20"/>
                <w:szCs w:val="20"/>
                <w:color w:val="auto"/>
              </w:rPr>
            </w:pPr>
            <w:r>
              <w:rPr>
                <w:rFonts w:ascii="Arial" w:cs="Arial" w:eastAsia="Arial" w:hAnsi="Arial"/>
                <w:sz w:val="22"/>
                <w:szCs w:val="22"/>
                <w:color w:val="auto"/>
                <w:w w:val="93"/>
              </w:rPr>
              <w:t>202,071</w:t>
            </w:r>
          </w:p>
        </w:tc>
      </w:tr>
      <w:tr>
        <w:trPr>
          <w:trHeight w:val="536"/>
        </w:trPr>
        <w:tc>
          <w:tcPr>
            <w:tcW w:w="5520" w:type="dxa"/>
            <w:vAlign w:val="bottom"/>
          </w:tcPr>
          <w:p>
            <w:pPr>
              <w:spacing w:after="0"/>
              <w:rPr>
                <w:sz w:val="20"/>
                <w:szCs w:val="20"/>
                <w:color w:val="auto"/>
              </w:rPr>
            </w:pPr>
            <w:r>
              <w:rPr>
                <w:rFonts w:ascii="Arial" w:cs="Arial" w:eastAsia="Arial" w:hAnsi="Arial"/>
                <w:sz w:val="22"/>
                <w:szCs w:val="22"/>
                <w:color w:val="auto"/>
              </w:rPr>
              <w:t>Costs and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Cost of sales and services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59,484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rPr>
              <w:t>64,586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121,156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w w:val="93"/>
              </w:rPr>
              <w:t>130,529</w:t>
            </w: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Selling, general and administrative expenses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14,060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rPr>
              <w:t>15,295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28,270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28,412</w:t>
            </w: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Depreciation and amortization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31,554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rPr>
              <w:t>33,168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64,383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66,723</w:t>
            </w: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Impairment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8,400</w:t>
            </w:r>
          </w:p>
        </w:tc>
      </w:tr>
      <w:tr>
        <w:trPr>
          <w:trHeight w:val="276"/>
        </w:trPr>
        <w:tc>
          <w:tcPr>
            <w:tcW w:w="5520" w:type="dxa"/>
            <w:vAlign w:val="bottom"/>
          </w:tcPr>
          <w:p>
            <w:pPr>
              <w:ind w:left="120"/>
              <w:spacing w:after="0"/>
              <w:rPr>
                <w:sz w:val="20"/>
                <w:szCs w:val="20"/>
                <w:color w:val="auto"/>
              </w:rPr>
            </w:pPr>
            <w:r>
              <w:rPr>
                <w:rFonts w:ascii="Arial" w:cs="Arial" w:eastAsia="Arial" w:hAnsi="Arial"/>
                <w:sz w:val="22"/>
                <w:szCs w:val="22"/>
                <w:color w:val="auto"/>
              </w:rPr>
              <w:t>Other operating expense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218</w:t>
            </w:r>
          </w:p>
        </w:tc>
      </w:tr>
      <w:tr>
        <w:trPr>
          <w:trHeight w:val="265"/>
        </w:trPr>
        <w:tc>
          <w:tcPr>
            <w:tcW w:w="55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105,377</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7"/>
              </w:rPr>
              <w:t>113,049</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214,538</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3"/>
              </w:rPr>
              <w:t>234,282</w:t>
            </w:r>
          </w:p>
        </w:tc>
      </w:tr>
      <w:tr>
        <w:trPr>
          <w:trHeight w:val="268"/>
        </w:trPr>
        <w:tc>
          <w:tcPr>
            <w:tcW w:w="5520" w:type="dxa"/>
            <w:vAlign w:val="bottom"/>
          </w:tcPr>
          <w:p>
            <w:pPr>
              <w:spacing w:after="0"/>
              <w:rPr>
                <w:sz w:val="20"/>
                <w:szCs w:val="20"/>
                <w:color w:val="auto"/>
              </w:rPr>
            </w:pPr>
            <w:r>
              <w:rPr>
                <w:rFonts w:ascii="Arial" w:cs="Arial" w:eastAsia="Arial" w:hAnsi="Arial"/>
                <w:sz w:val="22"/>
                <w:szCs w:val="22"/>
                <w:color w:val="auto"/>
              </w:rPr>
              <w:t>Operating loss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(13,367)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(6,014)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(31,099)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(32,211)</w:t>
            </w:r>
          </w:p>
        </w:tc>
      </w:tr>
      <w:tr>
        <w:trPr>
          <w:trHeight w:val="528"/>
        </w:trPr>
        <w:tc>
          <w:tcPr>
            <w:tcW w:w="5520" w:type="dxa"/>
            <w:vAlign w:val="bottom"/>
          </w:tcPr>
          <w:p>
            <w:pPr>
              <w:spacing w:after="0"/>
              <w:rPr>
                <w:sz w:val="20"/>
                <w:szCs w:val="20"/>
                <w:color w:val="auto"/>
              </w:rPr>
            </w:pPr>
            <w:r>
              <w:rPr>
                <w:rFonts w:ascii="Arial" w:cs="Arial" w:eastAsia="Arial" w:hAnsi="Arial"/>
                <w:sz w:val="22"/>
                <w:szCs w:val="22"/>
                <w:color w:val="auto"/>
                <w:w w:val="97"/>
              </w:rPr>
              <w:t>Interest expense to third parties, net of capitalized interest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(4,752)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(5,925)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(10,256)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(10,869)</w:t>
            </w:r>
          </w:p>
        </w:tc>
      </w:tr>
      <w:tr>
        <w:trPr>
          <w:trHeight w:val="270"/>
        </w:trPr>
        <w:tc>
          <w:tcPr>
            <w:tcW w:w="55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(302)</w:t>
            </w:r>
          </w:p>
        </w:tc>
      </w:tr>
      <w:tr>
        <w:trPr>
          <w:trHeight w:val="270"/>
        </w:trPr>
        <w:tc>
          <w:tcPr>
            <w:tcW w:w="5520" w:type="dxa"/>
            <w:vAlign w:val="bottom"/>
          </w:tcPr>
          <w:p>
            <w:pPr>
              <w:spacing w:after="0"/>
              <w:rPr>
                <w:sz w:val="20"/>
                <w:szCs w:val="20"/>
                <w:color w:val="auto"/>
              </w:rPr>
            </w:pPr>
            <w:r>
              <w:rPr>
                <w:rFonts w:ascii="Arial" w:cs="Arial" w:eastAsia="Arial" w:hAnsi="Arial"/>
                <w:sz w:val="22"/>
                <w:szCs w:val="22"/>
                <w:color w:val="auto"/>
              </w:rPr>
              <w:t>Interest income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rPr>
              <w:t>28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114</w:t>
            </w:r>
          </w:p>
        </w:tc>
      </w:tr>
      <w:tr>
        <w:trPr>
          <w:trHeight w:val="275"/>
        </w:trPr>
        <w:tc>
          <w:tcPr>
            <w:tcW w:w="5520" w:type="dxa"/>
            <w:vAlign w:val="bottom"/>
          </w:tcPr>
          <w:p>
            <w:pPr>
              <w:spacing w:after="0"/>
              <w:rPr>
                <w:sz w:val="20"/>
                <w:szCs w:val="20"/>
                <w:color w:val="auto"/>
              </w:rPr>
            </w:pPr>
            <w:r>
              <w:rPr>
                <w:rFonts w:ascii="Arial" w:cs="Arial" w:eastAsia="Arial" w:hAnsi="Arial"/>
                <w:sz w:val="22"/>
                <w:szCs w:val="22"/>
                <w:color w:val="auto"/>
              </w:rPr>
              <w:t>Other income (expense)</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476</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(392)</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730</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w:t>
            </w:r>
          </w:p>
        </w:tc>
      </w:tr>
      <w:tr>
        <w:trPr>
          <w:trHeight w:val="259"/>
        </w:trPr>
        <w:tc>
          <w:tcPr>
            <w:tcW w:w="5520" w:type="dxa"/>
            <w:vAlign w:val="bottom"/>
          </w:tcPr>
          <w:p>
            <w:pPr>
              <w:ind w:left="120"/>
              <w:spacing w:after="0"/>
              <w:rPr>
                <w:sz w:val="20"/>
                <w:szCs w:val="20"/>
                <w:color w:val="auto"/>
              </w:rPr>
            </w:pPr>
            <w:r>
              <w:rPr>
                <w:rFonts w:ascii="Arial" w:cs="Arial" w:eastAsia="Arial" w:hAnsi="Arial"/>
                <w:sz w:val="22"/>
                <w:szCs w:val="22"/>
                <w:color w:val="auto"/>
              </w:rPr>
              <w:t>Loss before income taxes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(17,633)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2"/>
              </w:rPr>
              <w:t>(12,303)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(41,447)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(43,548)</w:t>
            </w:r>
          </w:p>
        </w:tc>
      </w:tr>
      <w:tr>
        <w:trPr>
          <w:trHeight w:val="275"/>
        </w:trPr>
        <w:tc>
          <w:tcPr>
            <w:tcW w:w="552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2,916</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949</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5,864</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5,520</w:t>
            </w:r>
          </w:p>
        </w:tc>
      </w:tr>
      <w:tr>
        <w:trPr>
          <w:trHeight w:val="259"/>
        </w:trPr>
        <w:tc>
          <w:tcPr>
            <w:tcW w:w="5520" w:type="dxa"/>
            <w:vAlign w:val="bottom"/>
          </w:tcPr>
          <w:p>
            <w:pPr>
              <w:spacing w:after="0"/>
              <w:rPr>
                <w:sz w:val="20"/>
                <w:szCs w:val="20"/>
                <w:color w:val="auto"/>
              </w:rPr>
            </w:pPr>
            <w:r>
              <w:rPr>
                <w:rFonts w:ascii="Arial" w:cs="Arial" w:eastAsia="Arial" w:hAnsi="Arial"/>
                <w:sz w:val="22"/>
                <w:szCs w:val="22"/>
                <w:color w:val="auto"/>
              </w:rPr>
              <w:t>Net loss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(14,717)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2"/>
              </w:rPr>
              <w:t>(11,354)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(35,583)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(38,028)</w:t>
            </w:r>
          </w:p>
        </w:tc>
      </w:tr>
      <w:tr>
        <w:trPr>
          <w:trHeight w:val="276"/>
        </w:trPr>
        <w:tc>
          <w:tcPr>
            <w:tcW w:w="5520" w:type="dxa"/>
            <w:vAlign w:val="bottom"/>
          </w:tcPr>
          <w:p>
            <w:pPr>
              <w:ind w:left="120"/>
              <w:spacing w:after="0"/>
              <w:rPr>
                <w:sz w:val="20"/>
                <w:szCs w:val="20"/>
                <w:color w:val="auto"/>
              </w:rPr>
            </w:pPr>
            <w:r>
              <w:rPr>
                <w:rFonts w:ascii="Arial" w:cs="Arial" w:eastAsia="Arial" w:hAnsi="Arial"/>
                <w:sz w:val="22"/>
                <w:szCs w:val="22"/>
                <w:color w:val="auto"/>
              </w:rPr>
              <w:t>Less: Net income attributable to noncontrolling interest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280</w:t>
            </w:r>
          </w:p>
        </w:tc>
      </w:tr>
      <w:tr>
        <w:trPr>
          <w:trHeight w:val="265"/>
        </w:trPr>
        <w:tc>
          <w:tcPr>
            <w:tcW w:w="55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(14,816)</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(11,486)</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(35,803)</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(38,308)</w:t>
            </w:r>
          </w:p>
        </w:tc>
      </w:tr>
      <w:tr>
        <w:trPr>
          <w:trHeight w:val="21"/>
        </w:trPr>
        <w:tc>
          <w:tcPr>
            <w:tcW w:w="55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6"/>
        </w:trPr>
        <w:tc>
          <w:tcPr>
            <w:tcW w:w="6900" w:type="dxa"/>
            <w:vAlign w:val="bottom"/>
            <w:gridSpan w:val="4"/>
          </w:tcPr>
          <w:p>
            <w:pPr>
              <w:spacing w:after="0"/>
              <w:rPr>
                <w:sz w:val="20"/>
                <w:szCs w:val="20"/>
                <w:color w:val="auto"/>
              </w:rPr>
            </w:pPr>
            <w:r>
              <w:rPr>
                <w:rFonts w:ascii="Arial" w:cs="Arial" w:eastAsia="Arial" w:hAnsi="Arial"/>
                <w:sz w:val="22"/>
                <w:szCs w:val="22"/>
                <w:color w:val="auto"/>
                <w:w w:val="94"/>
              </w:rPr>
              <w:t>Net loss per share attributable to Civeo Corporation common shareholders: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Basic</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(0.11)</w:t>
            </w:r>
          </w:p>
        </w:tc>
        <w:tc>
          <w:tcPr>
            <w:tcW w:w="10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(0.28)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(0.36)</w:t>
            </w:r>
          </w:p>
        </w:tc>
      </w:tr>
      <w:tr>
        <w:trPr>
          <w:trHeight w:val="275"/>
        </w:trPr>
        <w:tc>
          <w:tcPr>
            <w:tcW w:w="5520" w:type="dxa"/>
            <w:vAlign w:val="bottom"/>
          </w:tcPr>
          <w:p>
            <w:pPr>
              <w:ind w:left="120"/>
              <w:spacing w:after="0"/>
              <w:rPr>
                <w:sz w:val="20"/>
                <w:szCs w:val="20"/>
                <w:color w:val="auto"/>
              </w:rPr>
            </w:pPr>
            <w:r>
              <w:rPr>
                <w:rFonts w:ascii="Arial" w:cs="Arial" w:eastAsia="Arial" w:hAnsi="Arial"/>
                <w:sz w:val="22"/>
                <w:szCs w:val="22"/>
                <w:color w:val="auto"/>
              </w:rPr>
              <w:t>Diluted</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(0.11)</w:t>
            </w:r>
          </w:p>
        </w:tc>
        <w:tc>
          <w:tcPr>
            <w:tcW w:w="10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(0.28)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(0.36)</w:t>
            </w:r>
          </w:p>
        </w:tc>
      </w:tr>
      <w:tr>
        <w:trPr>
          <w:trHeight w:val="536"/>
        </w:trPr>
        <w:tc>
          <w:tcPr>
            <w:tcW w:w="5520" w:type="dxa"/>
            <w:vAlign w:val="bottom"/>
          </w:tcPr>
          <w:p>
            <w:pPr>
              <w:spacing w:after="0"/>
              <w:rPr>
                <w:sz w:val="20"/>
                <w:szCs w:val="20"/>
                <w:color w:val="auto"/>
              </w:rPr>
            </w:pPr>
            <w:r>
              <w:rPr>
                <w:rFonts w:ascii="Arial" w:cs="Arial" w:eastAsia="Arial" w:hAnsi="Arial"/>
                <w:sz w:val="22"/>
                <w:szCs w:val="22"/>
                <w:color w:val="auto"/>
                <w:w w:val="96"/>
              </w:rPr>
              <w:t>Weighted average number of common shares outstanding: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Basic</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130,692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w w:val="87"/>
              </w:rPr>
              <w:t>107,033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125,796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w w:val="93"/>
              </w:rPr>
              <w:t>106,923</w:t>
            </w:r>
          </w:p>
        </w:tc>
      </w:tr>
      <w:tr>
        <w:trPr>
          <w:trHeight w:val="275"/>
        </w:trPr>
        <w:tc>
          <w:tcPr>
            <w:tcW w:w="5520" w:type="dxa"/>
            <w:vAlign w:val="bottom"/>
          </w:tcPr>
          <w:p>
            <w:pPr>
              <w:ind w:left="120"/>
              <w:spacing w:after="0"/>
              <w:rPr>
                <w:sz w:val="20"/>
                <w:szCs w:val="20"/>
                <w:color w:val="auto"/>
              </w:rPr>
            </w:pPr>
            <w:r>
              <w:rPr>
                <w:rFonts w:ascii="Arial" w:cs="Arial" w:eastAsia="Arial" w:hAnsi="Arial"/>
                <w:sz w:val="22"/>
                <w:szCs w:val="22"/>
                <w:color w:val="auto"/>
              </w:rPr>
              <w:t>Diluted</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130,692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22"/>
                <w:szCs w:val="22"/>
                <w:color w:val="auto"/>
                <w:w w:val="87"/>
              </w:rPr>
              <w:t>107,033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125,796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w w:val="93"/>
              </w:rPr>
              <w:t>106,923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8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382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2"/>
              </w:rPr>
              <w:t>JUNE 30,</w:t>
            </w:r>
          </w:p>
        </w:tc>
        <w:tc>
          <w:tcPr>
            <w:tcW w:w="1620" w:type="dxa"/>
            <w:vAlign w:val="bottom"/>
            <w:gridSpan w:val="2"/>
          </w:tcPr>
          <w:p>
            <w:pPr>
              <w:jc w:val="right"/>
              <w:spacing w:after="0"/>
              <w:rPr>
                <w:sz w:val="20"/>
                <w:szCs w:val="20"/>
                <w:color w:val="auto"/>
              </w:rPr>
            </w:pPr>
            <w:r>
              <w:rPr>
                <w:rFonts w:ascii="Arial" w:cs="Arial" w:eastAsia="Arial" w:hAnsi="Arial"/>
                <w:sz w:val="22"/>
                <w:szCs w:val="22"/>
                <w:b w:val="1"/>
                <w:bCs w:val="1"/>
                <w:color w:val="auto"/>
                <w:w w:val="97"/>
              </w:rPr>
              <w:t>DECEMBER 31,</w:t>
            </w:r>
          </w:p>
        </w:tc>
        <w:tc>
          <w:tcPr>
            <w:tcW w:w="0" w:type="dxa"/>
            <w:vAlign w:val="bottom"/>
          </w:tcPr>
          <w:p>
            <w:pPr>
              <w:spacing w:after="0"/>
              <w:rPr>
                <w:sz w:val="1"/>
                <w:szCs w:val="1"/>
                <w:color w:val="auto"/>
              </w:rPr>
            </w:pPr>
          </w:p>
        </w:tc>
      </w:tr>
      <w:tr>
        <w:trPr>
          <w:trHeight w:val="281"/>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2017</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78"/>
        </w:trPr>
        <w:tc>
          <w:tcPr>
            <w:tcW w:w="428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1480" w:type="dxa"/>
            <w:vAlign w:val="bottom"/>
            <w:gridSpan w:val="2"/>
          </w:tcPr>
          <w:p>
            <w:pPr>
              <w:jc w:val="center"/>
              <w:spacing w:after="0"/>
              <w:rPr>
                <w:sz w:val="20"/>
                <w:szCs w:val="20"/>
                <w:color w:val="auto"/>
              </w:rPr>
            </w:pPr>
            <w:r>
              <w:rPr>
                <w:rFonts w:ascii="Arial" w:cs="Arial" w:eastAsia="Arial" w:hAnsi="Arial"/>
                <w:sz w:val="22"/>
                <w:szCs w:val="22"/>
                <w:b w:val="1"/>
                <w:bCs w:val="1"/>
                <w:color w:val="auto"/>
              </w:rPr>
              <w:t>(UNAUDITED)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27,326</w:t>
            </w:r>
          </w:p>
        </w:tc>
        <w:tc>
          <w:tcPr>
            <w:tcW w:w="8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1,785</w:t>
            </w: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60,122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56,302</w:t>
            </w: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3,900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3,112</w:t>
            </w:r>
          </w:p>
        </w:tc>
        <w:tc>
          <w:tcPr>
            <w:tcW w:w="0" w:type="dxa"/>
            <w:vAlign w:val="bottom"/>
          </w:tcPr>
          <w:p>
            <w:pPr>
              <w:spacing w:after="0"/>
              <w:rPr>
                <w:sz w:val="1"/>
                <w:szCs w:val="1"/>
                <w:color w:val="auto"/>
              </w:rPr>
            </w:pPr>
          </w:p>
        </w:tc>
      </w:tr>
      <w:tr>
        <w:trPr>
          <w:trHeight w:val="275"/>
        </w:trPr>
        <w:tc>
          <w:tcPr>
            <w:tcW w:w="4280" w:type="dxa"/>
            <w:vAlign w:val="bottom"/>
          </w:tcPr>
          <w:p>
            <w:pPr>
              <w:ind w:left="100"/>
              <w:spacing w:after="0"/>
              <w:rPr>
                <w:sz w:val="20"/>
                <w:szCs w:val="20"/>
                <w:color w:val="auto"/>
              </w:rPr>
            </w:pPr>
            <w:r>
              <w:rPr>
                <w:rFonts w:ascii="Arial" w:cs="Arial" w:eastAsia="Arial" w:hAnsi="Arial"/>
                <w:sz w:val="22"/>
                <w:szCs w:val="22"/>
                <w:color w:val="auto"/>
                <w:w w:val="99"/>
              </w:rPr>
              <w:t>Prepaid expenses and other current assets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23,891</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21,369</w:t>
            </w:r>
          </w:p>
        </w:tc>
        <w:tc>
          <w:tcPr>
            <w:tcW w:w="0" w:type="dxa"/>
            <w:vAlign w:val="bottom"/>
          </w:tcPr>
          <w:p>
            <w:pPr>
              <w:spacing w:after="0"/>
              <w:rPr>
                <w:sz w:val="1"/>
                <w:szCs w:val="1"/>
                <w:color w:val="auto"/>
              </w:rPr>
            </w:pPr>
          </w:p>
        </w:tc>
      </w:tr>
      <w:tr>
        <w:trPr>
          <w:trHeight w:val="272"/>
        </w:trPr>
        <w:tc>
          <w:tcPr>
            <w:tcW w:w="4280" w:type="dxa"/>
            <w:vAlign w:val="bottom"/>
          </w:tcPr>
          <w:p>
            <w:pPr>
              <w:ind w:left="240"/>
              <w:spacing w:after="0"/>
              <w:rPr>
                <w:sz w:val="20"/>
                <w:szCs w:val="20"/>
                <w:color w:val="auto"/>
              </w:rPr>
            </w:pPr>
            <w:r>
              <w:rPr>
                <w:rFonts w:ascii="Arial" w:cs="Arial" w:eastAsia="Arial" w:hAnsi="Arial"/>
                <w:sz w:val="22"/>
                <w:szCs w:val="22"/>
                <w:color w:val="auto"/>
              </w:rPr>
              <w:t>Total current assets</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115,239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82,568</w:t>
            </w:r>
          </w:p>
        </w:tc>
        <w:tc>
          <w:tcPr>
            <w:tcW w:w="0" w:type="dxa"/>
            <w:vAlign w:val="bottom"/>
          </w:tcPr>
          <w:p>
            <w:pPr>
              <w:spacing w:after="0"/>
              <w:rPr>
                <w:sz w:val="1"/>
                <w:szCs w:val="1"/>
                <w:color w:val="auto"/>
              </w:rPr>
            </w:pPr>
          </w:p>
        </w:tc>
      </w:tr>
    </w:tbl>
    <w:p>
      <w:pPr>
        <w:sectPr>
          <w:pgSz w:w="11900" w:h="16838" w:orient="portrait"/>
          <w:cols w:equalWidth="0" w:num="1">
            <w:col w:w="11300"/>
          </w:cols>
          <w:pgMar w:left="240" w:top="118" w:right="359" w:bottom="31"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766,258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789,710</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26,056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28,039</w:t>
            </w:r>
          </w:p>
        </w:tc>
        <w:tc>
          <w:tcPr>
            <w:tcW w:w="0" w:type="dxa"/>
            <w:vAlign w:val="bottom"/>
          </w:tcPr>
          <w:p>
            <w:pPr>
              <w:spacing w:after="0"/>
              <w:rPr>
                <w:sz w:val="1"/>
                <w:szCs w:val="1"/>
                <w:color w:val="auto"/>
              </w:rPr>
            </w:pPr>
          </w:p>
        </w:tc>
      </w:tr>
      <w:tr>
        <w:trPr>
          <w:trHeight w:val="276"/>
        </w:trPr>
        <w:tc>
          <w:tcPr>
            <w:tcW w:w="42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9,035</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10,129</w:t>
            </w:r>
          </w:p>
        </w:tc>
        <w:tc>
          <w:tcPr>
            <w:tcW w:w="0" w:type="dxa"/>
            <w:vAlign w:val="bottom"/>
          </w:tcPr>
          <w:p>
            <w:pPr>
              <w:spacing w:after="0"/>
              <w:rPr>
                <w:sz w:val="1"/>
                <w:szCs w:val="1"/>
                <w:color w:val="auto"/>
              </w:rPr>
            </w:pPr>
          </w:p>
        </w:tc>
      </w:tr>
      <w:tr>
        <w:trPr>
          <w:trHeight w:val="265"/>
        </w:trPr>
        <w:tc>
          <w:tcPr>
            <w:tcW w:w="4280" w:type="dxa"/>
            <w:vAlign w:val="bottom"/>
          </w:tcPr>
          <w:p>
            <w:pPr>
              <w:ind w:left="240"/>
              <w:spacing w:after="0"/>
              <w:rPr>
                <w:sz w:val="20"/>
                <w:szCs w:val="20"/>
                <w:color w:val="auto"/>
              </w:rPr>
            </w:pPr>
            <w:r>
              <w:rPr>
                <w:rFonts w:ascii="Arial" w:cs="Arial" w:eastAsia="Arial" w:hAnsi="Arial"/>
                <w:sz w:val="22"/>
                <w:szCs w:val="22"/>
                <w:color w:val="auto"/>
              </w:rPr>
              <w:t>Total assets</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916,588</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428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20,393</w:t>
            </w:r>
          </w:p>
        </w:tc>
        <w:tc>
          <w:tcPr>
            <w:tcW w:w="8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20,675</w:t>
            </w: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11,713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14,822</w:t>
            </w: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Income taxes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Current portion of long-term debt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16,006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15,471</w:t>
            </w:r>
          </w:p>
        </w:tc>
        <w:tc>
          <w:tcPr>
            <w:tcW w:w="0" w:type="dxa"/>
            <w:vAlign w:val="bottom"/>
          </w:tcPr>
          <w:p>
            <w:pPr>
              <w:spacing w:after="0"/>
              <w:rPr>
                <w:sz w:val="1"/>
                <w:szCs w:val="1"/>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22"/>
                <w:szCs w:val="22"/>
                <w:color w:val="auto"/>
              </w:rPr>
              <w:t>Deferred revenue</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2,702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6,792</w:t>
            </w:r>
          </w:p>
        </w:tc>
        <w:tc>
          <w:tcPr>
            <w:tcW w:w="0" w:type="dxa"/>
            <w:vAlign w:val="bottom"/>
          </w:tcPr>
          <w:p>
            <w:pPr>
              <w:spacing w:after="0"/>
              <w:rPr>
                <w:sz w:val="1"/>
                <w:szCs w:val="1"/>
                <w:color w:val="auto"/>
              </w:rPr>
            </w:pPr>
          </w:p>
        </w:tc>
      </w:tr>
      <w:tr>
        <w:trPr>
          <w:trHeight w:val="275"/>
        </w:trPr>
        <w:tc>
          <w:tcPr>
            <w:tcW w:w="4280" w:type="dxa"/>
            <w:vAlign w:val="bottom"/>
          </w:tcPr>
          <w:p>
            <w:pPr>
              <w:ind w:left="100"/>
              <w:spacing w:after="0"/>
              <w:rPr>
                <w:sz w:val="20"/>
                <w:szCs w:val="20"/>
                <w:color w:val="auto"/>
              </w:rPr>
            </w:pPr>
            <w:r>
              <w:rPr>
                <w:rFonts w:ascii="Arial" w:cs="Arial" w:eastAsia="Arial" w:hAnsi="Arial"/>
                <w:sz w:val="22"/>
                <w:szCs w:val="22"/>
                <w:color w:val="auto"/>
              </w:rPr>
              <w:t>Other current liabilities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1,900</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2,572</w:t>
            </w:r>
          </w:p>
        </w:tc>
        <w:tc>
          <w:tcPr>
            <w:tcW w:w="0" w:type="dxa"/>
            <w:vAlign w:val="bottom"/>
          </w:tcPr>
          <w:p>
            <w:pPr>
              <w:spacing w:after="0"/>
              <w:rPr>
                <w:sz w:val="1"/>
                <w:szCs w:val="1"/>
                <w:color w:val="auto"/>
              </w:rPr>
            </w:pPr>
          </w:p>
        </w:tc>
      </w:tr>
      <w:tr>
        <w:trPr>
          <w:trHeight w:val="272"/>
        </w:trPr>
        <w:tc>
          <w:tcPr>
            <w:tcW w:w="4280" w:type="dxa"/>
            <w:vAlign w:val="bottom"/>
          </w:tcPr>
          <w:p>
            <w:pPr>
              <w:ind w:left="240"/>
              <w:spacing w:after="0"/>
              <w:rPr>
                <w:sz w:val="20"/>
                <w:szCs w:val="20"/>
                <w:color w:val="auto"/>
              </w:rPr>
            </w:pPr>
            <w:r>
              <w:rPr>
                <w:rFonts w:ascii="Arial" w:cs="Arial" w:eastAsia="Arial" w:hAnsi="Arial"/>
                <w:sz w:val="22"/>
                <w:szCs w:val="22"/>
                <w:color w:val="auto"/>
              </w:rPr>
              <w:t>Total current liabilities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52,749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60,443</w:t>
            </w:r>
          </w:p>
        </w:tc>
        <w:tc>
          <w:tcPr>
            <w:tcW w:w="0" w:type="dxa"/>
            <w:vAlign w:val="bottom"/>
          </w:tcPr>
          <w:p>
            <w:pPr>
              <w:spacing w:after="0"/>
              <w:rPr>
                <w:sz w:val="1"/>
                <w:szCs w:val="1"/>
                <w:color w:val="auto"/>
              </w:rPr>
            </w:pPr>
          </w:p>
        </w:tc>
      </w:tr>
      <w:tr>
        <w:trPr>
          <w:trHeight w:val="528"/>
        </w:trPr>
        <w:tc>
          <w:tcPr>
            <w:tcW w:w="428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300,180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337,800</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0"/>
                <w:szCs w:val="20"/>
                <w:color w:val="auto"/>
              </w:rPr>
            </w:pPr>
            <w:r>
              <w:rPr>
                <w:rFonts w:ascii="Arial" w:cs="Arial" w:eastAsia="Arial" w:hAnsi="Arial"/>
                <w:sz w:val="22"/>
                <w:szCs w:val="22"/>
                <w:color w:val="auto"/>
              </w:rPr>
              <w:t>Deferred income taxes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2,404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9,194</w:t>
            </w:r>
          </w:p>
        </w:tc>
        <w:tc>
          <w:tcPr>
            <w:tcW w:w="0" w:type="dxa"/>
            <w:vAlign w:val="bottom"/>
          </w:tcPr>
          <w:p>
            <w:pPr>
              <w:spacing w:after="0"/>
              <w:rPr>
                <w:sz w:val="1"/>
                <w:szCs w:val="1"/>
                <w:color w:val="auto"/>
              </w:rPr>
            </w:pPr>
          </w:p>
        </w:tc>
      </w:tr>
      <w:tr>
        <w:trPr>
          <w:trHeight w:val="275"/>
        </w:trPr>
        <w:tc>
          <w:tcPr>
            <w:tcW w:w="42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29,188</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27,019</w:t>
            </w:r>
          </w:p>
        </w:tc>
        <w:tc>
          <w:tcPr>
            <w:tcW w:w="0" w:type="dxa"/>
            <w:vAlign w:val="bottom"/>
          </w:tcPr>
          <w:p>
            <w:pPr>
              <w:spacing w:after="0"/>
              <w:rPr>
                <w:sz w:val="1"/>
                <w:szCs w:val="1"/>
                <w:color w:val="auto"/>
              </w:rPr>
            </w:pPr>
          </w:p>
        </w:tc>
      </w:tr>
      <w:tr>
        <w:trPr>
          <w:trHeight w:val="272"/>
        </w:trPr>
        <w:tc>
          <w:tcPr>
            <w:tcW w:w="4280" w:type="dxa"/>
            <w:vAlign w:val="bottom"/>
          </w:tcPr>
          <w:p>
            <w:pPr>
              <w:ind w:left="240"/>
              <w:spacing w:after="0"/>
              <w:rPr>
                <w:sz w:val="20"/>
                <w:szCs w:val="20"/>
                <w:color w:val="auto"/>
              </w:rPr>
            </w:pPr>
            <w:r>
              <w:rPr>
                <w:rFonts w:ascii="Arial" w:cs="Arial" w:eastAsia="Arial" w:hAnsi="Arial"/>
                <w:sz w:val="22"/>
                <w:szCs w:val="22"/>
                <w:color w:val="auto"/>
              </w:rPr>
              <w:t>Total liabilities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384,521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434,456</w:t>
            </w:r>
          </w:p>
        </w:tc>
        <w:tc>
          <w:tcPr>
            <w:tcW w:w="0" w:type="dxa"/>
            <w:vAlign w:val="bottom"/>
          </w:tcPr>
          <w:p>
            <w:pPr>
              <w:spacing w:after="0"/>
              <w:rPr>
                <w:sz w:val="1"/>
                <w:szCs w:val="1"/>
                <w:color w:val="auto"/>
              </w:rPr>
            </w:pPr>
          </w:p>
        </w:tc>
      </w:tr>
      <w:tr>
        <w:trPr>
          <w:trHeight w:val="528"/>
        </w:trPr>
        <w:tc>
          <w:tcPr>
            <w:tcW w:w="4280" w:type="dxa"/>
            <w:vAlign w:val="bottom"/>
          </w:tcPr>
          <w:p>
            <w:pPr>
              <w:spacing w:after="0"/>
              <w:rPr>
                <w:sz w:val="20"/>
                <w:szCs w:val="20"/>
                <w:color w:val="auto"/>
              </w:rPr>
            </w:pPr>
            <w:r>
              <w:rPr>
                <w:rFonts w:ascii="Arial" w:cs="Arial" w:eastAsia="Arial" w:hAnsi="Arial"/>
                <w:sz w:val="22"/>
                <w:szCs w:val="22"/>
                <w:color w:val="auto"/>
              </w:rPr>
              <w:t>Shareholders' equity: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Arial" w:cs="Arial" w:eastAsia="Arial" w:hAnsi="Arial"/>
                <w:sz w:val="22"/>
                <w:szCs w:val="22"/>
                <w:color w:val="auto"/>
              </w:rPr>
              <w:t>Common shares</w:t>
            </w:r>
          </w:p>
        </w:tc>
        <w:tc>
          <w:tcPr>
            <w:tcW w:w="320" w:type="dxa"/>
            <w:vAlign w:val="bottom"/>
          </w:tcPr>
          <w:p>
            <w:pPr>
              <w:spacing w:after="0"/>
              <w:rPr>
                <w:sz w:val="23"/>
                <w:szCs w:val="23"/>
                <w:color w:val="auto"/>
              </w:rPr>
            </w:pPr>
          </w:p>
        </w:tc>
        <w:tc>
          <w:tcPr>
            <w:tcW w:w="11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Arial" w:cs="Arial" w:eastAsia="Arial" w:hAnsi="Arial"/>
                <w:sz w:val="22"/>
                <w:szCs w:val="22"/>
                <w:color w:val="auto"/>
              </w:rPr>
              <w:t>Additional paid-in capital</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1,380,429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1,311,226</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Arial" w:cs="Arial" w:eastAsia="Arial" w:hAnsi="Arial"/>
                <w:sz w:val="22"/>
                <w:szCs w:val="22"/>
                <w:color w:val="auto"/>
              </w:rPr>
              <w:t>Accumulated deficit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(509,203)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(472,764)</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Arial" w:cs="Arial" w:eastAsia="Arial" w:hAnsi="Arial"/>
                <w:sz w:val="22"/>
                <w:szCs w:val="22"/>
                <w:color w:val="auto"/>
              </w:rPr>
              <w:t>Treasury stock</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(358)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5"/>
        </w:trPr>
        <w:tc>
          <w:tcPr>
            <w:tcW w:w="4280" w:type="dxa"/>
            <w:vAlign w:val="bottom"/>
          </w:tcPr>
          <w:p>
            <w:pPr>
              <w:ind w:left="240"/>
              <w:spacing w:after="0"/>
              <w:rPr>
                <w:sz w:val="20"/>
                <w:szCs w:val="20"/>
                <w:color w:val="auto"/>
              </w:rPr>
            </w:pPr>
            <w:r>
              <w:rPr>
                <w:rFonts w:ascii="Arial" w:cs="Arial" w:eastAsia="Arial" w:hAnsi="Arial"/>
                <w:sz w:val="22"/>
                <w:szCs w:val="22"/>
                <w:color w:val="auto"/>
              </w:rPr>
              <w:t>Accumulated other comprehensive loss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(338,903)</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(362,930)</w:t>
            </w:r>
          </w:p>
        </w:tc>
        <w:tc>
          <w:tcPr>
            <w:tcW w:w="0" w:type="dxa"/>
            <w:vAlign w:val="bottom"/>
          </w:tcPr>
          <w:p>
            <w:pPr>
              <w:spacing w:after="0"/>
              <w:rPr>
                <w:sz w:val="1"/>
                <w:szCs w:val="1"/>
                <w:color w:val="auto"/>
              </w:rPr>
            </w:pPr>
          </w:p>
        </w:tc>
      </w:tr>
      <w:tr>
        <w:trPr>
          <w:trHeight w:val="267"/>
        </w:trPr>
        <w:tc>
          <w:tcPr>
            <w:tcW w:w="4280" w:type="dxa"/>
            <w:vAlign w:val="bottom"/>
          </w:tcPr>
          <w:p>
            <w:pPr>
              <w:ind w:left="300"/>
              <w:spacing w:after="0"/>
              <w:rPr>
                <w:sz w:val="20"/>
                <w:szCs w:val="20"/>
                <w:color w:val="auto"/>
              </w:rPr>
            </w:pPr>
            <w:r>
              <w:rPr>
                <w:rFonts w:ascii="Arial" w:cs="Arial" w:eastAsia="Arial" w:hAnsi="Arial"/>
                <w:sz w:val="22"/>
                <w:szCs w:val="22"/>
                <w:color w:val="auto"/>
                <w:w w:val="91"/>
              </w:rPr>
              <w:t>Total Civeo Corporation shareholders' equity</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531,965</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475,467</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102</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523</w:t>
            </w:r>
          </w:p>
        </w:tc>
        <w:tc>
          <w:tcPr>
            <w:tcW w:w="0" w:type="dxa"/>
            <w:vAlign w:val="bottom"/>
          </w:tcPr>
          <w:p>
            <w:pPr>
              <w:spacing w:after="0"/>
              <w:rPr>
                <w:sz w:val="1"/>
                <w:szCs w:val="1"/>
                <w:color w:val="auto"/>
              </w:rPr>
            </w:pPr>
          </w:p>
        </w:tc>
      </w:tr>
      <w:tr>
        <w:trPr>
          <w:trHeight w:val="264"/>
        </w:trPr>
        <w:tc>
          <w:tcPr>
            <w:tcW w:w="428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532,067</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475,990</w:t>
            </w:r>
          </w:p>
        </w:tc>
        <w:tc>
          <w:tcPr>
            <w:tcW w:w="0" w:type="dxa"/>
            <w:vAlign w:val="bottom"/>
          </w:tcPr>
          <w:p>
            <w:pPr>
              <w:spacing w:after="0"/>
              <w:rPr>
                <w:sz w:val="1"/>
                <w:szCs w:val="1"/>
                <w:color w:val="auto"/>
              </w:rPr>
            </w:pPr>
          </w:p>
        </w:tc>
      </w:tr>
      <w:tr>
        <w:trPr>
          <w:trHeight w:val="264"/>
        </w:trPr>
        <w:tc>
          <w:tcPr>
            <w:tcW w:w="4280" w:type="dxa"/>
            <w:vAlign w:val="bottom"/>
          </w:tcPr>
          <w:p>
            <w:pPr>
              <w:ind w:left="240"/>
              <w:spacing w:after="0"/>
              <w:rPr>
                <w:sz w:val="20"/>
                <w:szCs w:val="20"/>
                <w:color w:val="auto"/>
              </w:rPr>
            </w:pPr>
            <w:r>
              <w:rPr>
                <w:rFonts w:ascii="Arial" w:cs="Arial" w:eastAsia="Arial" w:hAnsi="Arial"/>
                <w:sz w:val="22"/>
                <w:szCs w:val="22"/>
                <w:color w:val="auto"/>
              </w:rPr>
              <w:t>Total liabilities and shareholders' equity</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916,588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4460"/>
        <w:spacing w:after="0"/>
        <w:rPr>
          <w:sz w:val="20"/>
          <w:szCs w:val="20"/>
          <w:color w:val="auto"/>
        </w:rPr>
      </w:pPr>
      <w:r>
        <w:rPr>
          <w:rFonts w:ascii="Arial" w:cs="Arial" w:eastAsia="Arial" w:hAnsi="Arial"/>
          <w:sz w:val="21"/>
          <w:szCs w:val="21"/>
          <w:b w:val="1"/>
          <w:bCs w:val="1"/>
          <w:color w:val="auto"/>
        </w:rPr>
        <w:t>SIX MONTHS ENDED</w:t>
      </w:r>
    </w:p>
    <w:p>
      <w:pPr>
        <w:spacing w:after="0" w:line="26" w:lineRule="exact"/>
        <w:rPr>
          <w:sz w:val="20"/>
          <w:szCs w:val="20"/>
          <w:color w:val="auto"/>
        </w:rPr>
      </w:pPr>
    </w:p>
    <w:p>
      <w:pPr>
        <w:jc w:val="center"/>
        <w:ind w:left="4460"/>
        <w:spacing w:after="0"/>
        <w:rPr>
          <w:sz w:val="20"/>
          <w:szCs w:val="20"/>
          <w:color w:val="auto"/>
        </w:rPr>
      </w:pPr>
      <w:r>
        <w:rPr>
          <w:rFonts w:ascii="Arial" w:cs="Arial" w:eastAsia="Arial" w:hAnsi="Arial"/>
          <w:sz w:val="22"/>
          <w:szCs w:val="22"/>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0" w:type="dxa"/>
            <w:vAlign w:val="bottom"/>
          </w:tcPr>
          <w:p>
            <w:pPr>
              <w:spacing w:after="0"/>
              <w:rPr>
                <w:sz w:val="23"/>
                <w:szCs w:val="23"/>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2016</w:t>
            </w:r>
          </w:p>
        </w:tc>
      </w:tr>
      <w:tr>
        <w:trPr>
          <w:trHeight w:val="526"/>
        </w:trPr>
        <w:tc>
          <w:tcPr>
            <w:tcW w:w="68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rPr>
              <w:t>Net loss</w:t>
            </w:r>
          </w:p>
        </w:tc>
        <w:tc>
          <w:tcPr>
            <w:tcW w:w="1060" w:type="dxa"/>
            <w:vAlign w:val="bottom"/>
          </w:tcPr>
          <w:p>
            <w:pPr>
              <w:jc w:val="right"/>
              <w:spacing w:after="0"/>
              <w:rPr>
                <w:sz w:val="20"/>
                <w:szCs w:val="20"/>
                <w:color w:val="auto"/>
              </w:rPr>
            </w:pPr>
            <w:r>
              <w:rPr>
                <w:rFonts w:ascii="Arial" w:cs="Arial" w:eastAsia="Arial" w:hAnsi="Arial"/>
                <w:sz w:val="22"/>
                <w:szCs w:val="22"/>
                <w:color w:val="auto"/>
                <w:w w:val="95"/>
              </w:rPr>
              <w:t>$  (35,583)</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w w:val="97"/>
              </w:rPr>
              <w:t>(38,028)</w:t>
            </w: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w w:val="90"/>
              </w:rPr>
              <w:t>Adjustments to reconcile net loss to net cash provided by operating activities:</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22"/>
                <w:szCs w:val="22"/>
                <w:color w:val="auto"/>
              </w:rPr>
              <w:t>64,383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66,723</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8,400</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1060" w:type="dxa"/>
            <w:vAlign w:val="bottom"/>
          </w:tcPr>
          <w:p>
            <w:pPr>
              <w:jc w:val="right"/>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302</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Deferred income tax benefit</w:t>
            </w:r>
          </w:p>
        </w:tc>
        <w:tc>
          <w:tcPr>
            <w:tcW w:w="1060" w:type="dxa"/>
            <w:vAlign w:val="bottom"/>
          </w:tcPr>
          <w:p>
            <w:pPr>
              <w:jc w:val="right"/>
              <w:spacing w:after="0"/>
              <w:rPr>
                <w:sz w:val="20"/>
                <w:szCs w:val="20"/>
                <w:color w:val="auto"/>
              </w:rPr>
            </w:pPr>
            <w:r>
              <w:rPr>
                <w:rFonts w:ascii="Arial" w:cs="Arial" w:eastAsia="Arial" w:hAnsi="Arial"/>
                <w:sz w:val="22"/>
                <w:szCs w:val="22"/>
                <w:color w:val="auto"/>
              </w:rPr>
              <w:t>(6,732)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(8,026)</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1060" w:type="dxa"/>
            <w:vAlign w:val="bottom"/>
          </w:tcPr>
          <w:p>
            <w:pPr>
              <w:jc w:val="right"/>
              <w:spacing w:after="0"/>
              <w:rPr>
                <w:sz w:val="20"/>
                <w:szCs w:val="20"/>
                <w:color w:val="auto"/>
              </w:rPr>
            </w:pPr>
            <w:r>
              <w:rPr>
                <w:rFonts w:ascii="Arial" w:cs="Arial" w:eastAsia="Arial" w:hAnsi="Arial"/>
                <w:sz w:val="22"/>
                <w:szCs w:val="22"/>
                <w:color w:val="auto"/>
              </w:rPr>
              <w:t>3,750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3,077</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Losses (gains) on disposals of assets</w:t>
            </w:r>
          </w:p>
        </w:tc>
        <w:tc>
          <w:tcPr>
            <w:tcW w:w="1060" w:type="dxa"/>
            <w:vAlign w:val="bottom"/>
          </w:tcPr>
          <w:p>
            <w:pPr>
              <w:jc w:val="right"/>
              <w:spacing w:after="0"/>
              <w:rPr>
                <w:sz w:val="20"/>
                <w:szCs w:val="20"/>
                <w:color w:val="auto"/>
              </w:rPr>
            </w:pPr>
            <w:r>
              <w:rPr>
                <w:rFonts w:ascii="Arial" w:cs="Arial" w:eastAsia="Arial" w:hAnsi="Arial"/>
                <w:sz w:val="22"/>
                <w:szCs w:val="22"/>
                <w:color w:val="auto"/>
              </w:rPr>
              <w:t>(854)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377</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Provision (benefit) for loss on receivables, net of recoveries</w:t>
            </w:r>
          </w:p>
        </w:tc>
        <w:tc>
          <w:tcPr>
            <w:tcW w:w="1060" w:type="dxa"/>
            <w:vAlign w:val="bottom"/>
          </w:tcPr>
          <w:p>
            <w:pPr>
              <w:jc w:val="right"/>
              <w:spacing w:after="0"/>
              <w:rPr>
                <w:sz w:val="20"/>
                <w:szCs w:val="20"/>
                <w:color w:val="auto"/>
              </w:rPr>
            </w:pPr>
            <w:r>
              <w:rPr>
                <w:rFonts w:ascii="Arial" w:cs="Arial" w:eastAsia="Arial" w:hAnsi="Arial"/>
                <w:sz w:val="22"/>
                <w:szCs w:val="22"/>
                <w:color w:val="auto"/>
              </w:rPr>
              <w:t>(57)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1060" w:type="dxa"/>
            <w:vAlign w:val="bottom"/>
          </w:tcPr>
          <w:p>
            <w:pPr>
              <w:jc w:val="right"/>
              <w:spacing w:after="0"/>
              <w:rPr>
                <w:sz w:val="20"/>
                <w:szCs w:val="20"/>
                <w:color w:val="auto"/>
              </w:rPr>
            </w:pPr>
            <w:r>
              <w:rPr>
                <w:rFonts w:ascii="Arial" w:cs="Arial" w:eastAsia="Arial" w:hAnsi="Arial"/>
                <w:sz w:val="22"/>
                <w:szCs w:val="22"/>
                <w:color w:val="auto"/>
              </w:rPr>
              <w:t>2,147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2,282</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Accounts receivable</w:t>
            </w:r>
          </w:p>
        </w:tc>
        <w:tc>
          <w:tcPr>
            <w:tcW w:w="1060" w:type="dxa"/>
            <w:vAlign w:val="bottom"/>
          </w:tcPr>
          <w:p>
            <w:pPr>
              <w:jc w:val="right"/>
              <w:spacing w:after="0"/>
              <w:rPr>
                <w:sz w:val="20"/>
                <w:szCs w:val="20"/>
                <w:color w:val="auto"/>
              </w:rPr>
            </w:pPr>
            <w:r>
              <w:rPr>
                <w:rFonts w:ascii="Arial" w:cs="Arial" w:eastAsia="Arial" w:hAnsi="Arial"/>
                <w:sz w:val="22"/>
                <w:szCs w:val="22"/>
                <w:color w:val="auto"/>
              </w:rPr>
              <w:t>(1,639)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(6,140)</w:t>
            </w: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Inventories</w:t>
            </w:r>
          </w:p>
        </w:tc>
        <w:tc>
          <w:tcPr>
            <w:tcW w:w="1060" w:type="dxa"/>
            <w:vAlign w:val="bottom"/>
          </w:tcPr>
          <w:p>
            <w:pPr>
              <w:jc w:val="right"/>
              <w:spacing w:after="0"/>
              <w:rPr>
                <w:sz w:val="20"/>
                <w:szCs w:val="20"/>
                <w:color w:val="auto"/>
              </w:rPr>
            </w:pPr>
            <w:r>
              <w:rPr>
                <w:rFonts w:ascii="Arial" w:cs="Arial" w:eastAsia="Arial" w:hAnsi="Arial"/>
                <w:sz w:val="22"/>
                <w:szCs w:val="22"/>
                <w:color w:val="auto"/>
              </w:rPr>
              <w:t>(664)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979</w:t>
            </w: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Accounts payable and accrued liabilities</w:t>
            </w:r>
          </w:p>
        </w:tc>
        <w:tc>
          <w:tcPr>
            <w:tcW w:w="1060" w:type="dxa"/>
            <w:vAlign w:val="bottom"/>
          </w:tcPr>
          <w:p>
            <w:pPr>
              <w:jc w:val="right"/>
              <w:spacing w:after="0"/>
              <w:rPr>
                <w:sz w:val="20"/>
                <w:szCs w:val="20"/>
                <w:color w:val="auto"/>
              </w:rPr>
            </w:pPr>
            <w:r>
              <w:rPr>
                <w:rFonts w:ascii="Arial" w:cs="Arial" w:eastAsia="Arial" w:hAnsi="Arial"/>
                <w:sz w:val="22"/>
                <w:szCs w:val="22"/>
                <w:color w:val="auto"/>
              </w:rPr>
              <w:t>(4,499)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4,735</w:t>
            </w: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Taxes payable</w:t>
            </w:r>
          </w:p>
        </w:tc>
        <w:tc>
          <w:tcPr>
            <w:tcW w:w="1060" w:type="dxa"/>
            <w:vAlign w:val="bottom"/>
          </w:tcPr>
          <w:p>
            <w:pPr>
              <w:jc w:val="right"/>
              <w:spacing w:after="0"/>
              <w:rPr>
                <w:sz w:val="20"/>
                <w:szCs w:val="20"/>
                <w:color w:val="auto"/>
              </w:rPr>
            </w:pPr>
            <w:r>
              <w:rPr>
                <w:rFonts w:ascii="Arial" w:cs="Arial" w:eastAsia="Arial" w:hAnsi="Arial"/>
                <w:sz w:val="22"/>
                <w:szCs w:val="22"/>
                <w:color w:val="auto"/>
              </w:rPr>
              <w:t>639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(565)</w:t>
            </w:r>
          </w:p>
        </w:tc>
      </w:tr>
      <w:tr>
        <w:trPr>
          <w:trHeight w:val="275"/>
        </w:trPr>
        <w:tc>
          <w:tcPr>
            <w:tcW w:w="6800" w:type="dxa"/>
            <w:vAlign w:val="bottom"/>
          </w:tcPr>
          <w:p>
            <w:pPr>
              <w:ind w:left="240"/>
              <w:spacing w:after="0"/>
              <w:rPr>
                <w:sz w:val="20"/>
                <w:szCs w:val="20"/>
                <w:color w:val="auto"/>
              </w:rPr>
            </w:pPr>
            <w:r>
              <w:rPr>
                <w:rFonts w:ascii="Arial" w:cs="Arial" w:eastAsia="Arial" w:hAnsi="Arial"/>
                <w:sz w:val="22"/>
                <w:szCs w:val="22"/>
                <w:color w:val="auto"/>
              </w:rPr>
              <w:t>Other current assets and liabilities, net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(7,332)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1,189</w:t>
            </w:r>
          </w:p>
        </w:tc>
      </w:tr>
      <w:tr>
        <w:trPr>
          <w:trHeight w:val="272"/>
        </w:trPr>
        <w:tc>
          <w:tcPr>
            <w:tcW w:w="680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1060" w:type="dxa"/>
            <w:vAlign w:val="bottom"/>
          </w:tcPr>
          <w:p>
            <w:pPr>
              <w:jc w:val="right"/>
              <w:spacing w:after="0"/>
              <w:rPr>
                <w:sz w:val="20"/>
                <w:szCs w:val="20"/>
                <w:color w:val="auto"/>
              </w:rPr>
            </w:pPr>
            <w:r>
              <w:rPr>
                <w:rFonts w:ascii="Arial" w:cs="Arial" w:eastAsia="Arial" w:hAnsi="Arial"/>
                <w:sz w:val="22"/>
                <w:szCs w:val="22"/>
                <w:color w:val="auto"/>
              </w:rPr>
              <w:t>14,401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35,193</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Cash flows from investing activities:</w:t>
      </w:r>
    </w:p>
    <w:p>
      <w:pPr>
        <w:sectPr>
          <w:pgSz w:w="11900" w:h="16838" w:orient="portrait"/>
          <w:cols w:equalWidth="0" w:num="1">
            <w:col w:w="10199"/>
          </w:cols>
          <w:pgMar w:left="260" w:top="118"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1"/>
        </w:trPr>
        <w:tc>
          <w:tcPr>
            <w:tcW w:w="680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1060" w:type="dxa"/>
            <w:vAlign w:val="bottom"/>
          </w:tcPr>
          <w:p>
            <w:pPr>
              <w:jc w:val="right"/>
              <w:spacing w:after="0"/>
              <w:rPr>
                <w:sz w:val="20"/>
                <w:szCs w:val="20"/>
                <w:color w:val="auto"/>
              </w:rPr>
            </w:pPr>
            <w:r>
              <w:rPr>
                <w:rFonts w:ascii="Arial" w:cs="Arial" w:eastAsia="Arial" w:hAnsi="Arial"/>
                <w:sz w:val="22"/>
                <w:szCs w:val="22"/>
                <w:color w:val="auto"/>
              </w:rPr>
              <w:t>(6,037)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(9,893)</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1060" w:type="dxa"/>
            <w:vAlign w:val="bottom"/>
          </w:tcPr>
          <w:p>
            <w:pPr>
              <w:jc w:val="right"/>
              <w:spacing w:after="0"/>
              <w:rPr>
                <w:sz w:val="20"/>
                <w:szCs w:val="20"/>
                <w:color w:val="auto"/>
              </w:rPr>
            </w:pPr>
            <w:r>
              <w:rPr>
                <w:rFonts w:ascii="Arial" w:cs="Arial" w:eastAsia="Arial" w:hAnsi="Arial"/>
                <w:sz w:val="22"/>
                <w:szCs w:val="22"/>
                <w:color w:val="auto"/>
              </w:rPr>
              <w:t>1,160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2,105</w:t>
            </w:r>
          </w:p>
        </w:tc>
      </w:tr>
      <w:tr>
        <w:trPr>
          <w:trHeight w:val="275"/>
        </w:trPr>
        <w:tc>
          <w:tcPr>
            <w:tcW w:w="680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(1,542)</w:t>
            </w:r>
          </w:p>
        </w:tc>
      </w:tr>
      <w:tr>
        <w:trPr>
          <w:trHeight w:val="272"/>
        </w:trPr>
        <w:tc>
          <w:tcPr>
            <w:tcW w:w="680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1060" w:type="dxa"/>
            <w:vAlign w:val="bottom"/>
          </w:tcPr>
          <w:p>
            <w:pPr>
              <w:jc w:val="right"/>
              <w:spacing w:after="0"/>
              <w:rPr>
                <w:sz w:val="20"/>
                <w:szCs w:val="20"/>
                <w:color w:val="auto"/>
              </w:rPr>
            </w:pPr>
            <w:r>
              <w:rPr>
                <w:rFonts w:ascii="Arial" w:cs="Arial" w:eastAsia="Arial" w:hAnsi="Arial"/>
                <w:sz w:val="22"/>
                <w:szCs w:val="22"/>
                <w:color w:val="auto"/>
              </w:rPr>
              <w:t>(4,502)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(9,330)</w:t>
            </w:r>
          </w:p>
        </w:tc>
      </w:tr>
      <w:tr>
        <w:trPr>
          <w:trHeight w:val="528"/>
        </w:trPr>
        <w:tc>
          <w:tcPr>
            <w:tcW w:w="680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Proceeds from issuance of common stock</w:t>
            </w:r>
          </w:p>
        </w:tc>
        <w:tc>
          <w:tcPr>
            <w:tcW w:w="1060" w:type="dxa"/>
            <w:vAlign w:val="bottom"/>
          </w:tcPr>
          <w:p>
            <w:pPr>
              <w:jc w:val="right"/>
              <w:spacing w:after="0"/>
              <w:rPr>
                <w:sz w:val="20"/>
                <w:szCs w:val="20"/>
                <w:color w:val="auto"/>
              </w:rPr>
            </w:pPr>
            <w:r>
              <w:rPr>
                <w:rFonts w:ascii="Arial" w:cs="Arial" w:eastAsia="Arial" w:hAnsi="Arial"/>
                <w:sz w:val="22"/>
                <w:szCs w:val="22"/>
                <w:color w:val="auto"/>
              </w:rPr>
              <w:t>64,817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1060" w:type="dxa"/>
            <w:vAlign w:val="bottom"/>
          </w:tcPr>
          <w:p>
            <w:pPr>
              <w:jc w:val="right"/>
              <w:spacing w:after="0"/>
              <w:rPr>
                <w:sz w:val="20"/>
                <w:szCs w:val="20"/>
                <w:color w:val="auto"/>
              </w:rPr>
            </w:pPr>
            <w:r>
              <w:rPr>
                <w:rFonts w:ascii="Arial" w:cs="Arial" w:eastAsia="Arial" w:hAnsi="Arial"/>
                <w:sz w:val="22"/>
                <w:szCs w:val="22"/>
                <w:color w:val="auto"/>
              </w:rPr>
              <w:t>(8,000)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(33,097)</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Revolving credit borrowings (repayments), net</w:t>
            </w:r>
          </w:p>
        </w:tc>
        <w:tc>
          <w:tcPr>
            <w:tcW w:w="1060" w:type="dxa"/>
            <w:vAlign w:val="bottom"/>
          </w:tcPr>
          <w:p>
            <w:pPr>
              <w:jc w:val="right"/>
              <w:spacing w:after="0"/>
              <w:rPr>
                <w:sz w:val="20"/>
                <w:szCs w:val="20"/>
                <w:color w:val="auto"/>
              </w:rPr>
            </w:pPr>
            <w:r>
              <w:rPr>
                <w:rFonts w:ascii="Arial" w:cs="Arial" w:eastAsia="Arial" w:hAnsi="Arial"/>
                <w:sz w:val="22"/>
                <w:szCs w:val="22"/>
                <w:color w:val="auto"/>
              </w:rPr>
              <w:t>(39,937)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4,755</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1060" w:type="dxa"/>
            <w:vAlign w:val="bottom"/>
          </w:tcPr>
          <w:p>
            <w:pPr>
              <w:jc w:val="right"/>
              <w:spacing w:after="0"/>
              <w:rPr>
                <w:sz w:val="20"/>
                <w:szCs w:val="20"/>
                <w:color w:val="auto"/>
              </w:rPr>
            </w:pPr>
            <w:r>
              <w:rPr>
                <w:rFonts w:ascii="Arial" w:cs="Arial" w:eastAsia="Arial" w:hAnsi="Arial"/>
                <w:sz w:val="22"/>
                <w:szCs w:val="22"/>
                <w:color w:val="auto"/>
              </w:rPr>
              <w:t>(1,795)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(2,022)</w:t>
            </w:r>
          </w:p>
        </w:tc>
      </w:tr>
      <w:tr>
        <w:trPr>
          <w:trHeight w:val="275"/>
        </w:trPr>
        <w:tc>
          <w:tcPr>
            <w:tcW w:w="6800" w:type="dxa"/>
            <w:vAlign w:val="bottom"/>
          </w:tcPr>
          <w:p>
            <w:pPr>
              <w:ind w:left="100"/>
              <w:spacing w:after="0"/>
              <w:rPr>
                <w:sz w:val="20"/>
                <w:szCs w:val="20"/>
                <w:color w:val="auto"/>
              </w:rPr>
            </w:pPr>
            <w:r>
              <w:rPr>
                <w:rFonts w:ascii="Arial" w:cs="Arial" w:eastAsia="Arial" w:hAnsi="Arial"/>
                <w:sz w:val="22"/>
                <w:szCs w:val="22"/>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w:t>
            </w:r>
          </w:p>
        </w:tc>
      </w:tr>
      <w:tr>
        <w:trPr>
          <w:trHeight w:val="272"/>
        </w:trPr>
        <w:tc>
          <w:tcPr>
            <w:tcW w:w="6800" w:type="dxa"/>
            <w:vAlign w:val="bottom"/>
          </w:tcPr>
          <w:p>
            <w:pPr>
              <w:ind w:left="400"/>
              <w:spacing w:after="0"/>
              <w:rPr>
                <w:sz w:val="20"/>
                <w:szCs w:val="20"/>
                <w:color w:val="auto"/>
              </w:rPr>
            </w:pPr>
            <w:r>
              <w:rPr>
                <w:rFonts w:ascii="Arial" w:cs="Arial" w:eastAsia="Arial" w:hAnsi="Arial"/>
                <w:sz w:val="22"/>
                <w:szCs w:val="22"/>
                <w:color w:val="auto"/>
              </w:rPr>
              <w:t>Net cash flows provided by (used in) financing activities</w:t>
            </w:r>
          </w:p>
        </w:tc>
        <w:tc>
          <w:tcPr>
            <w:tcW w:w="1060" w:type="dxa"/>
            <w:vAlign w:val="bottom"/>
          </w:tcPr>
          <w:p>
            <w:pPr>
              <w:jc w:val="right"/>
              <w:spacing w:after="0"/>
              <w:rPr>
                <w:sz w:val="20"/>
                <w:szCs w:val="20"/>
                <w:color w:val="auto"/>
              </w:rPr>
            </w:pPr>
            <w:r>
              <w:rPr>
                <w:rFonts w:ascii="Arial" w:cs="Arial" w:eastAsia="Arial" w:hAnsi="Arial"/>
                <w:sz w:val="22"/>
                <w:szCs w:val="22"/>
                <w:color w:val="auto"/>
              </w:rPr>
              <w:t>14,792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(30,429)</w:t>
            </w:r>
          </w:p>
        </w:tc>
      </w:tr>
      <w:tr>
        <w:trPr>
          <w:trHeight w:val="532"/>
        </w:trPr>
        <w:tc>
          <w:tcPr>
            <w:tcW w:w="680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r>
      <w:tr>
        <w:trPr>
          <w:trHeight w:val="272"/>
        </w:trPr>
        <w:tc>
          <w:tcPr>
            <w:tcW w:w="680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1060" w:type="dxa"/>
            <w:vAlign w:val="bottom"/>
          </w:tcPr>
          <w:p>
            <w:pPr>
              <w:jc w:val="right"/>
              <w:spacing w:after="0"/>
              <w:rPr>
                <w:sz w:val="20"/>
                <w:szCs w:val="20"/>
                <w:color w:val="auto"/>
              </w:rPr>
            </w:pPr>
            <w:r>
              <w:rPr>
                <w:rFonts w:ascii="Arial" w:cs="Arial" w:eastAsia="Arial" w:hAnsi="Arial"/>
                <w:sz w:val="22"/>
                <w:szCs w:val="22"/>
                <w:color w:val="auto"/>
              </w:rPr>
              <w:t>25,541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(5,582)</w:t>
            </w:r>
          </w:p>
        </w:tc>
      </w:tr>
      <w:tr>
        <w:trPr>
          <w:trHeight w:val="532"/>
        </w:trPr>
        <w:tc>
          <w:tcPr>
            <w:tcW w:w="680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1060" w:type="dxa"/>
            <w:vAlign w:val="bottom"/>
          </w:tcPr>
          <w:p>
            <w:pPr>
              <w:jc w:val="right"/>
              <w:spacing w:after="0"/>
              <w:rPr>
                <w:sz w:val="20"/>
                <w:szCs w:val="20"/>
                <w:color w:val="auto"/>
              </w:rPr>
            </w:pPr>
            <w:r>
              <w:rPr>
                <w:rFonts w:ascii="Arial" w:cs="Arial" w:eastAsia="Arial" w:hAnsi="Arial"/>
                <w:sz w:val="22"/>
                <w:szCs w:val="22"/>
                <w:color w:val="auto"/>
              </w:rPr>
              <w:t>1,785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7,837</w:t>
            </w:r>
          </w:p>
        </w:tc>
      </w:tr>
      <w:tr>
        <w:trPr>
          <w:trHeight w:val="274"/>
        </w:trPr>
        <w:tc>
          <w:tcPr>
            <w:tcW w:w="680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64"/>
        </w:trPr>
        <w:tc>
          <w:tcPr>
            <w:tcW w:w="680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27,326</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2,255</w:t>
            </w:r>
          </w:p>
        </w:tc>
      </w:tr>
      <w:tr>
        <w:trPr>
          <w:trHeight w:val="21"/>
        </w:trPr>
        <w:tc>
          <w:tcPr>
            <w:tcW w:w="6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59"/>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59"/>
        <w:spacing w:after="0"/>
        <w:rPr>
          <w:sz w:val="20"/>
          <w:szCs w:val="20"/>
          <w:color w:val="auto"/>
        </w:rPr>
      </w:pPr>
      <w:r>
        <w:rPr>
          <w:rFonts w:ascii="Arial" w:cs="Arial" w:eastAsia="Arial" w:hAnsi="Arial"/>
          <w:sz w:val="22"/>
          <w:szCs w:val="22"/>
          <w:b w:val="1"/>
          <w:bCs w:val="1"/>
          <w:color w:val="auto"/>
        </w:rPr>
        <w:t>SEGMENT DATA</w:t>
      </w:r>
    </w:p>
    <w:p>
      <w:pPr>
        <w:jc w:val="center"/>
        <w:ind w:right="2059"/>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59"/>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4920" w:type="dxa"/>
            <w:vAlign w:val="bottom"/>
            <w:gridSpan w:val="11"/>
          </w:tcPr>
          <w:p>
            <w:pPr>
              <w:jc w:val="right"/>
              <w:spacing w:after="0"/>
              <w:rPr>
                <w:sz w:val="20"/>
                <w:szCs w:val="20"/>
                <w:color w:val="auto"/>
              </w:rPr>
            </w:pPr>
            <w:r>
              <w:rPr>
                <w:rFonts w:ascii="Arial" w:cs="Arial" w:eastAsia="Arial" w:hAnsi="Arial"/>
                <w:sz w:val="22"/>
                <w:szCs w:val="22"/>
                <w:b w:val="1"/>
                <w:bCs w:val="1"/>
                <w:color w:val="auto"/>
              </w:rPr>
              <w:t>THREE MONTHS ENDED SIX MONTHS ENDED</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gridSpan w:val="4"/>
          </w:tcPr>
          <w:p>
            <w:pPr>
              <w:jc w:val="right"/>
              <w:ind w:right="552"/>
              <w:spacing w:after="0"/>
              <w:rPr>
                <w:sz w:val="20"/>
                <w:szCs w:val="20"/>
                <w:color w:val="auto"/>
              </w:rPr>
            </w:pPr>
            <w:r>
              <w:rPr>
                <w:rFonts w:ascii="Arial" w:cs="Arial" w:eastAsia="Arial" w:hAnsi="Arial"/>
                <w:sz w:val="22"/>
                <w:szCs w:val="22"/>
                <w:b w:val="1"/>
                <w:bCs w:val="1"/>
                <w:color w:val="auto"/>
              </w:rPr>
              <w:t>JUNE 30,</w:t>
            </w:r>
          </w:p>
        </w:tc>
        <w:tc>
          <w:tcPr>
            <w:tcW w:w="0" w:type="dxa"/>
            <w:vAlign w:val="bottom"/>
          </w:tcPr>
          <w:p>
            <w:pPr>
              <w:spacing w:after="0"/>
              <w:rPr>
                <w:sz w:val="1"/>
                <w:szCs w:val="1"/>
                <w:color w:val="auto"/>
              </w:rPr>
            </w:pPr>
          </w:p>
        </w:tc>
      </w:tr>
      <w:tr>
        <w:trPr>
          <w:trHeight w:val="281"/>
        </w:trPr>
        <w:tc>
          <w:tcPr>
            <w:tcW w:w="3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93"/>
              </w:rPr>
              <w:t>2016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9"/>
        </w:trPr>
        <w:tc>
          <w:tcPr>
            <w:tcW w:w="3220" w:type="dxa"/>
            <w:vAlign w:val="bottom"/>
          </w:tcPr>
          <w:p>
            <w:pPr>
              <w:spacing w:after="0"/>
              <w:rPr>
                <w:sz w:val="20"/>
                <w:szCs w:val="20"/>
                <w:color w:val="auto"/>
              </w:rPr>
            </w:pPr>
            <w:r>
              <w:rPr>
                <w:rFonts w:ascii="Arial" w:cs="Arial" w:eastAsia="Arial" w:hAnsi="Arial"/>
                <w:sz w:val="22"/>
                <w:szCs w:val="22"/>
                <w:color w:val="auto"/>
              </w:rPr>
              <w:t>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57,668</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77,107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118,174</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w w:val="95"/>
              </w:rPr>
              <w:t>142,629</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28,607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27,505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55,623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53,015</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5,735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9,642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6,427</w:t>
            </w:r>
          </w:p>
        </w:tc>
        <w:tc>
          <w:tcPr>
            <w:tcW w:w="0" w:type="dxa"/>
            <w:vAlign w:val="bottom"/>
          </w:tcPr>
          <w:p>
            <w:pPr>
              <w:spacing w:after="0"/>
              <w:rPr>
                <w:sz w:val="1"/>
                <w:szCs w:val="1"/>
                <w:color w:val="auto"/>
              </w:rPr>
            </w:pPr>
          </w:p>
        </w:tc>
      </w:tr>
      <w:tr>
        <w:trPr>
          <w:trHeight w:val="265"/>
        </w:trPr>
        <w:tc>
          <w:tcPr>
            <w:tcW w:w="3220" w:type="dxa"/>
            <w:vAlign w:val="bottom"/>
          </w:tcPr>
          <w:p>
            <w:pPr>
              <w:ind w:left="240"/>
              <w:spacing w:after="0"/>
              <w:rPr>
                <w:sz w:val="20"/>
                <w:szCs w:val="20"/>
                <w:color w:val="auto"/>
              </w:rPr>
            </w:pPr>
            <w:r>
              <w:rPr>
                <w:rFonts w:ascii="Arial" w:cs="Arial" w:eastAsia="Arial" w:hAnsi="Arial"/>
                <w:sz w:val="22"/>
                <w:szCs w:val="22"/>
                <w:color w:val="auto"/>
              </w:rPr>
              <w:t>Total revenues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92,010</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107,035</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183,439</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202,071</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14,709</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23,743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27,898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37,791</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10,810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11,046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21,431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21,789</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(1,083)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(2,431)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(2,345)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(13,901)</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(5,872)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(13,190)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(11,727)</w:t>
            </w:r>
          </w:p>
        </w:tc>
        <w:tc>
          <w:tcPr>
            <w:tcW w:w="0" w:type="dxa"/>
            <w:vAlign w:val="bottom"/>
          </w:tcPr>
          <w:p>
            <w:pPr>
              <w:spacing w:after="0"/>
              <w:rPr>
                <w:sz w:val="1"/>
                <w:szCs w:val="1"/>
                <w:color w:val="auto"/>
              </w:rPr>
            </w:pPr>
          </w:p>
        </w:tc>
      </w:tr>
      <w:tr>
        <w:trPr>
          <w:trHeight w:val="265"/>
        </w:trPr>
        <w:tc>
          <w:tcPr>
            <w:tcW w:w="3220" w:type="dxa"/>
            <w:vAlign w:val="bottom"/>
          </w:tcPr>
          <w:p>
            <w:pPr>
              <w:ind w:left="240"/>
              <w:spacing w:after="0"/>
              <w:rPr>
                <w:sz w:val="20"/>
                <w:szCs w:val="20"/>
                <w:color w:val="auto"/>
              </w:rPr>
            </w:pPr>
            <w:r>
              <w:rPr>
                <w:rFonts w:ascii="Arial" w:cs="Arial" w:eastAsia="Arial" w:hAnsi="Arial"/>
                <w:sz w:val="22"/>
                <w:szCs w:val="22"/>
                <w:color w:val="auto"/>
              </w:rPr>
              <w:t>Total EBITDA</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18,564</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26,630</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33,794</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33,952</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14,709</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23,861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27,898</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38,032</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10,810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11,046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21,431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21,809</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(1,083)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(2,431)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(2,345)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(5,501)</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(5,872)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(5,610)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(13,190)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(10,717)</w:t>
            </w:r>
          </w:p>
        </w:tc>
        <w:tc>
          <w:tcPr>
            <w:tcW w:w="0" w:type="dxa"/>
            <w:vAlign w:val="bottom"/>
          </w:tcPr>
          <w:p>
            <w:pPr>
              <w:spacing w:after="0"/>
              <w:rPr>
                <w:sz w:val="1"/>
                <w:szCs w:val="1"/>
                <w:color w:val="auto"/>
              </w:rPr>
            </w:pPr>
          </w:p>
        </w:tc>
      </w:tr>
      <w:tr>
        <w:trPr>
          <w:trHeight w:val="265"/>
        </w:trPr>
        <w:tc>
          <w:tcPr>
            <w:tcW w:w="3220" w:type="dxa"/>
            <w:vAlign w:val="bottom"/>
          </w:tcPr>
          <w:p>
            <w:pPr>
              <w:ind w:left="240"/>
              <w:spacing w:after="0"/>
              <w:rPr>
                <w:sz w:val="20"/>
                <w:szCs w:val="20"/>
                <w:color w:val="auto"/>
              </w:rPr>
            </w:pPr>
            <w:r>
              <w:rPr>
                <w:rFonts w:ascii="Arial" w:cs="Arial" w:eastAsia="Arial" w:hAnsi="Arial"/>
                <w:sz w:val="22"/>
                <w:szCs w:val="22"/>
                <w:color w:val="auto"/>
              </w:rPr>
              <w:t>Total adjusted EBITDA</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18,564</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26,866</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33,794</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43,623</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(9,586)</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683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(14,592)</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(9,016)</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(3,416)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(914)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(4,617)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(2,536)</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(3,604)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(3,792)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(6,406)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(17,391)</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3,239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(1,991)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(5,484)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(3,268)</w:t>
            </w:r>
          </w:p>
        </w:tc>
        <w:tc>
          <w:tcPr>
            <w:tcW w:w="0" w:type="dxa"/>
            <w:vAlign w:val="bottom"/>
          </w:tcPr>
          <w:p>
            <w:pPr>
              <w:spacing w:after="0"/>
              <w:rPr>
                <w:sz w:val="1"/>
                <w:szCs w:val="1"/>
                <w:color w:val="auto"/>
              </w:rPr>
            </w:pPr>
          </w:p>
        </w:tc>
      </w:tr>
      <w:tr>
        <w:trPr>
          <w:trHeight w:val="265"/>
        </w:trPr>
        <w:tc>
          <w:tcPr>
            <w:tcW w:w="3220" w:type="dxa"/>
            <w:vAlign w:val="bottom"/>
          </w:tcPr>
          <w:p>
            <w:pPr>
              <w:ind w:left="240"/>
              <w:spacing w:after="0"/>
              <w:rPr>
                <w:sz w:val="20"/>
                <w:szCs w:val="20"/>
                <w:color w:val="auto"/>
              </w:rPr>
            </w:pPr>
            <w:r>
              <w:rPr>
                <w:rFonts w:ascii="Arial" w:cs="Arial" w:eastAsia="Arial" w:hAnsi="Arial"/>
                <w:sz w:val="22"/>
                <w:szCs w:val="22"/>
                <w:color w:val="auto"/>
              </w:rPr>
              <w:t>Total operating loss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(13,367)</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(6,014)</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(31,099)</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(32,211)</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ectPr>
          <w:pgSz w:w="11900" w:h="16838" w:orient="portrait"/>
          <w:cols w:equalWidth="0" w:num="1">
            <w:col w:w="10199"/>
          </w:cols>
          <w:pgMar w:left="260" w:top="118" w:right="1440" w:bottom="88" w:gutter="0" w:footer="0" w:header="0"/>
        </w:sectPr>
      </w:pPr>
    </w:p>
    <w:bookmarkStart w:id="8" w:name="page9"/>
    <w:bookmarkEnd w:id="8"/>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6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528"/>
        </w:trPr>
        <w:tc>
          <w:tcPr>
            <w:tcW w:w="6020" w:type="dxa"/>
            <w:vAlign w:val="bottom"/>
          </w:tcPr>
          <w:p>
            <w:pPr>
              <w:spacing w:after="0"/>
              <w:rPr>
                <w:sz w:val="20"/>
                <w:szCs w:val="20"/>
                <w:color w:val="auto"/>
              </w:rPr>
            </w:pPr>
            <w:r>
              <w:rPr>
                <w:rFonts w:ascii="Arial" w:cs="Arial" w:eastAsia="Arial" w:hAnsi="Arial"/>
                <w:sz w:val="22"/>
                <w:szCs w:val="22"/>
                <w:color w:val="auto"/>
              </w:rPr>
              <w:t>EBITDA (1)</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18,564</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26,630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33,794</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33,952</w:t>
            </w:r>
          </w:p>
        </w:tc>
      </w:tr>
      <w:tr>
        <w:trPr>
          <w:trHeight w:val="270"/>
        </w:trPr>
        <w:tc>
          <w:tcPr>
            <w:tcW w:w="6020" w:type="dxa"/>
            <w:vAlign w:val="bottom"/>
          </w:tcPr>
          <w:p>
            <w:pPr>
              <w:spacing w:after="0"/>
              <w:rPr>
                <w:sz w:val="20"/>
                <w:szCs w:val="20"/>
                <w:color w:val="auto"/>
              </w:rPr>
            </w:pPr>
            <w:r>
              <w:rPr>
                <w:rFonts w:ascii="Arial" w:cs="Arial" w:eastAsia="Arial" w:hAnsi="Arial"/>
                <w:sz w:val="22"/>
                <w:szCs w:val="22"/>
                <w:color w:val="auto"/>
              </w:rPr>
              <w:t>Adjusted EBITDA (1)</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18,564</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26,866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33,794</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43,623</w:t>
            </w:r>
          </w:p>
        </w:tc>
      </w:tr>
      <w:tr>
        <w:trPr>
          <w:trHeight w:val="275"/>
        </w:trPr>
        <w:tc>
          <w:tcPr>
            <w:tcW w:w="6020" w:type="dxa"/>
            <w:vAlign w:val="bottom"/>
          </w:tcPr>
          <w:p>
            <w:pPr>
              <w:spacing w:after="0"/>
              <w:rPr>
                <w:sz w:val="20"/>
                <w:szCs w:val="20"/>
                <w:color w:val="auto"/>
              </w:rPr>
            </w:pPr>
            <w:r>
              <w:rPr>
                <w:rFonts w:ascii="Arial" w:cs="Arial" w:eastAsia="Arial" w:hAnsi="Arial"/>
                <w:sz w:val="22"/>
                <w:szCs w:val="22"/>
                <w:color w:val="auto"/>
              </w:rPr>
              <w:t>Free Cash Flow (2)</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2,981</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19,237</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9,524</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27,405</w:t>
            </w:r>
          </w:p>
        </w:tc>
      </w:tr>
    </w:tbl>
    <w:p>
      <w:pPr>
        <w:spacing w:after="0" w:line="266" w:lineRule="exact"/>
        <w:rPr>
          <w:sz w:val="20"/>
          <w:szCs w:val="20"/>
          <w:color w:val="auto"/>
        </w:rPr>
      </w:pPr>
    </w:p>
    <w:p>
      <w:pPr>
        <w:ind w:right="20" w:firstLine="2"/>
        <w:spacing w:after="0" w:line="244"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term EBITDA is defined as net income (loss) plus interest, taxes, depreciation and amortization. The term Adjusted EBITDA is defined as EBITDA adjusted to exclude impairment charges and certain costs associated with Civeo's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1" w:lineRule="exact"/>
        <w:rPr>
          <w:sz w:val="20"/>
          <w:szCs w:val="20"/>
          <w:color w:val="auto"/>
        </w:rPr>
      </w:pPr>
    </w:p>
    <w:p>
      <w:pPr>
        <w:jc w:val="both"/>
        <w:ind w:right="980"/>
        <w:spacing w:after="0"/>
        <w:rPr>
          <w:sz w:val="20"/>
          <w:szCs w:val="20"/>
          <w:color w:val="auto"/>
        </w:rPr>
      </w:pPr>
      <w:r>
        <w:rPr>
          <w:rFonts w:ascii="Arial" w:cs="Arial" w:eastAsia="Arial" w:hAnsi="Arial"/>
          <w:sz w:val="22"/>
          <w:szCs w:val="22"/>
          <w:color w:val="auto"/>
        </w:rPr>
        <w:t>The following table sets forth a reconciliation of EBITDA and Adjusted EBITDA to net loss,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562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528"/>
        </w:trPr>
        <w:tc>
          <w:tcPr>
            <w:tcW w:w="562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(14,816)</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(11,486)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(35,803)</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(38,308)</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(2,916)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(949)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(5,864)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(5,520)</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31,554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33,168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64,383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66,723</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302</w:t>
            </w:r>
          </w:p>
        </w:tc>
      </w:tr>
      <w:tr>
        <w:trPr>
          <w:trHeight w:val="275"/>
        </w:trPr>
        <w:tc>
          <w:tcPr>
            <w:tcW w:w="562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4,752</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5,925</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10,256</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10,869</w:t>
            </w:r>
          </w:p>
        </w:tc>
      </w:tr>
      <w:tr>
        <w:trPr>
          <w:trHeight w:val="267"/>
        </w:trPr>
        <w:tc>
          <w:tcPr>
            <w:tcW w:w="5620" w:type="dxa"/>
            <w:vAlign w:val="bottom"/>
          </w:tcPr>
          <w:p>
            <w:pPr>
              <w:ind w:left="16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18,564</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26,630</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33,794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33,952</w:t>
            </w:r>
          </w:p>
        </w:tc>
      </w:tr>
      <w:tr>
        <w:trPr>
          <w:trHeight w:val="256"/>
        </w:trPr>
        <w:tc>
          <w:tcPr>
            <w:tcW w:w="562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5620" w:type="dxa"/>
            <w:vAlign w:val="bottom"/>
          </w:tcPr>
          <w:p>
            <w:pPr>
              <w:ind w:left="160"/>
              <w:spacing w:after="0"/>
              <w:rPr>
                <w:sz w:val="20"/>
                <w:szCs w:val="20"/>
                <w:color w:val="auto"/>
              </w:rPr>
            </w:pPr>
            <w:r>
              <w:rPr>
                <w:rFonts w:ascii="Arial" w:cs="Arial" w:eastAsia="Arial" w:hAnsi="Arial"/>
                <w:sz w:val="22"/>
                <w:szCs w:val="22"/>
                <w:color w:val="auto"/>
              </w:rPr>
              <w:t>Impairment expense (a)</w:t>
            </w:r>
          </w:p>
        </w:tc>
        <w:tc>
          <w:tcPr>
            <w:tcW w:w="30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8,400</w:t>
            </w:r>
          </w:p>
        </w:tc>
      </w:tr>
      <w:tr>
        <w:trPr>
          <w:trHeight w:val="276"/>
        </w:trPr>
        <w:tc>
          <w:tcPr>
            <w:tcW w:w="5620" w:type="dxa"/>
            <w:vAlign w:val="bottom"/>
          </w:tcPr>
          <w:p>
            <w:pPr>
              <w:ind w:left="160"/>
              <w:spacing w:after="0"/>
              <w:rPr>
                <w:sz w:val="20"/>
                <w:szCs w:val="20"/>
                <w:color w:val="auto"/>
              </w:rPr>
            </w:pPr>
            <w:r>
              <w:rPr>
                <w:rFonts w:ascii="Arial" w:cs="Arial" w:eastAsia="Arial" w:hAnsi="Arial"/>
                <w:sz w:val="22"/>
                <w:szCs w:val="22"/>
                <w:color w:val="auto"/>
              </w:rPr>
              <w:t>Redomiciliation costs (b)</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1,271</w:t>
            </w:r>
          </w:p>
        </w:tc>
      </w:tr>
      <w:tr>
        <w:trPr>
          <w:trHeight w:val="265"/>
        </w:trPr>
        <w:tc>
          <w:tcPr>
            <w:tcW w:w="5620" w:type="dxa"/>
            <w:vAlign w:val="bottom"/>
          </w:tcPr>
          <w:p>
            <w:pPr>
              <w:ind w:left="32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18,564</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26,866</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33,794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43,623</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140" w:firstLine="2"/>
        <w:spacing w:after="0" w:line="328"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the first quarter 2016 impairment of assets in the United States. We recorded a pre-tax loss of $8.4 million ($5.5 million after-tax, or $0.05 per diluted share), which is included in Impairment expense on the unaudited statements of operations.</w:t>
      </w:r>
    </w:p>
    <w:p>
      <w:pPr>
        <w:spacing w:after="0" w:line="186" w:lineRule="exact"/>
        <w:rPr>
          <w:rFonts w:ascii="Arial" w:cs="Arial" w:eastAsia="Arial" w:hAnsi="Arial"/>
          <w:sz w:val="19"/>
          <w:szCs w:val="19"/>
          <w:color w:val="auto"/>
        </w:rPr>
      </w:pPr>
    </w:p>
    <w:p>
      <w:pPr>
        <w:ind w:right="40" w:firstLine="2"/>
        <w:spacing w:after="0" w:line="258"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Relates to costs incurred associated with Civeo's redomiciliation to Canada. The $0.2 million and $1.3 million of costs in 2016 ($0.2 million and $1.2 million after-tax, or $0.00 and $0.01, per diluted share, respectively), which are primarily corporate in nature, are included in Selling, general and administrative costs on the unaudited statements of operations.</w:t>
      </w:r>
    </w:p>
    <w:p>
      <w:pPr>
        <w:spacing w:after="0" w:line="248" w:lineRule="exact"/>
        <w:rPr>
          <w:sz w:val="20"/>
          <w:szCs w:val="20"/>
          <w:color w:val="auto"/>
        </w:rPr>
      </w:pPr>
    </w:p>
    <w:p>
      <w:pPr>
        <w:ind w:right="60" w:firstLine="2"/>
        <w:spacing w:after="0" w:line="245" w:lineRule="auto"/>
        <w:tabs>
          <w:tab w:leader="none" w:pos="306"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ectPr>
          <w:pgSz w:w="11900" w:h="16853" w:orient="portrait"/>
          <w:cols w:equalWidth="0" w:num="1">
            <w:col w:w="11320"/>
          </w:cols>
          <w:pgMar w:left="260" w:top="585" w:right="319" w:bottom="0" w:gutter="0" w:footer="0" w:header="0"/>
        </w:sectPr>
      </w:pPr>
    </w:p>
    <w:bookmarkStart w:id="9" w:name="page10"/>
    <w:bookmarkEnd w:id="9"/>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570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528"/>
        </w:trPr>
        <w:tc>
          <w:tcPr>
            <w:tcW w:w="570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4,553</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23,863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14,401</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35,193</w:t>
            </w:r>
          </w:p>
        </w:tc>
      </w:tr>
      <w:tr>
        <w:trPr>
          <w:trHeight w:val="270"/>
        </w:trPr>
        <w:tc>
          <w:tcPr>
            <w:tcW w:w="570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(2,154)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(5,132)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(6,037)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(9,893)</w:t>
            </w:r>
          </w:p>
        </w:tc>
      </w:tr>
      <w:tr>
        <w:trPr>
          <w:trHeight w:val="275"/>
        </w:trPr>
        <w:tc>
          <w:tcPr>
            <w:tcW w:w="5700" w:type="dxa"/>
            <w:vAlign w:val="bottom"/>
          </w:tcPr>
          <w:p>
            <w:pPr>
              <w:ind w:left="120"/>
              <w:spacing w:after="0"/>
              <w:rPr>
                <w:sz w:val="20"/>
                <w:szCs w:val="20"/>
                <w:color w:val="auto"/>
              </w:rPr>
            </w:pPr>
            <w:r>
              <w:rPr>
                <w:rFonts w:ascii="Arial" w:cs="Arial" w:eastAsia="Arial" w:hAnsi="Arial"/>
                <w:sz w:val="22"/>
                <w:szCs w:val="22"/>
                <w:color w:val="auto"/>
                <w:w w:val="96"/>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582</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506</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1,160</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2,105</w:t>
            </w:r>
          </w:p>
        </w:tc>
      </w:tr>
      <w:tr>
        <w:trPr>
          <w:trHeight w:val="267"/>
        </w:trPr>
        <w:tc>
          <w:tcPr>
            <w:tcW w:w="570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2,981</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19,237</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9,524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4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rPr>
              <w:t>THREE MONTHS ENDING</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2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rPr>
              <w:t>YEAR ENDING</w:t>
            </w:r>
          </w:p>
        </w:tc>
        <w:tc>
          <w:tcPr>
            <w:tcW w:w="460" w:type="dxa"/>
            <w:vAlign w:val="bottom"/>
          </w:tcPr>
          <w:p>
            <w:pPr>
              <w:spacing w:after="0"/>
              <w:rPr>
                <w:sz w:val="21"/>
                <w:szCs w:val="21"/>
                <w:color w:val="auto"/>
              </w:rPr>
            </w:pPr>
          </w:p>
        </w:tc>
      </w:tr>
      <w:tr>
        <w:trPr>
          <w:trHeight w:val="276"/>
        </w:trPr>
        <w:tc>
          <w:tcPr>
            <w:tcW w:w="3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3"/>
              </w:rPr>
              <w:t>SEPTEMBER 30, 2017</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gridSpan w:val="3"/>
          </w:tcPr>
          <w:p>
            <w:pPr>
              <w:jc w:val="center"/>
              <w:ind w:right="32"/>
              <w:spacing w:after="0"/>
              <w:rPr>
                <w:sz w:val="20"/>
                <w:szCs w:val="20"/>
                <w:color w:val="auto"/>
              </w:rPr>
            </w:pPr>
            <w:r>
              <w:rPr>
                <w:rFonts w:ascii="Arial" w:cs="Arial" w:eastAsia="Arial" w:hAnsi="Arial"/>
                <w:sz w:val="22"/>
                <w:szCs w:val="22"/>
                <w:b w:val="1"/>
                <w:bCs w:val="1"/>
                <w:color w:val="auto"/>
                <w:w w:val="94"/>
              </w:rPr>
              <w:t>DECEMBER 31, 2017</w:t>
            </w:r>
          </w:p>
        </w:tc>
      </w:tr>
      <w:tr>
        <w:trPr>
          <w:trHeight w:val="275"/>
        </w:trPr>
        <w:tc>
          <w:tcPr>
            <w:tcW w:w="3040" w:type="dxa"/>
            <w:vAlign w:val="bottom"/>
          </w:tcPr>
          <w:p>
            <w:pPr>
              <w:spacing w:after="0"/>
              <w:rPr>
                <w:sz w:val="20"/>
                <w:szCs w:val="20"/>
                <w:color w:val="auto"/>
              </w:rPr>
            </w:pPr>
            <w:r>
              <w:rPr>
                <w:rFonts w:ascii="Arial" w:cs="Arial" w:eastAsia="Arial" w:hAnsi="Arial"/>
                <w:sz w:val="22"/>
                <w:szCs w:val="22"/>
                <w:color w:val="auto"/>
              </w:rPr>
              <w:t>EBITDA Range (1)</w:t>
            </w:r>
          </w:p>
        </w:tc>
        <w:tc>
          <w:tcPr>
            <w:tcW w:w="15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232"/>
              <w:spacing w:after="0"/>
              <w:rPr>
                <w:sz w:val="20"/>
                <w:szCs w:val="20"/>
                <w:color w:val="auto"/>
              </w:rPr>
            </w:pPr>
            <w:r>
              <w:rPr>
                <w:rFonts w:ascii="Arial" w:cs="Arial" w:eastAsia="Arial" w:hAnsi="Arial"/>
                <w:sz w:val="22"/>
                <w:szCs w:val="22"/>
                <w:color w:val="auto"/>
              </w:rPr>
              <w:t>16.0</w:t>
            </w:r>
          </w:p>
        </w:tc>
        <w:tc>
          <w:tcPr>
            <w:tcW w:w="1380" w:type="dxa"/>
            <w:vAlign w:val="bottom"/>
          </w:tcPr>
          <w:p>
            <w:pPr>
              <w:jc w:val="right"/>
              <w:ind w:right="832"/>
              <w:spacing w:after="0"/>
              <w:rPr>
                <w:sz w:val="20"/>
                <w:szCs w:val="20"/>
                <w:color w:val="auto"/>
              </w:rPr>
            </w:pPr>
            <w:r>
              <w:rPr>
                <w:rFonts w:ascii="Arial" w:cs="Arial" w:eastAsia="Arial" w:hAnsi="Arial"/>
                <w:sz w:val="22"/>
                <w:szCs w:val="22"/>
                <w:color w:val="auto"/>
              </w:rPr>
              <w:t>$</w:t>
            </w:r>
          </w:p>
        </w:tc>
        <w:tc>
          <w:tcPr>
            <w:tcW w:w="640" w:type="dxa"/>
            <w:vAlign w:val="bottom"/>
          </w:tcPr>
          <w:p>
            <w:pPr>
              <w:jc w:val="right"/>
              <w:ind w:right="152"/>
              <w:spacing w:after="0"/>
              <w:rPr>
                <w:sz w:val="20"/>
                <w:szCs w:val="20"/>
                <w:color w:val="auto"/>
              </w:rPr>
            </w:pPr>
            <w:r>
              <w:rPr>
                <w:rFonts w:ascii="Arial" w:cs="Arial" w:eastAsia="Arial" w:hAnsi="Arial"/>
                <w:sz w:val="22"/>
                <w:szCs w:val="22"/>
                <w:color w:val="auto"/>
                <w:w w:val="83"/>
              </w:rPr>
              <w:t>18.5</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12"/>
              <w:spacing w:after="0"/>
              <w:rPr>
                <w:sz w:val="20"/>
                <w:szCs w:val="20"/>
                <w:color w:val="auto"/>
              </w:rPr>
            </w:pPr>
            <w:r>
              <w:rPr>
                <w:rFonts w:ascii="Arial" w:cs="Arial" w:eastAsia="Arial" w:hAnsi="Arial"/>
                <w:sz w:val="22"/>
                <w:szCs w:val="22"/>
                <w:color w:val="auto"/>
              </w:rPr>
              <w:t>61.0</w:t>
            </w:r>
          </w:p>
        </w:tc>
        <w:tc>
          <w:tcPr>
            <w:tcW w:w="94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66.0</w:t>
            </w:r>
          </w:p>
        </w:tc>
      </w:tr>
    </w:tbl>
    <w:p>
      <w:pPr>
        <w:spacing w:after="0" w:line="266" w:lineRule="exact"/>
        <w:rPr>
          <w:sz w:val="20"/>
          <w:szCs w:val="20"/>
          <w:color w:val="auto"/>
        </w:rPr>
      </w:pPr>
    </w:p>
    <w:p>
      <w:pPr>
        <w:ind w:right="60" w:firstLine="2"/>
        <w:spacing w:after="0" w:line="328" w:lineRule="auto"/>
        <w:tabs>
          <w:tab w:leader="none" w:pos="30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0" w:type="dxa"/>
            <w:vAlign w:val="bottom"/>
            <w:gridSpan w:val="5"/>
          </w:tcPr>
          <w:p>
            <w:pPr>
              <w:jc w:val="center"/>
              <w:ind w:right="580"/>
              <w:spacing w:after="0"/>
              <w:rPr>
                <w:sz w:val="20"/>
                <w:szCs w:val="20"/>
                <w:color w:val="auto"/>
              </w:rPr>
            </w:pPr>
            <w:r>
              <w:rPr>
                <w:rFonts w:ascii="Arial" w:cs="Arial" w:eastAsia="Arial" w:hAnsi="Arial"/>
                <w:sz w:val="22"/>
                <w:szCs w:val="22"/>
                <w:b w:val="1"/>
                <w:bCs w:val="1"/>
                <w:color w:val="auto"/>
              </w:rPr>
              <w:t>THREE MONTHS ENDING</w:t>
            </w:r>
          </w:p>
        </w:tc>
        <w:tc>
          <w:tcPr>
            <w:tcW w:w="360" w:type="dxa"/>
            <w:vAlign w:val="bottom"/>
          </w:tcPr>
          <w:p>
            <w:pPr>
              <w:spacing w:after="0"/>
              <w:rPr>
                <w:sz w:val="21"/>
                <w:szCs w:val="21"/>
                <w:color w:val="auto"/>
              </w:rPr>
            </w:pPr>
          </w:p>
        </w:tc>
        <w:tc>
          <w:tcPr>
            <w:tcW w:w="19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rPr>
              <w:t>YEAR ENDING</w:t>
            </w:r>
          </w:p>
        </w:tc>
        <w:tc>
          <w:tcPr>
            <w:tcW w:w="760" w:type="dxa"/>
            <w:vAlign w:val="bottom"/>
          </w:tcPr>
          <w:p>
            <w:pPr>
              <w:spacing w:after="0"/>
              <w:rPr>
                <w:sz w:val="21"/>
                <w:szCs w:val="21"/>
                <w:color w:val="auto"/>
              </w:rPr>
            </w:pPr>
          </w:p>
        </w:tc>
      </w:tr>
      <w:tr>
        <w:trPr>
          <w:trHeight w:val="270"/>
        </w:trPr>
        <w:tc>
          <w:tcPr>
            <w:tcW w:w="3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6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93"/>
              </w:rPr>
              <w:t>SEPTEMBER 30, 2017</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20" w:type="dxa"/>
            <w:vAlign w:val="bottom"/>
            <w:gridSpan w:val="4"/>
          </w:tcPr>
          <w:p>
            <w:pPr>
              <w:jc w:val="center"/>
              <w:ind w:right="272"/>
              <w:spacing w:after="0"/>
              <w:rPr>
                <w:sz w:val="20"/>
                <w:szCs w:val="20"/>
                <w:color w:val="auto"/>
              </w:rPr>
            </w:pPr>
            <w:r>
              <w:rPr>
                <w:rFonts w:ascii="Arial" w:cs="Arial" w:eastAsia="Arial" w:hAnsi="Arial"/>
                <w:sz w:val="22"/>
                <w:szCs w:val="22"/>
                <w:b w:val="1"/>
                <w:bCs w:val="1"/>
                <w:color w:val="auto"/>
                <w:w w:val="94"/>
              </w:rPr>
              <w:t>DECEMBER 31, 2017</w:t>
            </w:r>
          </w:p>
        </w:tc>
      </w:tr>
      <w:tr>
        <w:trPr>
          <w:trHeight w:val="281"/>
        </w:trPr>
        <w:tc>
          <w:tcPr>
            <w:tcW w:w="3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6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6"/>
              </w:rPr>
              <w:t>(estimated)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88"/>
              </w:rPr>
              <w:t>(estimated)</w:t>
            </w:r>
          </w:p>
        </w:tc>
        <w:tc>
          <w:tcPr>
            <w:tcW w:w="760" w:type="dxa"/>
            <w:vAlign w:val="bottom"/>
          </w:tcPr>
          <w:p>
            <w:pPr>
              <w:spacing w:after="0"/>
              <w:rPr>
                <w:sz w:val="24"/>
                <w:szCs w:val="24"/>
                <w:color w:val="auto"/>
              </w:rPr>
            </w:pPr>
          </w:p>
        </w:tc>
      </w:tr>
      <w:tr>
        <w:trPr>
          <w:trHeight w:val="536"/>
        </w:trPr>
        <w:tc>
          <w:tcPr>
            <w:tcW w:w="3960" w:type="dxa"/>
            <w:vAlign w:val="bottom"/>
          </w:tcPr>
          <w:p>
            <w:pPr>
              <w:spacing w:after="0"/>
              <w:rPr>
                <w:sz w:val="20"/>
                <w:szCs w:val="20"/>
                <w:color w:val="auto"/>
              </w:rPr>
            </w:pPr>
            <w:r>
              <w:rPr>
                <w:rFonts w:ascii="Arial" w:cs="Arial" w:eastAsia="Arial" w:hAnsi="Arial"/>
                <w:sz w:val="22"/>
                <w:szCs w:val="22"/>
                <w:color w:val="auto"/>
              </w:rPr>
              <w:t>Net loss</w:t>
            </w:r>
          </w:p>
        </w:tc>
        <w:tc>
          <w:tcPr>
            <w:tcW w:w="4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(18.0)</w:t>
            </w:r>
          </w:p>
        </w:tc>
        <w:tc>
          <w:tcPr>
            <w:tcW w:w="200" w:type="dxa"/>
            <w:vAlign w:val="bottom"/>
          </w:tcPr>
          <w:p>
            <w:pPr>
              <w:spacing w:after="0"/>
              <w:rPr>
                <w:sz w:val="24"/>
                <w:szCs w:val="24"/>
                <w:color w:val="auto"/>
              </w:rPr>
            </w:pPr>
          </w:p>
        </w:tc>
        <w:tc>
          <w:tcPr>
            <w:tcW w:w="112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(16.0)</w:t>
            </w:r>
          </w:p>
        </w:tc>
        <w:tc>
          <w:tcPr>
            <w:tcW w:w="10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(76.0)</w:t>
            </w:r>
          </w:p>
        </w:tc>
        <w:tc>
          <w:tcPr>
            <w:tcW w:w="160" w:type="dxa"/>
            <w:vAlign w:val="bottom"/>
          </w:tcPr>
          <w:p>
            <w:pPr>
              <w:spacing w:after="0"/>
              <w:rPr>
                <w:sz w:val="24"/>
                <w:szCs w:val="24"/>
                <w:color w:val="auto"/>
              </w:rPr>
            </w:pPr>
          </w:p>
        </w:tc>
        <w:tc>
          <w:tcPr>
            <w:tcW w:w="76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760" w:type="dxa"/>
            <w:vAlign w:val="bottom"/>
          </w:tcPr>
          <w:p>
            <w:pPr>
              <w:jc w:val="right"/>
              <w:ind w:right="52"/>
              <w:spacing w:after="0"/>
              <w:rPr>
                <w:sz w:val="20"/>
                <w:szCs w:val="20"/>
                <w:color w:val="auto"/>
              </w:rPr>
            </w:pPr>
            <w:r>
              <w:rPr>
                <w:rFonts w:ascii="Arial" w:cs="Arial" w:eastAsia="Arial" w:hAnsi="Arial"/>
                <w:sz w:val="22"/>
                <w:szCs w:val="22"/>
                <w:color w:val="auto"/>
              </w:rPr>
              <w:t>(73.0)</w:t>
            </w:r>
          </w:p>
        </w:tc>
      </w:tr>
      <w:tr>
        <w:trPr>
          <w:trHeight w:val="270"/>
        </w:trPr>
        <w:tc>
          <w:tcPr>
            <w:tcW w:w="3960" w:type="dxa"/>
            <w:vAlign w:val="bottom"/>
          </w:tcPr>
          <w:p>
            <w:pPr>
              <w:spacing w:after="0"/>
              <w:rPr>
                <w:sz w:val="20"/>
                <w:szCs w:val="20"/>
                <w:color w:val="auto"/>
              </w:rPr>
            </w:pPr>
            <w:r>
              <w:rPr>
                <w:rFonts w:ascii="Arial" w:cs="Arial" w:eastAsia="Arial" w:hAnsi="Arial"/>
                <w:sz w:val="22"/>
                <w:szCs w:val="22"/>
                <w:color w:val="auto"/>
              </w:rPr>
              <w:t>Income tax benefit</w:t>
            </w:r>
          </w:p>
        </w:tc>
        <w:tc>
          <w:tcPr>
            <w:tcW w:w="48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(2.0)</w:t>
            </w: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Arial" w:cs="Arial" w:eastAsia="Arial" w:hAnsi="Arial"/>
                <w:sz w:val="22"/>
                <w:szCs w:val="22"/>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(11.0)</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22"/>
                <w:szCs w:val="22"/>
                <w:color w:val="auto"/>
              </w:rPr>
              <w:t>(9.0)</w:t>
            </w:r>
          </w:p>
        </w:tc>
      </w:tr>
      <w:tr>
        <w:trPr>
          <w:trHeight w:val="270"/>
        </w:trPr>
        <w:tc>
          <w:tcPr>
            <w:tcW w:w="39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80" w:type="dxa"/>
            <w:vAlign w:val="bottom"/>
          </w:tcPr>
          <w:p>
            <w:pPr>
              <w:spacing w:after="0"/>
              <w:rPr>
                <w:sz w:val="23"/>
                <w:szCs w:val="23"/>
                <w:color w:val="auto"/>
              </w:rPr>
            </w:pPr>
          </w:p>
        </w:tc>
        <w:tc>
          <w:tcPr>
            <w:tcW w:w="1340" w:type="dxa"/>
            <w:vAlign w:val="bottom"/>
          </w:tcPr>
          <w:p>
            <w:pPr>
              <w:jc w:val="right"/>
              <w:ind w:right="132"/>
              <w:spacing w:after="0"/>
              <w:rPr>
                <w:sz w:val="20"/>
                <w:szCs w:val="20"/>
                <w:color w:val="auto"/>
              </w:rPr>
            </w:pPr>
            <w:r>
              <w:rPr>
                <w:rFonts w:ascii="Arial" w:cs="Arial" w:eastAsia="Arial" w:hAnsi="Arial"/>
                <w:sz w:val="22"/>
                <w:szCs w:val="22"/>
                <w:color w:val="auto"/>
              </w:rPr>
              <w:t>32.0</w:t>
            </w: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jc w:val="right"/>
              <w:ind w:right="192"/>
              <w:spacing w:after="0"/>
              <w:rPr>
                <w:sz w:val="20"/>
                <w:szCs w:val="20"/>
                <w:color w:val="auto"/>
              </w:rPr>
            </w:pPr>
            <w:r>
              <w:rPr>
                <w:rFonts w:ascii="Arial" w:cs="Arial" w:eastAsia="Arial" w:hAnsi="Arial"/>
                <w:sz w:val="22"/>
                <w:szCs w:val="22"/>
                <w:color w:val="auto"/>
              </w:rPr>
              <w:t>32.0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128.0</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jc w:val="right"/>
              <w:ind w:right="132"/>
              <w:spacing w:after="0"/>
              <w:rPr>
                <w:sz w:val="20"/>
                <w:szCs w:val="20"/>
                <w:color w:val="auto"/>
              </w:rPr>
            </w:pPr>
            <w:r>
              <w:rPr>
                <w:rFonts w:ascii="Arial" w:cs="Arial" w:eastAsia="Arial" w:hAnsi="Arial"/>
                <w:sz w:val="22"/>
                <w:szCs w:val="22"/>
                <w:color w:val="auto"/>
                <w:w w:val="90"/>
              </w:rPr>
              <w:t>128.0</w:t>
            </w:r>
          </w:p>
        </w:tc>
      </w:tr>
      <w:tr>
        <w:trPr>
          <w:trHeight w:val="276"/>
        </w:trPr>
        <w:tc>
          <w:tcPr>
            <w:tcW w:w="3960" w:type="dxa"/>
            <w:vAlign w:val="bottom"/>
          </w:tcPr>
          <w:p>
            <w:pPr>
              <w:spacing w:after="0"/>
              <w:rPr>
                <w:sz w:val="20"/>
                <w:szCs w:val="20"/>
                <w:color w:val="auto"/>
              </w:rPr>
            </w:pPr>
            <w:r>
              <w:rPr>
                <w:rFonts w:ascii="Arial" w:cs="Arial" w:eastAsia="Arial" w:hAnsi="Arial"/>
                <w:sz w:val="22"/>
                <w:szCs w:val="22"/>
                <w:color w:val="auto"/>
              </w:rPr>
              <w:t>Interest expense</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4.0</w:t>
            </w:r>
          </w:p>
        </w:tc>
        <w:tc>
          <w:tcPr>
            <w:tcW w:w="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4.0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20.0</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20.0</w:t>
            </w:r>
          </w:p>
        </w:tc>
      </w:tr>
      <w:tr>
        <w:trPr>
          <w:trHeight w:val="265"/>
        </w:trPr>
        <w:tc>
          <w:tcPr>
            <w:tcW w:w="3960" w:type="dxa"/>
            <w:vAlign w:val="bottom"/>
          </w:tcPr>
          <w:p>
            <w:pPr>
              <w:ind w:left="120"/>
              <w:spacing w:after="0"/>
              <w:rPr>
                <w:sz w:val="20"/>
                <w:szCs w:val="20"/>
                <w:color w:val="auto"/>
              </w:rPr>
            </w:pPr>
            <w:r>
              <w:rPr>
                <w:rFonts w:ascii="Arial" w:cs="Arial" w:eastAsia="Arial" w:hAnsi="Arial"/>
                <w:sz w:val="22"/>
                <w:szCs w:val="22"/>
                <w:color w:val="auto"/>
              </w:rPr>
              <w:t>EBITDA</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16.0</w:t>
            </w:r>
          </w:p>
        </w:tc>
        <w:tc>
          <w:tcPr>
            <w:tcW w:w="200" w:type="dxa"/>
            <w:vAlign w:val="bottom"/>
          </w:tcPr>
          <w:p>
            <w:pPr>
              <w:spacing w:after="0"/>
              <w:rPr>
                <w:sz w:val="23"/>
                <w:szCs w:val="23"/>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18.5</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61.0</w:t>
            </w:r>
          </w:p>
        </w:tc>
        <w:tc>
          <w:tcPr>
            <w:tcW w:w="160" w:type="dxa"/>
            <w:vAlign w:val="bottom"/>
          </w:tcPr>
          <w:p>
            <w:pPr>
              <w:spacing w:after="0"/>
              <w:rPr>
                <w:sz w:val="23"/>
                <w:szCs w:val="23"/>
                <w:color w:val="auto"/>
              </w:rPr>
            </w:pPr>
          </w:p>
        </w:tc>
        <w:tc>
          <w:tcPr>
            <w:tcW w:w="7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66.0</w:t>
            </w:r>
          </w:p>
        </w:tc>
      </w:tr>
      <w:tr>
        <w:trPr>
          <w:trHeight w:val="21"/>
        </w:trPr>
        <w:tc>
          <w:tcPr>
            <w:tcW w:w="3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5"/>
          </w:tcPr>
          <w:p>
            <w:pPr>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58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rPr>
              <w:t>SIX MONTHS ENDED</w:t>
            </w:r>
          </w:p>
        </w:tc>
      </w:tr>
      <w:tr>
        <w:trPr>
          <w:trHeight w:val="270"/>
        </w:trPr>
        <w:tc>
          <w:tcPr>
            <w:tcW w:w="5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gridSpan w:val="4"/>
          </w:tcPr>
          <w:p>
            <w:pPr>
              <w:jc w:val="right"/>
              <w:ind w:right="832"/>
              <w:spacing w:after="0"/>
              <w:rPr>
                <w:sz w:val="20"/>
                <w:szCs w:val="20"/>
                <w:color w:val="auto"/>
              </w:rPr>
            </w:pPr>
            <w:r>
              <w:rPr>
                <w:rFonts w:ascii="Arial" w:cs="Arial" w:eastAsia="Arial" w:hAnsi="Arial"/>
                <w:sz w:val="22"/>
                <w:szCs w:val="22"/>
                <w:b w:val="1"/>
                <w:bCs w:val="1"/>
                <w:color w:val="auto"/>
              </w:rPr>
              <w:t>JUNE 30,</w:t>
            </w:r>
          </w:p>
        </w:tc>
      </w:tr>
      <w:tr>
        <w:trPr>
          <w:trHeight w:val="281"/>
        </w:trPr>
        <w:tc>
          <w:tcPr>
            <w:tcW w:w="5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85"/>
              </w:rPr>
              <w:t>2016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2016</w:t>
            </w:r>
          </w:p>
        </w:tc>
      </w:tr>
      <w:tr>
        <w:trPr>
          <w:trHeight w:val="529"/>
        </w:trPr>
        <w:tc>
          <w:tcPr>
            <w:tcW w:w="554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40" w:type="dxa"/>
            <w:vAlign w:val="bottom"/>
          </w:tcPr>
          <w:p>
            <w:pPr>
              <w:ind w:left="100"/>
              <w:spacing w:after="0"/>
              <w:rPr>
                <w:sz w:val="20"/>
                <w:szCs w:val="20"/>
                <w:color w:val="auto"/>
              </w:rPr>
            </w:pPr>
            <w:r>
              <w:rPr>
                <w:rFonts w:ascii="Arial" w:cs="Arial" w:eastAsia="Arial" w:hAnsi="Arial"/>
                <w:sz w:val="22"/>
                <w:szCs w:val="22"/>
                <w:color w:val="auto"/>
              </w:rPr>
              <w:t>Revenues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540" w:type="dxa"/>
            <w:vAlign w:val="bottom"/>
          </w:tcPr>
          <w:p>
            <w:pPr>
              <w:ind w:left="240"/>
              <w:spacing w:after="0"/>
              <w:rPr>
                <w:sz w:val="20"/>
                <w:szCs w:val="20"/>
                <w:color w:val="auto"/>
              </w:rPr>
            </w:pPr>
            <w:r>
              <w:rPr>
                <w:rFonts w:ascii="Arial" w:cs="Arial" w:eastAsia="Arial" w:hAnsi="Arial"/>
                <w:sz w:val="22"/>
                <w:szCs w:val="22"/>
                <w:color w:val="auto"/>
              </w:rPr>
              <w:t>Lodge revenues (1)</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53,250</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66,301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109,170</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121,187</w:t>
            </w:r>
          </w:p>
        </w:tc>
      </w:tr>
      <w:tr>
        <w:trPr>
          <w:trHeight w:val="275"/>
        </w:trPr>
        <w:tc>
          <w:tcPr>
            <w:tcW w:w="5540" w:type="dxa"/>
            <w:vAlign w:val="bottom"/>
          </w:tcPr>
          <w:p>
            <w:pPr>
              <w:ind w:left="240"/>
              <w:spacing w:after="0"/>
              <w:rPr>
                <w:sz w:val="20"/>
                <w:szCs w:val="20"/>
                <w:color w:val="auto"/>
              </w:rPr>
            </w:pPr>
            <w:r>
              <w:rPr>
                <w:rFonts w:ascii="Arial" w:cs="Arial" w:eastAsia="Arial" w:hAnsi="Arial"/>
                <w:sz w:val="22"/>
                <w:szCs w:val="22"/>
                <w:color w:val="auto"/>
              </w:rPr>
              <w:t>Mobile, open camp and product revenues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4,418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10,806</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9,004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21,442</w:t>
            </w:r>
          </w:p>
        </w:tc>
      </w:tr>
      <w:tr>
        <w:trPr>
          <w:trHeight w:val="272"/>
        </w:trPr>
        <w:tc>
          <w:tcPr>
            <w:tcW w:w="5540" w:type="dxa"/>
            <w:vAlign w:val="bottom"/>
          </w:tcPr>
          <w:p>
            <w:pPr>
              <w:ind w:left="300"/>
              <w:spacing w:after="0"/>
              <w:rPr>
                <w:sz w:val="20"/>
                <w:szCs w:val="20"/>
                <w:color w:val="auto"/>
              </w:rPr>
            </w:pPr>
            <w:r>
              <w:rPr>
                <w:rFonts w:ascii="Arial" w:cs="Arial" w:eastAsia="Arial" w:hAnsi="Arial"/>
                <w:sz w:val="22"/>
                <w:szCs w:val="22"/>
                <w:color w:val="auto"/>
              </w:rPr>
              <w:t>Total Canadian revenues</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57,668</w:t>
            </w:r>
          </w:p>
        </w:tc>
        <w:tc>
          <w:tcPr>
            <w:tcW w:w="100" w:type="dxa"/>
            <w:vAlign w:val="bottom"/>
          </w:tcPr>
          <w:p>
            <w:pPr>
              <w:spacing w:after="0"/>
              <w:rPr>
                <w:sz w:val="23"/>
                <w:szCs w:val="23"/>
                <w:color w:val="auto"/>
              </w:rPr>
            </w:pPr>
          </w:p>
        </w:tc>
        <w:tc>
          <w:tcPr>
            <w:tcW w:w="420" w:type="dxa"/>
            <w:vAlign w:val="bottom"/>
          </w:tcPr>
          <w:p>
            <w:pPr>
              <w:jc w:val="right"/>
              <w:ind w:right="17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77,107</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118,174</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142,629</w:t>
            </w:r>
          </w:p>
        </w:tc>
      </w:tr>
      <w:tr>
        <w:trPr>
          <w:trHeight w:val="532"/>
        </w:trPr>
        <w:tc>
          <w:tcPr>
            <w:tcW w:w="5540" w:type="dxa"/>
            <w:vAlign w:val="bottom"/>
          </w:tcPr>
          <w:p>
            <w:pPr>
              <w:ind w:left="100"/>
              <w:spacing w:after="0"/>
              <w:rPr>
                <w:sz w:val="20"/>
                <w:szCs w:val="20"/>
                <w:color w:val="auto"/>
              </w:rPr>
            </w:pPr>
            <w:r>
              <w:rPr>
                <w:rFonts w:ascii="Arial" w:cs="Arial" w:eastAsia="Arial" w:hAnsi="Arial"/>
                <w:sz w:val="22"/>
                <w:szCs w:val="22"/>
                <w:color w:val="auto"/>
              </w:rPr>
              <w:t>Average available lodge rooms (2)</w:t>
            </w:r>
          </w:p>
        </w:tc>
        <w:tc>
          <w:tcPr>
            <w:tcW w:w="1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14,720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14,670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14,720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14,636</w:t>
            </w:r>
          </w:p>
        </w:tc>
      </w:tr>
      <w:tr>
        <w:trPr>
          <w:trHeight w:val="540"/>
        </w:trPr>
        <w:tc>
          <w:tcPr>
            <w:tcW w:w="554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1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rPr>
              <w:t>8,138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10,902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22"/>
                <w:szCs w:val="22"/>
                <w:color w:val="auto"/>
              </w:rPr>
              <w:t>8,496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10,003</w:t>
            </w:r>
          </w:p>
        </w:tc>
      </w:tr>
    </w:tbl>
    <w:p>
      <w:pPr>
        <w:sectPr>
          <w:pgSz w:w="11900" w:h="16838" w:orient="portrait"/>
          <w:cols w:equalWidth="0" w:num="1">
            <w:col w:w="11320"/>
          </w:cols>
          <w:pgMar w:left="260" w:top="361" w:right="319" w:bottom="0" w:gutter="0" w:footer="0" w:header="0"/>
        </w:sectPr>
      </w:pPr>
    </w:p>
    <w:bookmarkStart w:id="10" w:name="page11"/>
    <w:bookmarkEnd w:id="1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18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89</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108</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93</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110</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Occupancy in lodges (5)</w:t>
            </w:r>
          </w:p>
        </w:tc>
        <w:tc>
          <w:tcPr>
            <w:tcW w:w="6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81%</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62%</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76%</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0.744</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0.776</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0.750</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0.752</w:t>
            </w:r>
          </w:p>
        </w:tc>
      </w:tr>
      <w:tr>
        <w:trPr>
          <w:trHeight w:val="806"/>
        </w:trPr>
        <w:tc>
          <w:tcPr>
            <w:tcW w:w="5180" w:type="dxa"/>
            <w:vAlign w:val="bottom"/>
          </w:tcPr>
          <w:p>
            <w:pPr>
              <w:spacing w:after="0"/>
              <w:rPr>
                <w:sz w:val="20"/>
                <w:szCs w:val="20"/>
                <w:color w:val="auto"/>
              </w:rPr>
            </w:pPr>
            <w:r>
              <w:rPr>
                <w:rFonts w:ascii="Arial" w:cs="Arial" w:eastAsia="Arial" w:hAnsi="Arial"/>
                <w:sz w:val="22"/>
                <w:szCs w:val="22"/>
                <w:b w:val="1"/>
                <w:bCs w:val="1"/>
                <w:color w:val="auto"/>
                <w:w w:val="96"/>
              </w:rPr>
              <w:t>Supplemental Operating Data - Australian Segment</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180" w:type="dxa"/>
            <w:vAlign w:val="bottom"/>
          </w:tcPr>
          <w:p>
            <w:pPr>
              <w:ind w:left="100"/>
              <w:spacing w:after="0"/>
              <w:rPr>
                <w:sz w:val="20"/>
                <w:szCs w:val="20"/>
                <w:color w:val="auto"/>
              </w:rPr>
            </w:pPr>
            <w:r>
              <w:rPr>
                <w:rFonts w:ascii="Arial" w:cs="Arial" w:eastAsia="Arial" w:hAnsi="Arial"/>
                <w:sz w:val="22"/>
                <w:szCs w:val="22"/>
                <w:color w:val="auto"/>
              </w:rPr>
              <w:t>Revenues</w:t>
            </w: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5"/>
        </w:trPr>
        <w:tc>
          <w:tcPr>
            <w:tcW w:w="5180" w:type="dxa"/>
            <w:vAlign w:val="bottom"/>
          </w:tcPr>
          <w:p>
            <w:pPr>
              <w:ind w:left="240"/>
              <w:spacing w:after="0"/>
              <w:rPr>
                <w:sz w:val="20"/>
                <w:szCs w:val="20"/>
                <w:color w:val="auto"/>
              </w:rPr>
            </w:pPr>
            <w:r>
              <w:rPr>
                <w:rFonts w:ascii="Arial" w:cs="Arial" w:eastAsia="Arial" w:hAnsi="Arial"/>
                <w:sz w:val="22"/>
                <w:szCs w:val="22"/>
                <w:color w:val="auto"/>
              </w:rPr>
              <w:t>Village revenues (1)</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28,607</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27,505</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55,623</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53,015</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Average available village rooms (2)</w:t>
            </w:r>
          </w:p>
        </w:tc>
        <w:tc>
          <w:tcPr>
            <w:tcW w:w="680" w:type="dxa"/>
            <w:vAlign w:val="bottom"/>
          </w:tcPr>
          <w:p>
            <w:pPr>
              <w:spacing w:after="0"/>
              <w:rPr>
                <w:sz w:val="24"/>
                <w:szCs w:val="24"/>
                <w:color w:val="auto"/>
              </w:rPr>
            </w:pP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9,386</w:t>
            </w:r>
          </w:p>
        </w:tc>
        <w:tc>
          <w:tcPr>
            <w:tcW w:w="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9,312</w:t>
            </w:r>
          </w:p>
        </w:tc>
        <w:tc>
          <w:tcPr>
            <w:tcW w:w="380" w:type="dxa"/>
            <w:vAlign w:val="bottom"/>
          </w:tcPr>
          <w:p>
            <w:pPr>
              <w:spacing w:after="0"/>
              <w:rPr>
                <w:sz w:val="24"/>
                <w:szCs w:val="24"/>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9,386</w:t>
            </w:r>
          </w:p>
        </w:tc>
        <w:tc>
          <w:tcPr>
            <w:tcW w:w="40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9,304</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680" w:type="dxa"/>
            <w:vAlign w:val="bottom"/>
          </w:tcPr>
          <w:p>
            <w:pPr>
              <w:spacing w:after="0"/>
              <w:rPr>
                <w:sz w:val="24"/>
                <w:szCs w:val="24"/>
                <w:color w:val="auto"/>
              </w:rPr>
            </w:pP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8,760</w:t>
            </w:r>
          </w:p>
        </w:tc>
        <w:tc>
          <w:tcPr>
            <w:tcW w:w="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8,730</w:t>
            </w:r>
          </w:p>
        </w:tc>
        <w:tc>
          <w:tcPr>
            <w:tcW w:w="380" w:type="dxa"/>
            <w:vAlign w:val="bottom"/>
          </w:tcPr>
          <w:p>
            <w:pPr>
              <w:spacing w:after="0"/>
              <w:rPr>
                <w:sz w:val="24"/>
                <w:szCs w:val="24"/>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8,767</w:t>
            </w:r>
          </w:p>
        </w:tc>
        <w:tc>
          <w:tcPr>
            <w:tcW w:w="40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8,713</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80</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76</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81</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72</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Occupancy in villages (5)</w:t>
            </w:r>
          </w:p>
        </w:tc>
        <w:tc>
          <w:tcPr>
            <w:tcW w:w="6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45%</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43%</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540"/>
        </w:trPr>
        <w:tc>
          <w:tcPr>
            <w:tcW w:w="5180" w:type="dxa"/>
            <w:vAlign w:val="bottom"/>
          </w:tcPr>
          <w:p>
            <w:pPr>
              <w:ind w:left="100"/>
              <w:spacing w:after="0"/>
              <w:rPr>
                <w:sz w:val="20"/>
                <w:szCs w:val="20"/>
                <w:color w:val="auto"/>
              </w:rPr>
            </w:pPr>
            <w:r>
              <w:rPr>
                <w:rFonts w:ascii="Arial" w:cs="Arial" w:eastAsia="Arial" w:hAnsi="Arial"/>
                <w:sz w:val="22"/>
                <w:szCs w:val="22"/>
                <w:color w:val="auto"/>
              </w:rPr>
              <w:t>Australian dollar to U.S. dollar</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92"/>
              <w:spacing w:after="0"/>
              <w:rPr>
                <w:sz w:val="20"/>
                <w:szCs w:val="20"/>
                <w:color w:val="auto"/>
              </w:rPr>
            </w:pPr>
            <w:r>
              <w:rPr>
                <w:rFonts w:ascii="Arial" w:cs="Arial" w:eastAsia="Arial" w:hAnsi="Arial"/>
                <w:sz w:val="22"/>
                <w:szCs w:val="22"/>
                <w:color w:val="auto"/>
              </w:rPr>
              <w:t>0.751</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0.746</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0.755</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0.734</w:t>
            </w:r>
          </w:p>
        </w:tc>
      </w:tr>
    </w:tbl>
    <w:p>
      <w:pPr>
        <w:spacing w:after="0" w:line="200" w:lineRule="exact"/>
        <w:rPr>
          <w:sz w:val="20"/>
          <w:szCs w:val="20"/>
          <w:color w:val="auto"/>
        </w:rPr>
      </w:pPr>
    </w:p>
    <w:p>
      <w:pPr>
        <w:spacing w:after="0" w:line="336" w:lineRule="exact"/>
        <w:rPr>
          <w:sz w:val="20"/>
          <w:szCs w:val="20"/>
          <w:color w:val="auto"/>
        </w:rPr>
      </w:pPr>
    </w:p>
    <w:p>
      <w:pPr>
        <w:ind w:left="20" w:right="16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66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right="14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20" w:right="520" w:firstLine="2"/>
        <w:spacing w:after="0" w:line="251"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1260"/>
      </w:cols>
      <w:pgMar w:left="240" w:top="38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888"/>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2019-12-29T05:06:56Z</dcterms:created>
  <dcterms:modified xsi:type="dcterms:W3CDTF">2019-12-29T05:06:56Z</dcterms:modified>
</cp:coreProperties>
</file>