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April 30,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358"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33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500" w:space="720"/>
            <w:col w:w="2580" w:space="720"/>
            <w:col w:w="2700"/>
          </w:cols>
          <w:pgMar w:left="320" w:top="1390" w:right="359" w:bottom="1440" w:gutter="0" w:footer="0" w:header="0"/>
          <w:type w:val="continuous"/>
        </w:sectPr>
      </w:pPr>
    </w:p>
    <w:p>
      <w:pPr>
        <w:jc w:val="center"/>
        <w:ind w:left="120"/>
        <w:spacing w:after="0"/>
        <w:rPr>
          <w:sz w:val="20"/>
          <w:szCs w:val="20"/>
          <w:color w:val="auto"/>
        </w:rPr>
      </w:pPr>
      <w:r>
        <w:rPr>
          <w:rFonts w:ascii="Arial" w:cs="Arial" w:eastAsia="Arial" w:hAnsi="Arial"/>
          <w:sz w:val="18"/>
          <w:szCs w:val="18"/>
          <w:color w:val="auto"/>
        </w:rPr>
        <w:t>(State or other jurisdiction</w:t>
      </w:r>
    </w:p>
    <w:p>
      <w:pPr>
        <w:jc w:val="center"/>
        <w:ind w:left="12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200" w:space="720"/>
            <w:col w:w="2540" w:space="720"/>
            <w:col w:w="3040"/>
          </w:cols>
          <w:pgMar w:left="320" w:top="1390" w:right="359" w:bottom="1440" w:gutter="0" w:footer="0" w:header="0"/>
          <w:type w:val="continuous"/>
        </w:sectPr>
      </w:pPr>
    </w:p>
    <w:p>
      <w:pPr>
        <w:ind w:left="468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87"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7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47"/>
        <w:spacing w:after="0" w:line="253" w:lineRule="auto"/>
        <w:rPr>
          <w:sz w:val="20"/>
          <w:szCs w:val="20"/>
          <w:color w:val="auto"/>
        </w:rPr>
      </w:pPr>
      <w:r>
        <w:rPr>
          <w:rFonts w:ascii="Arial" w:cs="Arial" w:eastAsia="Arial" w:hAnsi="Arial"/>
          <w:sz w:val="22"/>
          <w:szCs w:val="22"/>
          <w:color w:val="auto"/>
        </w:rPr>
        <w:t>On April 30, 2021, Civeo Corporation (“Civeo”) issued a press release announcing its financial condition and results of operations as of and for the quarter ended March 31, 2021.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rFonts w:ascii="Arial" w:cs="Arial" w:eastAsia="Arial" w:hAnsi="Arial"/>
                <w:sz w:val="22"/>
                <w:szCs w:val="22"/>
                <w:color w:val="0000FF"/>
                <w:w w:val="87"/>
              </w:rPr>
            </w:pPr>
            <w:hyperlink w:anchor="page5">
              <w:r>
                <w:rPr>
                  <w:rFonts w:ascii="Arial" w:cs="Arial" w:eastAsia="Arial" w:hAnsi="Arial"/>
                  <w:sz w:val="22"/>
                  <w:szCs w:val="22"/>
                  <w:color w:val="0000FF"/>
                  <w:w w:val="87"/>
                </w:rPr>
                <w:t xml:space="preserve">Press Release dated April </w:t>
              </w:r>
            </w:hyperlink>
            <w:r>
              <w:rPr>
                <w:rFonts w:ascii="Arial" w:cs="Arial" w:eastAsia="Arial" w:hAnsi="Arial"/>
                <w:sz w:val="22"/>
                <w:szCs w:val="22"/>
                <w:color w:val="0000FF"/>
                <w:w w:val="87"/>
              </w:rPr>
              <w:t>30, 2021</w:t>
            </w:r>
          </w:p>
        </w:tc>
        <w:tc>
          <w:tcPr>
            <w:tcW w:w="644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2157"/>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-2142490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April 30, 2021</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27"/>
          <w:szCs w:val="27"/>
          <w:b w:val="1"/>
          <w:bCs w:val="1"/>
          <w:color w:val="auto"/>
        </w:rPr>
        <w:t>Civeo Reports First Quarter 2021 Results</w:t>
      </w:r>
    </w:p>
    <w:p>
      <w:pPr>
        <w:spacing w:after="0" w:line="200" w:lineRule="exact"/>
        <w:rPr>
          <w:sz w:val="20"/>
          <w:szCs w:val="20"/>
          <w:color w:val="auto"/>
        </w:rPr>
      </w:pPr>
    </w:p>
    <w:p>
      <w:pPr>
        <w:spacing w:after="0" w:line="32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HOUSTON and CALGARY, April 30, 2021 (BUSINESS WIRE) -- Civeo Corporation (NYSE:CVEO) today reported financial and operating results for the first quarter ended March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first quarter revenues of $125.4 million, net loss of $10.0 million and operating cash flow of $12.8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first quarter Adjusted EBITDA of $16.2 million and free cash flow of $16.1 million;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debt to $238.1 million as of March 31, 2021 from $251.1 million as of December 31, 2021.</w:t>
      </w:r>
    </w:p>
    <w:p>
      <w:pPr>
        <w:spacing w:after="0" w:line="239"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“Despite recent macroeconomic headwinds and winter seasonality, we continued to generate solid free cash flow and reduced our total debt. I continue to be encouraged by our team's ability to operate safely and effectively in this tough environment, while also progressing our strategic and financial initiatives. For the first quarter, our Canadian business saw a sequential improvement in occupancy despite the British Columbia health order impacting our occupancy at our Sitka location. The Australian business had a softer quarter than expected due to a slow start to the year in the Bowen Basin and continued difficulty in sourcing labor in both our village operations and our integrated services business. The U.S. business had sequentially improved results as U.S. drilling and completion activity continued to recover and increased occupancy at our Louisiana location related to the hurricane recovery efforts in Lake Charles," stated Bradley J. Dodson, Civeo's President and Chief Executive Officer.</w:t>
      </w:r>
    </w:p>
    <w:p>
      <w:pPr>
        <w:spacing w:after="0" w:line="21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Mr. Dodson concluded, "Looking forward, we are optimistic that the turnaround activity in Canada will pick up in the second and third quarters of 2021 and that our work supporting pipeline activity will expand as operators look to catch up on lost time due to COVID-19. In Australia, we are diligently working to resolve the shortage of full-time labor as we look for occupancy and activity to improve in our village locations and our integrated services business. The outlook for the U.S. has improved with modest market share gains in the well site business, as well as a recent award of a one-year contract at our Pecos lodge in West Texas to a third-party operator. Overall, we remain focused on operating safely in this COVID-19 environment, generating free cash flow and reducing our leverage.”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2021 Results</w:t>
      </w:r>
    </w:p>
    <w:p>
      <w:pPr>
        <w:spacing w:after="0" w:line="14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 the first quarter of 2021, Civeo generated revenues of $ 125.4 million and reported net loss of $10.0 million, or $0.70 per diluted share. During the first quarter of 2021, Civeo produced operating cash flow of $12.8 million, Adjusted EBITDA of $16.2 million and free cash flow of $16.1 million.</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By comparison, in the first quarter of 2020, Civeo generated revenues of $138.8 million and reported a net loss of $146.5 million, or $(10.43) per diluted share. The loss resulted in part from $144.1 million in costs associated with goodwill and asset impairments. During the first quarter of 2020, Civeo produced operating cash flow of $20.8 million, Adjusted EBITDA of $20.3 million and free cash flow of $18.3 million.</w:t>
      </w:r>
    </w:p>
    <w:p>
      <w:pPr>
        <w:spacing w:after="0" w:line="13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Overall, the decrease in revenues and Adjusted EBITDA in the first quarter of 2021 compared to 2020 was primarily due to decreased billed rooms in our Canadian segment and Australian segment, partially offset by improved Canadian mobile camp activity, proceeds from the Canadian Emergency Wage Subsidy program ("CEWS") and a favorable foreign currency translation impact.</w:t>
      </w:r>
    </w:p>
    <w:p>
      <w:pPr>
        <w:spacing w:after="0" w:line="134"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first quarter of 2021 to the results for the first quarter of 2020.)</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first quarter of 2021, the Canadian segment generated revenues of $61.9 million, operating loss of $7.7 million and Adjusted EBITDA of $10.8 million, compared to revenues of $79.3 million, operating loss of $136.6 million and Adjusted EBITDA of $11.4 million in the first quarter of 2020. Operating loss and Adjusted EBITDA from the first quarter of 2021 included $2.8 million of other income related to proceeds from CEWS and a $0.9 million gain on sale of a Canadian manufacturing facility. The first quarter of 2020 results included a goodwill impairment charge of $93.6 million and asset impairment charges of $38.1 million.</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 constant currency basis, the Canadian segment experienced a 26% period-over-period decrease in revenues driven by a 32% year-over-year reduction in billed rooms related to decreased occupancy due to the decline in oil prices and the COVID-19 pandemic impacting the Alberta locations and the British Columbia health order limiting occupancy at the Company's Sitka location. Adjusted EBITDA for the Canadian segment decreased 6% year-over-year primarily due to lower billed rooms in the lodges, partially offset by increased EBITDA from mobile camp activity, the CEWS proceeds and a gain on sale.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the first quarter of 2021, the Australian segment generated revenues of $59.6 million, operating income of $3.3 million and Adjusted EBITDA of $12.8 million, compared to revenues of $49.1 million, operating income of $6.2 million and Adjusted EBITDA of $16.2 million in the first quarter of 2020. The first quarter of 2021 results reflect the impact of a strengthened Australian dollar relative to the U.S. dollar, which increased revenues and Adjusted EBITDA by $8.9 million and $1.9 million, respectively.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 constant currency basis, the Australian segment experienced relatively similar year-over-year revenues. Occupancy in our Australian villages decreased due to a soft start in 2021 in the Bowen Basin but were largely offset by increases in occupancy in the Integrated Services business. Adjusted EBITDA from the Australian segment decreased 21% year-over-year due to lower village occupancy in the Bowen Basin, as well as higher labor costs in the Integrated Services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U.S. segment generated revenues of $3.9 million, operating loss of $ 2.6 million and negative Adjusted EBITDA of $1.2 million in the first quarter of 2021, compared to revenues of $10.3 million, operating loss of $14.1 million and Adjusted EBITDA of $0.4 million in the first quarter of 2020. Revenues and Adjusted EBITDA declined year-over-year primarily due to lower drilling and completion activity coupled with lower occupancy in the U.S. lodges.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of March 31, 2021, Civeo had total liquidity of approximately $112.4 million, consisting of $107.0 million available under its revolving credit facilities and $5.5 million of cash on hand.</w:t>
      </w:r>
    </w:p>
    <w:p>
      <w:pPr>
        <w:spacing w:after="0" w:line="130"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auto"/>
        </w:rPr>
        <w:t>Civeo’s total debt outstanding on March 31, 2021 was $238.1 million, a $ 13.0 million decrease since December 31, 2020. The decrease consisted of $15.6 million in debt payments from cash flow generated by the business, partially offset by an unfavorable foreign currency translation impact of $2.5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leverage ratio to 2.10x as of March 31, 2021 from 2.11x as of December 31, 2020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2021, Civeo invested $3.4 million in capital expenditures, up from $2.7 million during the first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2021 Guidance</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full year of 2021, Civeo is increasing its revenue and Adjusted EBITDA guidance to a range of $555 million to $580 million and $90 million to $100 million, respectively. This guidance is based on our expectations as of the date hereof and assumes no material changes to the current macro environment, or conditions related to the COVID-19 pandemic and the responses thereto. The Company maintains full year 2021 capital expenditure guidance of $20 million to $25 million.</w:t>
      </w:r>
    </w:p>
    <w:p>
      <w:pPr>
        <w:sectPr>
          <w:pgSz w:w="11900" w:h="16838" w:orient="portrait"/>
          <w:cols w:equalWidth="0" w:num="1">
            <w:col w:w="11220"/>
          </w:cols>
          <w:pgMar w:left="320" w:top="90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Civeo will host a conference call to discuss its first quarter 2021 financial results today at 11:00 a.m. Eastern time. This call is being webcast and can be accessed at Civeo's website at www.civeo.com. Participants may also join the conference call by dialing (800) 263 -0877 in the United States or (646) 828-8143 internationally and using the conference ID 6711622#. A replay will be available after the call by dialing</w:t>
      </w:r>
    </w:p>
    <w:p>
      <w:pPr>
        <w:spacing w:after="0" w:line="1" w:lineRule="exact"/>
        <w:rPr>
          <w:sz w:val="20"/>
          <w:szCs w:val="20"/>
          <w:color w:val="auto"/>
        </w:rPr>
      </w:pPr>
    </w:p>
    <w:p>
      <w:pPr>
        <w:ind w:right="2520" w:firstLine="8"/>
        <w:spacing w:after="0" w:line="414"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512-2921 in the United States or (412) 317-6671 internationally and using the conference ID 6711622#. </w:t>
      </w:r>
      <w:r>
        <w:rPr>
          <w:rFonts w:ascii="Arial" w:cs="Arial" w:eastAsia="Arial" w:hAnsi="Arial"/>
          <w:sz w:val="18"/>
          <w:szCs w:val="18"/>
          <w:u w:val="single" w:color="auto"/>
          <w:color w:val="auto"/>
        </w:rPr>
        <w:t>About Civeo</w:t>
      </w:r>
    </w:p>
    <w:p>
      <w:pPr>
        <w:spacing w:after="0" w:line="1"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2020 and other reports the company may file from time to time with the U.S. Securities and Exchange Commission. Each forward-looking statement contained herein speaks only as of the date of this release. Except as required by</w:t>
      </w:r>
    </w:p>
    <w:p>
      <w:pPr>
        <w:spacing w:after="0" w:line="1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40"/>
          </w:cols>
          <w:pgMar w:left="320" w:top="908"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32"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Three Months Ended</w:t>
      </w:r>
    </w:p>
    <w:p>
      <w:pPr>
        <w:jc w:val="center"/>
        <w:ind w:left="45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106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508"/>
        </w:trPr>
        <w:tc>
          <w:tcPr>
            <w:tcW w:w="4500" w:type="dxa"/>
            <w:vAlign w:val="bottom"/>
          </w:tcPr>
          <w:p>
            <w:pPr>
              <w:spacing w:after="0"/>
              <w:rPr>
                <w:sz w:val="20"/>
                <w:szCs w:val="20"/>
                <w:color w:val="auto"/>
              </w:rPr>
            </w:pPr>
            <w:r>
              <w:rPr>
                <w:rFonts w:ascii="Arial" w:cs="Arial" w:eastAsia="Arial" w:hAnsi="Arial"/>
                <w:sz w:val="14"/>
                <w:szCs w:val="14"/>
                <w:color w:val="auto"/>
              </w:rPr>
              <w:t>Revenues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125,430</w:t>
            </w:r>
          </w:p>
        </w:tc>
        <w:tc>
          <w:tcPr>
            <w:tcW w:w="1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138,792</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Costs and expenses: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99,810</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103,313</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14,181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13,937</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21,269</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25,502</w:t>
            </w: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144,120</w:t>
            </w:r>
          </w:p>
        </w:tc>
      </w:tr>
      <w:tr>
        <w:trPr>
          <w:trHeight w:val="255"/>
        </w:trPr>
        <w:tc>
          <w:tcPr>
            <w:tcW w:w="450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989</w:t>
            </w:r>
          </w:p>
        </w:tc>
      </w:tr>
      <w:tr>
        <w:trPr>
          <w:trHeight w:val="236"/>
        </w:trPr>
        <w:tc>
          <w:tcPr>
            <w:tcW w:w="4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135,331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287,861</w:t>
            </w:r>
          </w:p>
        </w:tc>
      </w:tr>
      <w:tr>
        <w:trPr>
          <w:trHeight w:val="238"/>
        </w:trPr>
        <w:tc>
          <w:tcPr>
            <w:tcW w:w="4500" w:type="dxa"/>
            <w:vAlign w:val="bottom"/>
          </w:tcPr>
          <w:p>
            <w:pPr>
              <w:spacing w:after="0"/>
              <w:rPr>
                <w:sz w:val="20"/>
                <w:szCs w:val="20"/>
                <w:color w:val="auto"/>
              </w:rPr>
            </w:pPr>
            <w:r>
              <w:rPr>
                <w:rFonts w:ascii="Arial" w:cs="Arial" w:eastAsia="Arial" w:hAnsi="Arial"/>
                <w:sz w:val="14"/>
                <w:szCs w:val="14"/>
                <w:color w:val="auto"/>
              </w:rPr>
              <w:t>Operating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(9,901)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(149,069)</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Interest expense</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(3,362)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(5,595)</w:t>
            </w:r>
          </w:p>
        </w:tc>
      </w:tr>
      <w:tr>
        <w:trPr>
          <w:trHeight w:val="257"/>
        </w:trPr>
        <w:tc>
          <w:tcPr>
            <w:tcW w:w="4500" w:type="dxa"/>
            <w:vAlign w:val="bottom"/>
          </w:tcPr>
          <w:p>
            <w:pPr>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w:t>
            </w:r>
          </w:p>
        </w:tc>
      </w:tr>
      <w:tr>
        <w:trPr>
          <w:trHeight w:val="255"/>
        </w:trPr>
        <w:tc>
          <w:tcPr>
            <w:tcW w:w="4500" w:type="dxa"/>
            <w:vAlign w:val="bottom"/>
          </w:tcPr>
          <w:p>
            <w:pPr>
              <w:spacing w:after="0"/>
              <w:rPr>
                <w:sz w:val="20"/>
                <w:szCs w:val="20"/>
                <w:color w:val="auto"/>
              </w:rPr>
            </w:pPr>
            <w:r>
              <w:rPr>
                <w:rFonts w:ascii="Arial" w:cs="Arial" w:eastAsia="Arial" w:hAnsi="Arial"/>
                <w:sz w:val="14"/>
                <w:szCs w:val="14"/>
                <w:color w:val="auto"/>
              </w:rPr>
              <w:t>Other income</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r>
      <w:tr>
        <w:trPr>
          <w:trHeight w:val="238"/>
        </w:trPr>
        <w:tc>
          <w:tcPr>
            <w:tcW w:w="450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(8,349)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(154,623)</w:t>
            </w:r>
          </w:p>
        </w:tc>
      </w:tr>
      <w:tr>
        <w:trPr>
          <w:trHeight w:val="255"/>
        </w:trPr>
        <w:tc>
          <w:tcPr>
            <w:tcW w:w="450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8,811</w:t>
            </w:r>
          </w:p>
        </w:tc>
      </w:tr>
      <w:tr>
        <w:trPr>
          <w:trHeight w:val="238"/>
        </w:trPr>
        <w:tc>
          <w:tcPr>
            <w:tcW w:w="4500" w:type="dxa"/>
            <w:vAlign w:val="bottom"/>
          </w:tcPr>
          <w:p>
            <w:pPr>
              <w:spacing w:after="0"/>
              <w:rPr>
                <w:sz w:val="20"/>
                <w:szCs w:val="20"/>
                <w:color w:val="auto"/>
              </w:rPr>
            </w:pPr>
            <w:r>
              <w:rPr>
                <w:rFonts w:ascii="Arial" w:cs="Arial" w:eastAsia="Arial" w:hAnsi="Arial"/>
                <w:sz w:val="14"/>
                <w:szCs w:val="14"/>
                <w:color w:val="auto"/>
              </w:rPr>
              <w:t>Net loss</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(145,812)</w:t>
            </w:r>
          </w:p>
        </w:tc>
      </w:tr>
      <w:tr>
        <w:trPr>
          <w:trHeight w:val="255"/>
        </w:trPr>
        <w:tc>
          <w:tcPr>
            <w:tcW w:w="450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r>
      <w:tr>
        <w:trPr>
          <w:trHeight w:val="238"/>
        </w:trPr>
        <w:tc>
          <w:tcPr>
            <w:tcW w:w="450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(9,484)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(146,070)</w:t>
            </w:r>
          </w:p>
        </w:tc>
      </w:tr>
      <w:tr>
        <w:trPr>
          <w:trHeight w:val="255"/>
        </w:trPr>
        <w:tc>
          <w:tcPr>
            <w:tcW w:w="450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478</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468</w:t>
            </w:r>
          </w:p>
        </w:tc>
      </w:tr>
      <w:tr>
        <w:trPr>
          <w:trHeight w:val="210"/>
        </w:trPr>
        <w:tc>
          <w:tcPr>
            <w:tcW w:w="4500" w:type="dxa"/>
            <w:vAlign w:val="bottom"/>
          </w:tcPr>
          <w:p>
            <w:pPr>
              <w:spacing w:after="0"/>
              <w:rPr>
                <w:sz w:val="20"/>
                <w:szCs w:val="20"/>
                <w:color w:val="auto"/>
              </w:rPr>
            </w:pPr>
            <w:r>
              <w:rPr>
                <w:rFonts w:ascii="Arial" w:cs="Arial" w:eastAsia="Arial" w:hAnsi="Arial"/>
                <w:sz w:val="14"/>
                <w:szCs w:val="14"/>
                <w:color w:val="auto"/>
              </w:rPr>
              <w:t>Net loss attributable to Civeo common shareholders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(146,538)</w:t>
            </w:r>
          </w:p>
        </w:tc>
      </w:tr>
      <w:tr>
        <w:trPr>
          <w:trHeight w:val="20"/>
        </w:trPr>
        <w:tc>
          <w:tcPr>
            <w:tcW w:w="4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81"/>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(0.70)</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(0.70)</w:t>
            </w:r>
          </w:p>
        </w:tc>
        <w:tc>
          <w:tcPr>
            <w:tcW w:w="18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(10.43)</w:t>
            </w:r>
          </w:p>
        </w:tc>
      </w:tr>
      <w:tr>
        <w:trPr>
          <w:trHeight w:val="513"/>
        </w:trPr>
        <w:tc>
          <w:tcPr>
            <w:tcW w:w="450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6"/>
        </w:trPr>
        <w:tc>
          <w:tcPr>
            <w:tcW w:w="4500" w:type="dxa"/>
            <w:vAlign w:val="bottom"/>
          </w:tcPr>
          <w:p>
            <w:pPr>
              <w:ind w:left="120"/>
              <w:spacing w:after="0"/>
              <w:rPr>
                <w:sz w:val="20"/>
                <w:szCs w:val="20"/>
                <w:color w:val="auto"/>
              </w:rPr>
            </w:pPr>
            <w:r>
              <w:rPr>
                <w:rFonts w:ascii="Arial" w:cs="Arial" w:eastAsia="Arial" w:hAnsi="Arial"/>
                <w:sz w:val="14"/>
                <w:szCs w:val="14"/>
                <w:color w:val="auto"/>
              </w:rPr>
              <w:t>Basic</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14,211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14,043</w:t>
            </w:r>
          </w:p>
        </w:tc>
      </w:tr>
      <w:tr>
        <w:trPr>
          <w:trHeight w:val="257"/>
        </w:trPr>
        <w:tc>
          <w:tcPr>
            <w:tcW w:w="45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14,211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14,043</w:t>
            </w:r>
          </w:p>
        </w:tc>
      </w:tr>
    </w:tbl>
    <w:p>
      <w:pPr>
        <w:sectPr>
          <w:pgSz w:w="11900" w:h="16838" w:orient="portrait"/>
          <w:cols w:equalWidth="0" w:num="1">
            <w:col w:w="9019"/>
          </w:cols>
          <w:pgMar w:left="1440" w:top="886"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82"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5,455</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87,783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89,782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6,677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8,745</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13,185</w:t>
            </w:r>
          </w:p>
        </w:tc>
        <w:tc>
          <w:tcPr>
            <w:tcW w:w="0" w:type="dxa"/>
            <w:vAlign w:val="bottom"/>
          </w:tcPr>
          <w:p>
            <w:pPr>
              <w:spacing w:after="0"/>
              <w:rPr>
                <w:sz w:val="1"/>
                <w:szCs w:val="1"/>
                <w:color w:val="auto"/>
              </w:rPr>
            </w:pPr>
          </w:p>
        </w:tc>
      </w:tr>
      <w:tr>
        <w:trPr>
          <w:trHeight w:val="207"/>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108,660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119,213</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468,961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8,601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99,269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99,749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22,338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22,606</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3,626</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710,178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42,336</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42,056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20,801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27,349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35,047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06"/>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110,776</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116,765</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200,756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15,566</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14,897</w:t>
            </w:r>
          </w:p>
        </w:tc>
        <w:tc>
          <w:tcPr>
            <w:tcW w:w="0" w:type="dxa"/>
            <w:vAlign w:val="bottom"/>
          </w:tcPr>
          <w:p>
            <w:pPr>
              <w:spacing w:after="0"/>
              <w:rPr>
                <w:sz w:val="1"/>
                <w:szCs w:val="1"/>
                <w:color w:val="auto"/>
              </w:rPr>
            </w:pPr>
          </w:p>
        </w:tc>
      </w:tr>
      <w:tr>
        <w:trPr>
          <w:trHeight w:val="206"/>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346,039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365,496</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60,494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60,016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1,579,342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1,578,315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(917,689)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(907,727)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(350,606)</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(348,989)</w:t>
            </w:r>
          </w:p>
        </w:tc>
        <w:tc>
          <w:tcPr>
            <w:tcW w:w="0" w:type="dxa"/>
            <w:vAlign w:val="bottom"/>
          </w:tcPr>
          <w:p>
            <w:pPr>
              <w:spacing w:after="0"/>
              <w:rPr>
                <w:sz w:val="1"/>
                <w:szCs w:val="1"/>
                <w:color w:val="auto"/>
              </w:rPr>
            </w:pPr>
          </w:p>
        </w:tc>
      </w:tr>
      <w:tr>
        <w:trPr>
          <w:trHeight w:val="209"/>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363,491</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374,685</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364,139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375,357</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710,178</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Three Months Ended</w:t>
      </w:r>
    </w:p>
    <w:p>
      <w:pPr>
        <w:jc w:val="center"/>
        <w:ind w:left="580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493"/>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(9,425)</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(145,812)</w:t>
            </w: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21,269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25,502</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144,120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1,041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(1,902)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(5,287)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6,280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59"/>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3,854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12,817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20,837</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(2,651)</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6,651</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(used in) investing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3,279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(8,872)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(8,109)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(6,080)</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(16,683)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(15,631)</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r>
      <w:tr>
        <w:trPr>
          <w:trHeight w:val="233"/>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2,227</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r>
      <w:tr>
        <w:trPr>
          <w:trHeight w:val="22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5,455</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w:t>
            </w:r>
          </w:p>
        </w:tc>
      </w:tr>
      <w:tr>
        <w:trPr>
          <w:trHeight w:val="20"/>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9" w:lineRule="exact"/>
        <w:rPr>
          <w:sz w:val="20"/>
          <w:szCs w:val="20"/>
          <w:color w:val="auto"/>
        </w:rPr>
      </w:pPr>
    </w:p>
    <w:p>
      <w:pPr>
        <w:jc w:val="center"/>
        <w:ind w:left="3540"/>
        <w:spacing w:after="0"/>
        <w:rPr>
          <w:sz w:val="20"/>
          <w:szCs w:val="20"/>
          <w:color w:val="auto"/>
        </w:rPr>
      </w:pPr>
      <w:r>
        <w:rPr>
          <w:rFonts w:ascii="Arial" w:cs="Arial" w:eastAsia="Arial" w:hAnsi="Arial"/>
          <w:sz w:val="16"/>
          <w:szCs w:val="16"/>
          <w:b w:val="1"/>
          <w:bCs w:val="1"/>
          <w:color w:val="auto"/>
        </w:rPr>
        <w:t>Three Months Ended</w:t>
      </w:r>
    </w:p>
    <w:p>
      <w:pPr>
        <w:jc w:val="center"/>
        <w:ind w:left="354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61,885</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79,348</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59,637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49,113</w:t>
            </w:r>
          </w:p>
        </w:tc>
        <w:tc>
          <w:tcPr>
            <w:tcW w:w="0" w:type="dxa"/>
            <w:vAlign w:val="bottom"/>
          </w:tcPr>
          <w:p>
            <w:pPr>
              <w:spacing w:after="0"/>
              <w:rPr>
                <w:sz w:val="1"/>
                <w:szCs w:val="1"/>
                <w:color w:val="auto"/>
              </w:rPr>
            </w:pPr>
          </w:p>
        </w:tc>
      </w:tr>
      <w:tr>
        <w:trPr>
          <w:trHeight w:val="260"/>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12"/>
        </w:trPr>
        <w:tc>
          <w:tcPr>
            <w:tcW w:w="354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125,430</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138,792</w:t>
            </w:r>
          </w:p>
        </w:tc>
        <w:tc>
          <w:tcPr>
            <w:tcW w:w="0" w:type="dxa"/>
            <w:vAlign w:val="bottom"/>
          </w:tcPr>
          <w:p>
            <w:pPr>
              <w:spacing w:after="0"/>
              <w:rPr>
                <w:sz w:val="1"/>
                <w:szCs w:val="1"/>
                <w:color w:val="auto"/>
              </w:rPr>
            </w:pPr>
          </w:p>
        </w:tc>
      </w:tr>
      <w:tr>
        <w:trPr>
          <w:trHeight w:val="21"/>
        </w:trPr>
        <w:tc>
          <w:tcPr>
            <w:tcW w:w="354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10,796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(120,256)</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12,809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16,161</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(12,053)</w:t>
            </w:r>
          </w:p>
        </w:tc>
        <w:tc>
          <w:tcPr>
            <w:tcW w:w="0" w:type="dxa"/>
            <w:vAlign w:val="bottom"/>
          </w:tcPr>
          <w:p>
            <w:pPr>
              <w:spacing w:after="0"/>
              <w:rPr>
                <w:sz w:val="1"/>
                <w:szCs w:val="1"/>
                <w:color w:val="auto"/>
              </w:rPr>
            </w:pPr>
          </w:p>
        </w:tc>
      </w:tr>
      <w:tr>
        <w:trPr>
          <w:trHeight w:val="259"/>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213"/>
        </w:trPr>
        <w:tc>
          <w:tcPr>
            <w:tcW w:w="354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(123,800)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10,796</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11,425</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12,809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16,161</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60"/>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w:t>
            </w:r>
          </w:p>
        </w:tc>
        <w:tc>
          <w:tcPr>
            <w:tcW w:w="0" w:type="dxa"/>
            <w:vAlign w:val="bottom"/>
          </w:tcPr>
          <w:p>
            <w:pPr>
              <w:spacing w:after="0"/>
              <w:rPr>
                <w:sz w:val="1"/>
                <w:szCs w:val="1"/>
                <w:color w:val="auto"/>
              </w:rPr>
            </w:pPr>
          </w:p>
        </w:tc>
      </w:tr>
      <w:tr>
        <w:trPr>
          <w:trHeight w:val="213"/>
        </w:trPr>
        <w:tc>
          <w:tcPr>
            <w:tcW w:w="354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(7,659)</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(136,631)</w:t>
            </w:r>
          </w:p>
        </w:tc>
        <w:tc>
          <w:tcPr>
            <w:tcW w:w="0" w:type="dxa"/>
            <w:vAlign w:val="bottom"/>
          </w:tcPr>
          <w:p>
            <w:pPr>
              <w:spacing w:after="0"/>
              <w:rPr>
                <w:sz w:val="1"/>
                <w:szCs w:val="1"/>
                <w:color w:val="auto"/>
              </w:rPr>
            </w:pPr>
          </w:p>
        </w:tc>
      </w:tr>
      <w:tr>
        <w:trPr>
          <w:trHeight w:val="257"/>
        </w:trPr>
        <w:tc>
          <w:tcPr>
            <w:tcW w:w="354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6,164</w:t>
            </w:r>
          </w:p>
        </w:tc>
        <w:tc>
          <w:tcPr>
            <w:tcW w:w="0" w:type="dxa"/>
            <w:vAlign w:val="bottom"/>
          </w:tcPr>
          <w:p>
            <w:pPr>
              <w:spacing w:after="0"/>
              <w:rPr>
                <w:sz w:val="1"/>
                <w:szCs w:val="1"/>
                <w:color w:val="auto"/>
              </w:rPr>
            </w:pPr>
          </w:p>
        </w:tc>
      </w:tr>
      <w:tr>
        <w:trPr>
          <w:trHeight w:val="256"/>
        </w:trPr>
        <w:tc>
          <w:tcPr>
            <w:tcW w:w="3540" w:type="dxa"/>
            <w:vAlign w:val="bottom"/>
          </w:tcPr>
          <w:p>
            <w:pPr>
              <w:ind w:left="22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(14,134)</w:t>
            </w:r>
          </w:p>
        </w:tc>
        <w:tc>
          <w:tcPr>
            <w:tcW w:w="0" w:type="dxa"/>
            <w:vAlign w:val="bottom"/>
          </w:tcPr>
          <w:p>
            <w:pPr>
              <w:spacing w:after="0"/>
              <w:rPr>
                <w:sz w:val="1"/>
                <w:szCs w:val="1"/>
                <w:color w:val="auto"/>
              </w:rPr>
            </w:pPr>
          </w:p>
        </w:tc>
      </w:tr>
      <w:tr>
        <w:trPr>
          <w:trHeight w:val="260"/>
        </w:trPr>
        <w:tc>
          <w:tcPr>
            <w:tcW w:w="3540" w:type="dxa"/>
            <w:vAlign w:val="bottom"/>
          </w:tcPr>
          <w:p>
            <w:pPr>
              <w:ind w:left="22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(4,468)</w:t>
            </w:r>
          </w:p>
        </w:tc>
        <w:tc>
          <w:tcPr>
            <w:tcW w:w="0" w:type="dxa"/>
            <w:vAlign w:val="bottom"/>
          </w:tcPr>
          <w:p>
            <w:pPr>
              <w:spacing w:after="0"/>
              <w:rPr>
                <w:sz w:val="1"/>
                <w:szCs w:val="1"/>
                <w:color w:val="auto"/>
              </w:rPr>
            </w:pPr>
          </w:p>
        </w:tc>
      </w:tr>
      <w:tr>
        <w:trPr>
          <w:trHeight w:val="213"/>
        </w:trPr>
        <w:tc>
          <w:tcPr>
            <w:tcW w:w="354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(9,901)</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1" w:right="1440" w:bottom="1440" w:gutter="0" w:footer="0" w:header="0"/>
        </w:sectPr>
      </w:pPr>
    </w:p>
    <w:bookmarkStart w:id="11" w:name="page12"/>
    <w:bookmarkEnd w:id="11"/>
    <w:p>
      <w:pPr>
        <w:jc w:val="center"/>
        <w:ind w:right="-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71"/>
        <w:spacing w:after="0"/>
        <w:rPr>
          <w:sz w:val="20"/>
          <w:szCs w:val="20"/>
          <w:color w:val="auto"/>
        </w:rPr>
      </w:pPr>
      <w:r>
        <w:rPr>
          <w:rFonts w:ascii="Arial" w:cs="Arial" w:eastAsia="Arial" w:hAnsi="Arial"/>
          <w:sz w:val="16"/>
          <w:szCs w:val="16"/>
          <w:b w:val="1"/>
          <w:bCs w:val="1"/>
          <w:color w:val="auto"/>
        </w:rPr>
        <w:t>(unaudited)</w:t>
      </w:r>
    </w:p>
    <w:p>
      <w:pPr>
        <w:spacing w:after="0" w:line="361" w:lineRule="exact"/>
        <w:rPr>
          <w:sz w:val="20"/>
          <w:szCs w:val="20"/>
          <w:color w:val="auto"/>
        </w:rPr>
      </w:pPr>
    </w:p>
    <w:p>
      <w:pPr>
        <w:jc w:val="center"/>
        <w:ind w:left="1760"/>
        <w:spacing w:after="0"/>
        <w:rPr>
          <w:sz w:val="20"/>
          <w:szCs w:val="20"/>
          <w:color w:val="auto"/>
        </w:rPr>
      </w:pPr>
      <w:r>
        <w:rPr>
          <w:rFonts w:ascii="Arial" w:cs="Arial" w:eastAsia="Arial" w:hAnsi="Arial"/>
          <w:sz w:val="16"/>
          <w:szCs w:val="16"/>
          <w:b w:val="1"/>
          <w:bCs w:val="1"/>
          <w:color w:val="auto"/>
        </w:rPr>
        <w:t>Three Months Ended</w:t>
      </w:r>
    </w:p>
    <w:p>
      <w:pPr>
        <w:jc w:val="center"/>
        <w:ind w:left="176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3552" w:type="dxa"/>
        <w:tblCellMar>
          <w:top w:w="0" w:type="dxa"/>
          <w:left w:w="0" w:type="dxa"/>
          <w:bottom w:w="0" w:type="dxa"/>
          <w:right w:w="0" w:type="dxa"/>
        </w:tblCellMar>
      </w:tblPr>
      <w:tr>
        <w:trPr>
          <w:trHeight w:val="218"/>
        </w:trPr>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2020</w:t>
            </w:r>
          </w:p>
        </w:tc>
      </w:tr>
      <w:tr>
        <w:trPr>
          <w:trHeight w:val="517"/>
        </w:trPr>
        <w:tc>
          <w:tcPr>
            <w:tcW w:w="1760" w:type="dxa"/>
            <w:vAlign w:val="bottom"/>
          </w:tcPr>
          <w:p>
            <w:pPr>
              <w:spacing w:after="0"/>
              <w:rPr>
                <w:sz w:val="20"/>
                <w:szCs w:val="20"/>
                <w:color w:val="auto"/>
              </w:rPr>
            </w:pPr>
            <w:r>
              <w:rPr>
                <w:rFonts w:ascii="Arial" w:cs="Arial" w:eastAsia="Arial" w:hAnsi="Arial"/>
                <w:sz w:val="16"/>
                <w:szCs w:val="16"/>
                <w:color w:val="auto"/>
              </w:rPr>
              <w:t>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140"/>
              <w:spacing w:after="0"/>
              <w:rPr>
                <w:sz w:val="20"/>
                <w:szCs w:val="20"/>
                <w:color w:val="auto"/>
              </w:rPr>
            </w:pPr>
            <w:r>
              <w:rPr>
                <w:rFonts w:ascii="Arial" w:cs="Arial" w:eastAsia="Arial" w:hAnsi="Arial"/>
                <w:sz w:val="16"/>
                <w:szCs w:val="16"/>
                <w:color w:val="auto"/>
              </w:rPr>
              <w:t>(123,800)</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Adjusted EBITDA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20,320</w:t>
            </w:r>
          </w:p>
        </w:tc>
      </w:tr>
      <w:tr>
        <w:trPr>
          <w:trHeight w:val="270"/>
        </w:trPr>
        <w:tc>
          <w:tcPr>
            <w:tcW w:w="1760" w:type="dxa"/>
            <w:vAlign w:val="bottom"/>
          </w:tcPr>
          <w:p>
            <w:pPr>
              <w:spacing w:after="0"/>
              <w:rPr>
                <w:sz w:val="20"/>
                <w:szCs w:val="20"/>
                <w:color w:val="auto"/>
              </w:rPr>
            </w:pPr>
            <w:r>
              <w:rPr>
                <w:rFonts w:ascii="Arial" w:cs="Arial" w:eastAsia="Arial" w:hAnsi="Arial"/>
                <w:sz w:val="16"/>
                <w:szCs w:val="16"/>
                <w:color w:val="auto"/>
              </w:rPr>
              <w:t>Free Cash Flow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16,096</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18,258</w:t>
            </w:r>
          </w:p>
        </w:tc>
      </w:tr>
    </w:tbl>
    <w:p>
      <w:pPr>
        <w:spacing w:after="0" w:line="318" w:lineRule="exact"/>
        <w:rPr>
          <w:sz w:val="20"/>
          <w:szCs w:val="20"/>
          <w:color w:val="auto"/>
        </w:rPr>
      </w:pPr>
    </w:p>
    <w:p>
      <w:pPr>
        <w:ind w:left="332" w:right="20" w:hanging="332"/>
        <w:spacing w:after="0" w:line="231"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0" w:lineRule="exact"/>
        <w:rPr>
          <w:rFonts w:ascii="Arial" w:cs="Arial" w:eastAsia="Arial" w:hAnsi="Arial"/>
          <w:sz w:val="16"/>
          <w:szCs w:val="16"/>
          <w:color w:val="auto"/>
        </w:rPr>
      </w:pPr>
    </w:p>
    <w:p>
      <w:pPr>
        <w:ind w:left="332" w:right="16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76" w:lineRule="exact"/>
        <w:rPr>
          <w:sz w:val="20"/>
          <w:szCs w:val="20"/>
          <w:color w:val="auto"/>
        </w:rPr>
      </w:pPr>
    </w:p>
    <w:p>
      <w:pPr>
        <w:jc w:val="center"/>
        <w:ind w:left="3620"/>
        <w:spacing w:after="0"/>
        <w:rPr>
          <w:sz w:val="20"/>
          <w:szCs w:val="20"/>
          <w:color w:val="auto"/>
        </w:rPr>
      </w:pPr>
      <w:r>
        <w:rPr>
          <w:rFonts w:ascii="Arial" w:cs="Arial" w:eastAsia="Arial" w:hAnsi="Arial"/>
          <w:sz w:val="16"/>
          <w:szCs w:val="16"/>
          <w:b w:val="1"/>
          <w:bCs w:val="1"/>
          <w:color w:val="auto"/>
        </w:rPr>
        <w:t>Three Months Ended</w:t>
      </w:r>
    </w:p>
    <w:p>
      <w:pPr>
        <w:jc w:val="center"/>
        <w:ind w:left="362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2592"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517"/>
        </w:trPr>
        <w:tc>
          <w:tcPr>
            <w:tcW w:w="360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(9,484)</w:t>
            </w:r>
          </w:p>
        </w:tc>
        <w:tc>
          <w:tcPr>
            <w:tcW w:w="18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(146,070)</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1,076</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(8,811)</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21,269</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25,502</w:t>
            </w:r>
          </w:p>
        </w:tc>
      </w:tr>
      <w:tr>
        <w:trPr>
          <w:trHeight w:val="270"/>
        </w:trPr>
        <w:tc>
          <w:tcPr>
            <w:tcW w:w="360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3"/>
        </w:trPr>
        <w:tc>
          <w:tcPr>
            <w:tcW w:w="36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3,362</w:t>
            </w:r>
          </w:p>
        </w:tc>
        <w:tc>
          <w:tcPr>
            <w:tcW w:w="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5,595</w:t>
            </w:r>
          </w:p>
        </w:tc>
      </w:tr>
      <w:tr>
        <w:trPr>
          <w:trHeight w:val="247"/>
        </w:trPr>
        <w:tc>
          <w:tcPr>
            <w:tcW w:w="3600" w:type="dxa"/>
            <w:vAlign w:val="bottom"/>
          </w:tcPr>
          <w:p>
            <w:pPr>
              <w:spacing w:after="0"/>
              <w:rPr>
                <w:sz w:val="20"/>
                <w:szCs w:val="20"/>
                <w:color w:val="auto"/>
              </w:rPr>
            </w:pPr>
            <w:r>
              <w:rPr>
                <w:rFonts w:ascii="Arial" w:cs="Arial" w:eastAsia="Arial" w:hAnsi="Arial"/>
                <w:sz w:val="16"/>
                <w:szCs w:val="16"/>
                <w:color w:val="auto"/>
              </w:rPr>
              <w:t>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(123,800)</w:t>
            </w:r>
          </w:p>
        </w:tc>
      </w:tr>
      <w:tr>
        <w:trPr>
          <w:trHeight w:val="250"/>
        </w:trPr>
        <w:tc>
          <w:tcPr>
            <w:tcW w:w="36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3600" w:type="dxa"/>
            <w:vAlign w:val="bottom"/>
          </w:tcPr>
          <w:p>
            <w:pPr>
              <w:ind w:left="120"/>
              <w:spacing w:after="0"/>
              <w:rPr>
                <w:sz w:val="20"/>
                <w:szCs w:val="20"/>
                <w:color w:val="auto"/>
              </w:rPr>
            </w:pPr>
            <w:r>
              <w:rPr>
                <w:rFonts w:ascii="Arial" w:cs="Arial" w:eastAsia="Arial" w:hAnsi="Arial"/>
                <w:sz w:val="16"/>
                <w:szCs w:val="16"/>
                <w:color w:val="auto"/>
              </w:rPr>
              <w:t>Impairment of long-lived assets (a)</w:t>
            </w:r>
          </w:p>
        </w:tc>
        <w:tc>
          <w:tcPr>
            <w:tcW w:w="2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50,514</w:t>
            </w:r>
          </w:p>
        </w:tc>
      </w:tr>
      <w:tr>
        <w:trPr>
          <w:trHeight w:val="273"/>
        </w:trPr>
        <w:tc>
          <w:tcPr>
            <w:tcW w:w="3600" w:type="dxa"/>
            <w:vAlign w:val="bottom"/>
          </w:tcPr>
          <w:p>
            <w:pPr>
              <w:ind w:left="120"/>
              <w:spacing w:after="0"/>
              <w:rPr>
                <w:sz w:val="20"/>
                <w:szCs w:val="20"/>
                <w:color w:val="auto"/>
              </w:rPr>
            </w:pPr>
            <w:r>
              <w:rPr>
                <w:rFonts w:ascii="Arial" w:cs="Arial" w:eastAsia="Arial" w:hAnsi="Arial"/>
                <w:sz w:val="16"/>
                <w:szCs w:val="16"/>
                <w:color w:val="auto"/>
              </w:rPr>
              <w:t>Impairment of goodwill (b)</w:t>
            </w:r>
          </w:p>
        </w:tc>
        <w:tc>
          <w:tcPr>
            <w:tcW w:w="26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93,606</w:t>
            </w:r>
          </w:p>
        </w:tc>
      </w:tr>
      <w:tr>
        <w:trPr>
          <w:trHeight w:val="226"/>
        </w:trPr>
        <w:tc>
          <w:tcPr>
            <w:tcW w:w="3600" w:type="dxa"/>
            <w:vAlign w:val="bottom"/>
          </w:tcPr>
          <w:p>
            <w:pPr>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16,223</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20,320</w:t>
            </w:r>
          </w:p>
        </w:tc>
      </w:tr>
      <w:tr>
        <w:trPr>
          <w:trHeight w:val="21"/>
        </w:trPr>
        <w:tc>
          <w:tcPr>
            <w:tcW w:w="3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652" w:right="160" w:hanging="328"/>
        <w:spacing w:after="0" w:line="251"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2020. In the first quarter of 2020, we recorded a pre-tax loss related to the impairment of long-lived assets in our Canadian segment of $38.1 million ($38.1 million after-tax, or $2.71 per diluted share) and a pre-tax loss related to the impairment of long-lived assets in our U.S. segment of $12.4 million ($12.4 million after-tax, or $0.89 per diluted share), which is included in Impairment expense on the unaudited statements of operations.</w:t>
      </w:r>
    </w:p>
    <w:p>
      <w:pPr>
        <w:spacing w:after="0" w:line="229" w:lineRule="exact"/>
        <w:rPr>
          <w:rFonts w:ascii="Arial" w:cs="Arial" w:eastAsia="Arial" w:hAnsi="Arial"/>
          <w:sz w:val="16"/>
          <w:szCs w:val="16"/>
          <w:color w:val="auto"/>
        </w:rPr>
      </w:pPr>
    </w:p>
    <w:p>
      <w:pPr>
        <w:ind w:left="652" w:hanging="328"/>
        <w:spacing w:after="0" w:line="260"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in the first quarter of 2020. The $93.6 million impairment ($93.6 million after-tax, or $6.67 per diluted share) is related to our Canada reporting unit and is included in Impairment expense on the statements of operations.</w:t>
      </w:r>
    </w:p>
    <w:p>
      <w:pPr>
        <w:sectPr>
          <w:pgSz w:w="11900" w:h="16838" w:orient="portrait"/>
          <w:cols w:equalWidth="0" w:num="1">
            <w:col w:w="11152"/>
          </w:cols>
          <w:pgMar w:left="328" w:top="891" w:right="419" w:bottom="1440" w:gutter="0" w:footer="0" w:header="0"/>
        </w:sectPr>
      </w:pPr>
    </w:p>
    <w:bookmarkStart w:id="12" w:name="page13"/>
    <w:bookmarkEnd w:id="12"/>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34"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76"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Three Months Ended</w:t>
      </w:r>
    </w:p>
    <w:p>
      <w:pPr>
        <w:jc w:val="center"/>
        <w:ind w:left="4600"/>
        <w:spacing w:after="0"/>
        <w:rPr>
          <w:sz w:val="20"/>
          <w:szCs w:val="20"/>
          <w:color w:val="auto"/>
        </w:rPr>
      </w:pPr>
      <w:r>
        <w:rPr>
          <w:rFonts w:ascii="Arial" w:cs="Arial" w:eastAsia="Arial" w:hAnsi="Arial"/>
          <w:sz w:val="16"/>
          <w:szCs w:val="16"/>
          <w:b w:val="1"/>
          <w:bCs w:val="1"/>
          <w:color w:val="auto"/>
        </w:rPr>
        <w:t>March 31,</w:t>
      </w:r>
    </w:p>
    <w:p>
      <w:pPr>
        <w:spacing w:after="0" w:line="66" w:lineRule="exact"/>
        <w:rPr>
          <w:sz w:val="20"/>
          <w:szCs w:val="20"/>
          <w:color w:val="auto"/>
        </w:rPr>
      </w:pPr>
    </w:p>
    <w:tbl>
      <w:tblPr>
        <w:tblLayout w:type="fixed"/>
        <w:tblInd w:w="2132"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46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12,817</w:t>
            </w:r>
          </w:p>
        </w:tc>
        <w:tc>
          <w:tcPr>
            <w:tcW w:w="18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20,837</w:t>
            </w:r>
          </w:p>
        </w:tc>
      </w:tr>
      <w:tr>
        <w:trPr>
          <w:trHeight w:val="270"/>
        </w:trPr>
        <w:tc>
          <w:tcPr>
            <w:tcW w:w="46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(2,651)</w:t>
            </w:r>
          </w:p>
        </w:tc>
      </w:tr>
      <w:tr>
        <w:trPr>
          <w:trHeight w:val="273"/>
        </w:trPr>
        <w:tc>
          <w:tcPr>
            <w:tcW w:w="46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6,651</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26"/>
        </w:trPr>
        <w:tc>
          <w:tcPr>
            <w:tcW w:w="460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18,258</w:t>
            </w:r>
          </w:p>
        </w:tc>
      </w:tr>
      <w:tr>
        <w:trPr>
          <w:trHeight w:val="21"/>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911" w:right="359" w:bottom="1440" w:gutter="0" w:footer="0" w:header="0"/>
        </w:sectPr>
      </w:pPr>
    </w:p>
    <w:bookmarkStart w:id="13" w:name="page14"/>
    <w:bookmarkEnd w:id="13"/>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69" w:lineRule="exact"/>
        <w:rPr>
          <w:sz w:val="20"/>
          <w:szCs w:val="20"/>
          <w:color w:val="auto"/>
        </w:rPr>
      </w:pPr>
    </w:p>
    <w:tbl>
      <w:tblPr>
        <w:tblLayout w:type="fixed"/>
        <w:tblInd w:w="2072"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2021</w:t>
            </w:r>
          </w:p>
        </w:tc>
      </w:tr>
      <w:tr>
        <w:trPr>
          <w:trHeight w:val="311"/>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345" w:lineRule="exact"/>
        <w:rPr>
          <w:sz w:val="20"/>
          <w:szCs w:val="20"/>
          <w:color w:val="auto"/>
        </w:rPr>
      </w:pPr>
    </w:p>
    <w:p>
      <w:pPr>
        <w:ind w:left="332" w:hanging="332"/>
        <w:spacing w:after="0" w:line="242"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millions) (unaudited):</w:t>
      </w:r>
    </w:p>
    <w:p>
      <w:pPr>
        <w:spacing w:after="0" w:line="257" w:lineRule="exact"/>
        <w:rPr>
          <w:sz w:val="20"/>
          <w:szCs w:val="20"/>
          <w:color w:val="auto"/>
        </w:rPr>
      </w:pPr>
    </w:p>
    <w:tbl>
      <w:tblPr>
        <w:tblLayout w:type="fixed"/>
        <w:tblInd w:w="1872"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2021</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8"/>
                <w:szCs w:val="18"/>
                <w:color w:val="auto"/>
              </w:rPr>
            </w:pPr>
          </w:p>
        </w:tc>
      </w:tr>
      <w:tr>
        <w:trPr>
          <w:trHeight w:val="324"/>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07"/>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04"/>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820" w:type="dxa"/>
            <w:vAlign w:val="bottom"/>
          </w:tcPr>
          <w:p>
            <w:pPr>
              <w:ind w:left="120"/>
              <w:spacing w:after="0"/>
              <w:rPr>
                <w:sz w:val="20"/>
                <w:szCs w:val="20"/>
                <w:color w:val="auto"/>
              </w:rPr>
            </w:pPr>
            <w:r>
              <w:rPr>
                <w:rFonts w:ascii="Arial" w:cs="Arial" w:eastAsia="Arial" w:hAnsi="Arial"/>
                <w:sz w:val="16"/>
                <w:szCs w:val="16"/>
                <w:color w:val="auto"/>
              </w:rPr>
              <w:t>Representations and warranties settlement</w:t>
            </w:r>
          </w:p>
        </w:tc>
        <w:tc>
          <w:tcPr>
            <w:tcW w:w="10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12"/>
          </w:cols>
          <w:pgMar w:left="328" w:top="891" w:right="65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tbl>
      <w:tblPr>
        <w:tblLayout w:type="fixed"/>
        <w:tblInd w:w="2512" w:type="dxa"/>
        <w:tblCellMar>
          <w:top w:w="0" w:type="dxa"/>
          <w:left w:w="0" w:type="dxa"/>
          <w:bottom w:w="0" w:type="dxa"/>
          <w:right w:w="0" w:type="dxa"/>
        </w:tblCellMar>
      </w:tblPr>
      <w:tr>
        <w:trPr>
          <w:trHeight w:val="215"/>
        </w:trPr>
        <w:tc>
          <w:tcPr>
            <w:tcW w:w="3800" w:type="dxa"/>
            <w:vAlign w:val="bottom"/>
          </w:tcPr>
          <w:p>
            <w:pPr>
              <w:ind w:left="2660"/>
              <w:spacing w:after="0"/>
              <w:rPr>
                <w:sz w:val="20"/>
                <w:szCs w:val="20"/>
                <w:color w:val="auto"/>
              </w:rPr>
            </w:pPr>
            <w:r>
              <w:rPr>
                <w:rFonts w:ascii="Arial" w:cs="Arial" w:eastAsia="Arial" w:hAnsi="Arial"/>
                <w:sz w:val="16"/>
                <w:szCs w:val="16"/>
                <w:b w:val="1"/>
                <w:bCs w:val="1"/>
                <w:color w:val="auto"/>
              </w:rPr>
              <w:t>(unaudited)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10"/>
        </w:trPr>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r>
      <w:tr>
        <w:trPr>
          <w:trHeight w:val="265"/>
        </w:trPr>
        <w:tc>
          <w:tcPr>
            <w:tcW w:w="38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56"/>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5"/>
        </w:trPr>
        <w:tc>
          <w:tcPr>
            <w:tcW w:w="38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46,530</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66,066</w:t>
            </w:r>
          </w:p>
        </w:tc>
      </w:tr>
      <w:tr>
        <w:trPr>
          <w:trHeight w:val="270"/>
        </w:trPr>
        <w:tc>
          <w:tcPr>
            <w:tcW w:w="380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10,499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2,508</w:t>
            </w:r>
          </w:p>
        </w:tc>
      </w:tr>
      <w:tr>
        <w:trPr>
          <w:trHeight w:val="273"/>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4,856</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10,774</w:t>
            </w:r>
          </w:p>
        </w:tc>
      </w:tr>
      <w:tr>
        <w:trPr>
          <w:trHeight w:val="247"/>
        </w:trPr>
        <w:tc>
          <w:tcPr>
            <w:tcW w:w="38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61,885</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79,348</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38,336</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48,055</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6,774</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3,257</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4,121</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10,015</w:t>
            </w:r>
          </w:p>
        </w:tc>
      </w:tr>
      <w:tr>
        <w:trPr>
          <w:trHeight w:val="273"/>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2,654</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w:t>
            </w:r>
          </w:p>
        </w:tc>
      </w:tr>
      <w:tr>
        <w:trPr>
          <w:trHeight w:val="247"/>
        </w:trPr>
        <w:tc>
          <w:tcPr>
            <w:tcW w:w="380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51,885</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64,272</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480,066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708,323</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0.790</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0.745</w:t>
            </w:r>
          </w:p>
        </w:tc>
      </w:tr>
      <w:tr>
        <w:trPr>
          <w:trHeight w:val="438"/>
        </w:trPr>
        <w:tc>
          <w:tcPr>
            <w:tcW w:w="38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5"/>
        </w:trPr>
        <w:tc>
          <w:tcPr>
            <w:tcW w:w="380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5"/>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33,675</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32,585</w:t>
            </w:r>
          </w:p>
        </w:tc>
      </w:tr>
      <w:tr>
        <w:trPr>
          <w:trHeight w:val="273"/>
        </w:trPr>
        <w:tc>
          <w:tcPr>
            <w:tcW w:w="38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25,962</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w:t>
            </w:r>
          </w:p>
        </w:tc>
      </w:tr>
      <w:tr>
        <w:trPr>
          <w:trHeight w:val="247"/>
        </w:trPr>
        <w:tc>
          <w:tcPr>
            <w:tcW w:w="38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59,637</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49,113</w:t>
            </w:r>
          </w:p>
        </w:tc>
      </w:tr>
      <w:tr>
        <w:trPr>
          <w:trHeight w:val="378"/>
        </w:trPr>
        <w:tc>
          <w:tcPr>
            <w:tcW w:w="380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17,105</w:t>
            </w:r>
          </w:p>
        </w:tc>
        <w:tc>
          <w:tcPr>
            <w:tcW w:w="18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14,995</w:t>
            </w:r>
          </w:p>
        </w:tc>
      </w:tr>
      <w:tr>
        <w:trPr>
          <w:trHeight w:val="270"/>
        </w:trPr>
        <w:tc>
          <w:tcPr>
            <w:tcW w:w="380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13,707</w:t>
            </w:r>
          </w:p>
        </w:tc>
      </w:tr>
      <w:tr>
        <w:trPr>
          <w:trHeight w:val="273"/>
        </w:trPr>
        <w:tc>
          <w:tcPr>
            <w:tcW w:w="38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1,501</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247"/>
        </w:trPr>
        <w:tc>
          <w:tcPr>
            <w:tcW w:w="380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42,903</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29,553</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424,666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471,840</w:t>
            </w:r>
          </w:p>
        </w:tc>
      </w:tr>
      <w:tr>
        <w:trPr>
          <w:trHeight w:val="378"/>
        </w:trPr>
        <w:tc>
          <w:tcPr>
            <w:tcW w:w="38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0.773</w:t>
            </w:r>
          </w:p>
        </w:tc>
        <w:tc>
          <w:tcPr>
            <w:tcW w:w="1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0.658</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84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decimal"/>
      <w:start w:val="2"/>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2021-04-30T08:20:36Z</dcterms:created>
  <dcterms:modified xsi:type="dcterms:W3CDTF">2021-04-30T08:20:36Z</dcterms:modified>
</cp:coreProperties>
</file>