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760" w:right="2300" w:hanging="428"/>
        <w:spacing w:after="0" w:line="261"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2015</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22" w:lineRule="exact"/>
        <w:rPr>
          <w:sz w:val="24"/>
          <w:szCs w:val="24"/>
          <w:color w:val="auto"/>
        </w:rPr>
      </w:pPr>
    </w:p>
    <w:p>
      <w:pPr>
        <w:ind w:left="700" w:right="2020" w:hanging="341"/>
        <w:spacing w:after="0" w:line="265" w:lineRule="auto"/>
        <w:tabs>
          <w:tab w:leader="none" w:pos="467"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3404235</wp:posOffset>
            </wp:positionH>
            <wp:positionV relativeFrom="paragraph">
              <wp:posOffset>-38735</wp:posOffset>
            </wp:positionV>
            <wp:extent cx="714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3240" w:type="dxa"/>
            <w:vAlign w:val="bottom"/>
            <w:gridSpan w:val="6"/>
          </w:tcPr>
          <w:p>
            <w:pPr>
              <w:jc w:val="center"/>
              <w:ind w:right="1270"/>
              <w:spacing w:after="0"/>
              <w:rPr>
                <w:sz w:val="20"/>
                <w:szCs w:val="20"/>
                <w:color w:val="auto"/>
              </w:rPr>
            </w:pPr>
            <w:r>
              <w:rPr>
                <w:rFonts w:ascii="Arial" w:cs="Arial" w:eastAsia="Arial" w:hAnsi="Arial"/>
                <w:sz w:val="18"/>
                <w:szCs w:val="18"/>
                <w:color w:val="auto"/>
                <w:w w:val="92"/>
              </w:rPr>
              <w:t>British Columbia, Canada</w:t>
            </w:r>
          </w:p>
        </w:tc>
        <w:tc>
          <w:tcPr>
            <w:tcW w:w="4760" w:type="dxa"/>
            <w:vAlign w:val="bottom"/>
            <w:gridSpan w:val="7"/>
          </w:tcPr>
          <w:p>
            <w:pPr>
              <w:jc w:val="right"/>
              <w:ind w:right="920"/>
              <w:spacing w:after="0"/>
              <w:rPr>
                <w:sz w:val="20"/>
                <w:szCs w:val="20"/>
                <w:color w:val="auto"/>
              </w:rPr>
            </w:pPr>
            <w:r>
              <w:rPr>
                <w:rFonts w:ascii="Arial" w:cs="Arial" w:eastAsia="Arial" w:hAnsi="Arial"/>
                <w:sz w:val="18"/>
                <w:szCs w:val="18"/>
                <w:color w:val="auto"/>
              </w:rPr>
              <w:t>98-1253716</w:t>
            </w:r>
          </w:p>
        </w:tc>
      </w:tr>
      <w:tr>
        <w:trPr>
          <w:trHeight w:val="20"/>
        </w:trPr>
        <w:tc>
          <w:tcPr>
            <w:tcW w:w="1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5160" w:type="dxa"/>
            <w:vAlign w:val="bottom"/>
            <w:gridSpan w:val="7"/>
          </w:tcPr>
          <w:p>
            <w:pPr>
              <w:jc w:val="center"/>
              <w:ind w:left="470"/>
              <w:spacing w:after="0"/>
              <w:rPr>
                <w:sz w:val="20"/>
                <w:szCs w:val="20"/>
                <w:color w:val="auto"/>
              </w:rPr>
            </w:pPr>
            <w:r>
              <w:rPr>
                <w:rFonts w:ascii="Arial" w:cs="Arial" w:eastAsia="Arial" w:hAnsi="Arial"/>
                <w:sz w:val="18"/>
                <w:szCs w:val="18"/>
                <w:color w:val="auto"/>
                <w:w w:val="92"/>
              </w:rPr>
              <w:t>(State or other jurisdiction of</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40" w:type="dxa"/>
            <w:vAlign w:val="bottom"/>
            <w:gridSpan w:val="5"/>
          </w:tcPr>
          <w:p>
            <w:pPr>
              <w:jc w:val="center"/>
              <w:ind w:left="150"/>
              <w:spacing w:after="0"/>
              <w:rPr>
                <w:sz w:val="20"/>
                <w:szCs w:val="20"/>
                <w:color w:val="auto"/>
              </w:rPr>
            </w:pPr>
            <w:r>
              <w:rPr>
                <w:rFonts w:ascii="Arial" w:cs="Arial" w:eastAsia="Arial" w:hAnsi="Arial"/>
                <w:sz w:val="18"/>
                <w:szCs w:val="18"/>
                <w:color w:val="auto"/>
                <w:w w:val="92"/>
              </w:rPr>
              <w:t>(I.R.S. Employer</w:t>
            </w:r>
          </w:p>
        </w:tc>
      </w:tr>
      <w:tr>
        <w:trPr>
          <w:trHeight w:val="230"/>
        </w:trPr>
        <w:tc>
          <w:tcPr>
            <w:tcW w:w="5160" w:type="dxa"/>
            <w:vAlign w:val="bottom"/>
            <w:gridSpan w:val="7"/>
          </w:tcPr>
          <w:p>
            <w:pPr>
              <w:jc w:val="center"/>
              <w:ind w:left="470"/>
              <w:spacing w:after="0"/>
              <w:rPr>
                <w:sz w:val="20"/>
                <w:szCs w:val="20"/>
                <w:color w:val="auto"/>
              </w:rPr>
            </w:pPr>
            <w:r>
              <w:rPr>
                <w:rFonts w:ascii="Arial" w:cs="Arial" w:eastAsia="Arial" w:hAnsi="Arial"/>
                <w:sz w:val="18"/>
                <w:szCs w:val="18"/>
                <w:color w:val="auto"/>
                <w:w w:val="92"/>
              </w:rPr>
              <w:t>incorporation or organization)</w:t>
            </w: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40" w:type="dxa"/>
            <w:vAlign w:val="bottom"/>
            <w:gridSpan w:val="5"/>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160" w:type="dxa"/>
            <w:vAlign w:val="bottom"/>
            <w:gridSpan w:val="7"/>
          </w:tcPr>
          <w:p>
            <w:pPr>
              <w:jc w:val="center"/>
              <w:ind w:left="490"/>
              <w:spacing w:after="0"/>
              <w:rPr>
                <w:sz w:val="20"/>
                <w:szCs w:val="20"/>
                <w:color w:val="auto"/>
              </w:rPr>
            </w:pPr>
            <w:r>
              <w:rPr>
                <w:rFonts w:ascii="Arial" w:cs="Arial" w:eastAsia="Arial" w:hAnsi="Arial"/>
                <w:sz w:val="18"/>
                <w:szCs w:val="18"/>
                <w:color w:val="auto"/>
                <w:w w:val="90"/>
              </w:rPr>
              <w:t>Three Allen Center, 333 Clay Street, Suite 4980,</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center"/>
              <w:ind w:right="1650"/>
              <w:spacing w:after="0" w:line="190" w:lineRule="exact"/>
              <w:rPr>
                <w:sz w:val="20"/>
                <w:szCs w:val="20"/>
                <w:color w:val="auto"/>
              </w:rPr>
            </w:pPr>
            <w:r>
              <w:rPr>
                <w:rFonts w:ascii="Arial" w:cs="Arial" w:eastAsia="Arial" w:hAnsi="Arial"/>
                <w:sz w:val="18"/>
                <w:szCs w:val="18"/>
                <w:color w:val="auto"/>
                <w:w w:val="88"/>
              </w:rPr>
              <w:t>Houston, Texas</w:t>
            </w:r>
          </w:p>
        </w:tc>
        <w:tc>
          <w:tcPr>
            <w:tcW w:w="3840" w:type="dxa"/>
            <w:vAlign w:val="bottom"/>
            <w:gridSpan w:val="6"/>
          </w:tcPr>
          <w:p>
            <w:pPr>
              <w:jc w:val="right"/>
              <w:ind w:right="200"/>
              <w:spacing w:after="0" w:line="190" w:lineRule="exact"/>
              <w:rPr>
                <w:sz w:val="20"/>
                <w:szCs w:val="20"/>
                <w:color w:val="auto"/>
              </w:rPr>
            </w:pPr>
            <w:r>
              <w:rPr>
                <w:rFonts w:ascii="Arial" w:cs="Arial" w:eastAsia="Arial" w:hAnsi="Arial"/>
                <w:sz w:val="18"/>
                <w:szCs w:val="18"/>
                <w:color w:val="auto"/>
              </w:rPr>
              <w:t>77002</w:t>
            </w:r>
          </w:p>
        </w:tc>
        <w:tc>
          <w:tcPr>
            <w:tcW w:w="920" w:type="dxa"/>
            <w:vAlign w:val="bottom"/>
          </w:tcPr>
          <w:p>
            <w:pPr>
              <w:spacing w:after="0"/>
              <w:rPr>
                <w:sz w:val="16"/>
                <w:szCs w:val="16"/>
                <w:color w:val="auto"/>
              </w:rPr>
            </w:pPr>
          </w:p>
        </w:tc>
      </w:tr>
      <w:tr>
        <w:trPr>
          <w:trHeight w:val="20"/>
        </w:trPr>
        <w:tc>
          <w:tcPr>
            <w:tcW w:w="2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37"/>
        </w:trPr>
        <w:tc>
          <w:tcPr>
            <w:tcW w:w="5160" w:type="dxa"/>
            <w:vAlign w:val="bottom"/>
            <w:gridSpan w:val="7"/>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8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(Zip Code)</w:t>
            </w:r>
          </w:p>
        </w:tc>
      </w:tr>
      <w:tr>
        <w:trPr>
          <w:trHeight w:val="392"/>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(713) 510-2400</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20" w:type="dxa"/>
            <w:vAlign w:val="bottom"/>
            <w:gridSpan w:val="8"/>
          </w:tcPr>
          <w:p>
            <w:pPr>
              <w:jc w:val="center"/>
              <w:ind w:right="230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18"/>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500" w:type="dxa"/>
            <w:vAlign w:val="bottom"/>
            <w:gridSpan w:val="10"/>
          </w:tcPr>
          <w:p>
            <w:pPr>
              <w:jc w:val="center"/>
              <w:ind w:right="190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0"/>
        </w:trPr>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jc w:val="center"/>
              <w:ind w:right="1530"/>
              <w:spacing w:after="0" w:line="190" w:lineRule="exact"/>
              <w:rPr>
                <w:sz w:val="20"/>
                <w:szCs w:val="20"/>
                <w:color w:val="auto"/>
              </w:rPr>
            </w:pPr>
            <w:r>
              <w:rPr>
                <w:rFonts w:ascii="Arial" w:cs="Arial" w:eastAsia="Arial" w:hAnsi="Arial"/>
                <w:sz w:val="18"/>
                <w:szCs w:val="18"/>
                <w:color w:val="auto"/>
                <w:w w:val="90"/>
              </w:rPr>
              <w:t>Title of Each Class</w:t>
            </w: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40" w:type="dxa"/>
            <w:vAlign w:val="bottom"/>
            <w:gridSpan w:val="5"/>
          </w:tcPr>
          <w:p>
            <w:pPr>
              <w:jc w:val="center"/>
              <w:spacing w:after="0" w:line="190" w:lineRule="exact"/>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2180" w:type="dxa"/>
            <w:vAlign w:val="bottom"/>
            <w:gridSpan w:val="2"/>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gridSpan w:val="5"/>
            <w:shd w:val="clear" w:color="auto" w:fill="000000"/>
          </w:tcPr>
          <w:p>
            <w:pPr>
              <w:spacing w:after="0" w:line="20" w:lineRule="exact"/>
              <w:rPr>
                <w:sz w:val="1"/>
                <w:szCs w:val="1"/>
                <w:color w:val="auto"/>
              </w:rPr>
            </w:pPr>
          </w:p>
        </w:tc>
      </w:tr>
      <w:tr>
        <w:trPr>
          <w:trHeight w:val="237"/>
        </w:trPr>
        <w:tc>
          <w:tcPr>
            <w:tcW w:w="5160" w:type="dxa"/>
            <w:vAlign w:val="bottom"/>
            <w:gridSpan w:val="7"/>
          </w:tcPr>
          <w:p>
            <w:pPr>
              <w:jc w:val="center"/>
              <w:ind w:left="470"/>
              <w:spacing w:after="0"/>
              <w:rPr>
                <w:sz w:val="20"/>
                <w:szCs w:val="20"/>
                <w:color w:val="auto"/>
              </w:rPr>
            </w:pPr>
            <w:r>
              <w:rPr>
                <w:rFonts w:ascii="Arial" w:cs="Arial" w:eastAsia="Arial" w:hAnsi="Arial"/>
                <w:sz w:val="18"/>
                <w:szCs w:val="18"/>
                <w:color w:val="auto"/>
                <w:w w:val="88"/>
              </w:rPr>
              <w:t>Common Shares, no par value</w:t>
            </w: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40" w:type="dxa"/>
            <w:vAlign w:val="bottom"/>
            <w:gridSpan w:val="5"/>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14"/>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500" w:type="dxa"/>
            <w:vAlign w:val="bottom"/>
            <w:gridSpan w:val="10"/>
          </w:tcPr>
          <w:p>
            <w:pPr>
              <w:jc w:val="center"/>
              <w:ind w:right="190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34"/>
        </w:trPr>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6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w w:val="88"/>
              </w:rPr>
              <w:t>None</w:t>
            </w:r>
          </w:p>
        </w:tc>
      </w:tr>
      <w:tr>
        <w:trPr>
          <w:trHeight w:val="418"/>
        </w:trPr>
        <w:tc>
          <w:tcPr>
            <w:tcW w:w="9920" w:type="dxa"/>
            <w:vAlign w:val="bottom"/>
            <w:gridSpan w:val="14"/>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r>
      <w:tr>
        <w:trPr>
          <w:trHeight w:val="230"/>
        </w:trPr>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YES [ ]</w:t>
            </w:r>
          </w:p>
        </w:tc>
        <w:tc>
          <w:tcPr>
            <w:tcW w:w="112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NO [X ]</w:t>
            </w:r>
          </w:p>
        </w:tc>
      </w:tr>
      <w:tr>
        <w:trPr>
          <w:trHeight w:val="418"/>
        </w:trPr>
        <w:tc>
          <w:tcPr>
            <w:tcW w:w="9920" w:type="dxa"/>
            <w:vAlign w:val="bottom"/>
            <w:gridSpan w:val="14"/>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r>
      <w:tr>
        <w:trPr>
          <w:trHeight w:val="230"/>
        </w:trPr>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YES [ ]</w:t>
            </w:r>
          </w:p>
        </w:tc>
        <w:tc>
          <w:tcPr>
            <w:tcW w:w="112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8"/>
                <w:szCs w:val="18"/>
                <w:color w:val="auto"/>
              </w:rPr>
              <w:t>NO [X ]</w:t>
            </w:r>
          </w:p>
        </w:tc>
      </w:tr>
    </w:tbl>
    <w:p>
      <w:pPr>
        <w:spacing w:after="0" w:line="202"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 ]</w:t>
      </w:r>
    </w:p>
    <w:p>
      <w:pPr>
        <w:spacing w:after="0" w:line="211"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right="4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ind w:right="-139"/>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280"/>
          </w:cols>
          <w:pgMar w:left="240" w:top="584" w:right="379" w:bottom="1440" w:gutter="0" w:footer="0" w:header="0"/>
        </w:sect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Large Accelerated Filer [ ]</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3940"/>
        <w:spacing w:after="0"/>
        <w:rPr>
          <w:sz w:val="20"/>
          <w:szCs w:val="20"/>
          <w:color w:val="auto"/>
        </w:rPr>
      </w:pPr>
      <w:r>
        <w:rPr>
          <w:rFonts w:ascii="Arial" w:cs="Arial" w:eastAsia="Arial" w:hAnsi="Arial"/>
          <w:sz w:val="17"/>
          <w:szCs w:val="17"/>
          <w:color w:val="auto"/>
        </w:rPr>
        <w:t>Accelerated Filer [X ]</w:t>
      </w:r>
    </w:p>
    <w:p>
      <w:pPr>
        <w:spacing w:after="0" w:line="200" w:lineRule="exact"/>
        <w:rPr>
          <w:sz w:val="20"/>
          <w:szCs w:val="20"/>
          <w:color w:val="auto"/>
        </w:rPr>
      </w:pPr>
    </w:p>
    <w:p>
      <w:pPr>
        <w:sectPr>
          <w:pgSz w:w="11900" w:h="16838" w:orient="portrait"/>
          <w:cols w:equalWidth="0" w:num="2">
            <w:col w:w="5040" w:space="720"/>
            <w:col w:w="5520"/>
          </w:cols>
          <w:pgMar w:left="240" w:top="584" w:right="3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0"/>
          <w:szCs w:val="20"/>
          <w:color w:val="auto"/>
        </w:rPr>
      </w:pPr>
    </w:p>
    <w:p>
      <w:pPr>
        <w:sectPr>
          <w:pgSz w:w="11900" w:h="16838" w:orient="portrait"/>
          <w:cols w:equalWidth="0" w:num="2">
            <w:col w:w="5220" w:space="500"/>
            <w:col w:w="5560"/>
          </w:cols>
          <w:pgMar w:left="240" w:top="584" w:right="3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0"/>
          <w:szCs w:val="20"/>
          <w:color w:val="auto"/>
        </w:rPr>
      </w:pPr>
    </w:p>
    <w:p>
      <w:pPr>
        <w:ind w:left="454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30, 2015, was $326,471,266.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107,899,238 common shares outstanding as of February 22, 2016.</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Portions of the registrant's Definitive Proxy Statement for the 2016 Annual General and Special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40" w:type="dxa"/>
            <w:vAlign w:val="bottom"/>
          </w:tcPr>
          <w:p>
            <w:pPr>
              <w:ind w:left="4700"/>
              <w:spacing w:after="0"/>
              <w:rPr>
                <w:sz w:val="20"/>
                <w:szCs w:val="20"/>
                <w:color w:val="auto"/>
              </w:rPr>
            </w:pPr>
            <w:r>
              <w:rPr>
                <w:rFonts w:ascii="Arial" w:cs="Arial" w:eastAsia="Arial" w:hAnsi="Arial"/>
                <w:sz w:val="18"/>
                <w:szCs w:val="18"/>
                <w:b w:val="1"/>
                <w:bCs w:val="1"/>
                <w:color w:val="auto"/>
              </w:rPr>
              <w:t>CIVEO CORPORATION</w:t>
            </w: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40" w:type="dxa"/>
            <w:vAlign w:val="bottom"/>
          </w:tcPr>
          <w:p>
            <w:pPr>
              <w:ind w:left="5400"/>
              <w:spacing w:after="0"/>
              <w:rPr>
                <w:sz w:val="20"/>
                <w:szCs w:val="20"/>
                <w:color w:val="auto"/>
              </w:rPr>
            </w:pPr>
            <w:r>
              <w:rPr>
                <w:rFonts w:ascii="Arial" w:cs="Arial" w:eastAsia="Arial" w:hAnsi="Arial"/>
                <w:sz w:val="18"/>
                <w:szCs w:val="18"/>
                <w:b w:val="1"/>
                <w:bCs w:val="1"/>
                <w:color w:val="auto"/>
              </w:rPr>
              <w:t>INDEX</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1780" w:type="dxa"/>
            <w:vAlign w:val="bottom"/>
            <w:gridSpan w:val="4"/>
          </w:tcPr>
          <w:p>
            <w:pPr>
              <w:ind w:left="9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Cautionary Statement Regarding Forward-Looking Statements</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1.Business</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1A.Risk Factors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1B.Unresolved Staff Comments</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 Properties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3.Legal Proceedings</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4.Mine Safety Disclosures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PART II</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Item 5.Market for Registrant’s Common Equity, Related Shareholder Matters and Issuer Purchases of Equity Securities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6.Selected Financial Data</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7.Management’s Discussion and Analysis of Financial Condition and Results of Operations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7A.Quantitative and Qualitative Disclosures About Market Risk</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8.Financial Statements and Supplementary Data</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9.Changes in and Disagreements with Accountants on Accounting and Financial Disclosure</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9A.Controls and Procedures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9B.Other Information</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PART III</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10. Directors, Executive Officers and Corporate Governance</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11. Executive Compensation</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12. Security Ownership of Certain Beneficial Owners and Management and Related Shareholder Matters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13. Certain Relationships and Related Transactions, and Director Independence</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14. Principal Accounting Fees and Services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Item 15. Exhibits, Financial Statement Schedules</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SIGNATURES</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please refer to “Part I, Item 1. Business,” “Part I, Item 1A. Risk Factors,” “Part II, Item 7. Management's Discussion and Analysis of Financial Condition and Results of Operations” and “Part II, Item 7A. Quantitative and Qualitative Disclosures about Market Risk” below.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annual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on Form 10-K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7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the Company:</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activity, spending and developments in the Canadian oil sands;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realize expected benefits from our recent redomicile to Canada;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identified in Item 1A, "Risk Factors."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ind w:right="20" w:firstLine="324"/>
        <w:spacing w:after="0" w:line="277"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4"/>
          <w:szCs w:val="14"/>
          <w:b w:val="1"/>
          <w:bCs w:val="1"/>
          <w:i w:val="1"/>
          <w:iCs w:val="1"/>
          <w:color w:val="auto"/>
        </w:rPr>
        <w:t>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maintain a website with the address of www.civeo.com. We are not including the information contained on our website as a part of, or incorporating it by reference into, this Annual Report on Form 10-K.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Securities and Exchange Commission (the Commission). The filings are also available through the Commission at the Commission's Public Reference Room at 100 F Street, N.E., Washington, D.C. 20549 or by calling 1-800-SEC-0330. Also, these filings are available on the internet at www.sec.gov and free of charge upon written request to the corporate secretary at the address shown on the cover page of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May 5, 2014, the board of directors of Oil States International, Inc. (Oil States) approved the separation of its Accommodations Segment (Accommodations) into a standalone, publicly traded Delaware corporation, which we refer to herein as Civeo US. In accordance with the Separation and Distribution Agreement, the two companies were separated by Oil States distributing to its stockholders all 106,538,044 shares of common stock of Civeo US it held after the market closed on May 30, 2014 (the Spin-Off). Each Oil States stockholder received two shares of Civeo US common stock for every one share of Oil States stock held at the close of business on the record date of May 21, 2014. In conjunction with the Spin-Off, Oil States received a private letter ruling from the Internal Revenue Service (IRS) to the effect that, based on certain facts, assumptions, representations and undertakings set forth in the ruling, for U.S. federal income tax purposes, Oil States’ distribution of Civeo US common stock was not taxable to Oil States or U.S. holders of Oil States common stock. Following the Spin-Off, Oil States retained no ownership interest in Civeo US, and each company now has separate public ownership, boards of directors and management. On June 2, 2014, Civeo US stock began trading the “regular-way” on the New York Stock Exchange (NYSE) under the “CVEO” stock symbol. Pursuant to the Separation and Distribution Agreement with Oil States, on May 28, 2014, we made a special cash distribution to Oil States of $750 million.</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Redomiciling to Canada</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July 17, 2015, we completed our change in place of incorporation from Delaware to British Columbia, Canada (the Redomicile Transaction). In the Redomicile Transaction, Civeo Corporation, a British Columbia, Canada limited company formerly named Civeo Canadian Holdings ULC (Civeo Canada), became the publicly traded parent company of the Civeo group of companies, and Civeo US, our former publicly traded Delaware parent, became a wholly owned subsidiary of Civeo Canada.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in the Redomicile Transaction.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qualified for a self-directed redomiciling.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one of the largest integrated providers of longer-term and temporary remote site accommodations, logistics and facility management services to the natural resource industry. We operate in some of the world’s most active oil, coal, natural gas and iron ore producing regions, including Canada, Australia and the U.S.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393065</wp:posOffset>
            </wp:positionV>
            <wp:extent cx="2564130" cy="2400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ind w:right="20" w:firstLine="324"/>
        <w:spacing w:after="0" w:line="291" w:lineRule="auto"/>
        <w:rPr>
          <w:sz w:val="20"/>
          <w:szCs w:val="20"/>
          <w:color w:val="auto"/>
        </w:rPr>
      </w:pPr>
      <w:r>
        <w:rPr>
          <w:rFonts w:ascii="Arial" w:cs="Arial" w:eastAsia="Arial" w:hAnsi="Arial"/>
          <w:sz w:val="16"/>
          <w:szCs w:val="16"/>
          <w:color w:val="auto"/>
        </w:rPr>
        <w:t>Using our Develop, Own, Operate business model, we provide accommodations solutions which span the lifecycle of customer projects from the initial exploration and resource delineation to long-term production. Initially, as customers assess the resource potential and determine how they will develop it, they typically need accommodations for a limited number of employees for an uncertain duration of time. Our fleet of temporary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9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initial component of our Develop, Own, Operate business model is site selection and permitting. We believe that there are benefits created by investing early in land in order to gain the strategic, early mover advantage in an emerging region or resource play.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early mover advantage as competitors may be less willing to invest in undeveloped land in the expectation of future demand without firm customer commitments. The strength of our land banked locations allowed us to secure contract growth in our most recent Canadian lodge location, McClelland Lake in the Canadian oil sands region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our Sitka Lodge in the British Columbia liquefied natural gas (LNG) market.</w:t>
      </w:r>
    </w:p>
    <w:p>
      <w:pPr>
        <w:spacing w:after="0" w:line="293" w:lineRule="exact"/>
        <w:rPr>
          <w:sz w:val="20"/>
          <w:szCs w:val="20"/>
          <w:color w:val="auto"/>
        </w:rPr>
      </w:pPr>
    </w:p>
    <w:p>
      <w:pPr>
        <w:ind w:firstLine="369"/>
        <w:spacing w:after="0" w:line="269" w:lineRule="auto"/>
        <w:rPr>
          <w:sz w:val="20"/>
          <w:szCs w:val="20"/>
          <w:color w:val="auto"/>
        </w:rPr>
      </w:pPr>
      <w:r>
        <w:rPr>
          <w:rFonts w:ascii="Arial" w:cs="Arial" w:eastAsia="Arial" w:hAnsi="Arial"/>
          <w:sz w:val="17"/>
          <w:szCs w:val="17"/>
          <w:color w:val="auto"/>
        </w:rPr>
        <w:t>Our scalable modular facilities provide workforce accommodations where, in many cases, traditional accommodations and related infrastructure is not accessible, sufficient or cost effective. Our services allow for efficient development and production of natural resources found in areas without sufficient housing, infrastructure or local labor. We believe that many of the more recently discovered mineral deposits and hydrocarbon reservoirs are in remote locations. We support the development of these natural resources by providing lodging, catering and food services, housekeeping, recreation facilities, laundry and facilities management, as well as water and wastewater treatment, power generation, communications and personnel logistics where required. Our accommodations services allow our customers to outsource their accommodations needs to a single supplier, maintaining employee welfare and satisfaction while focusing their investment on their core resource production efforts. Our primary focus is on providing accommodations to leading natural resource companies at our major properties, which we refer to as lodges in Canada and villages in Australia. We have nineteen lodges and villages in operation, with an aggregate of more than 23,000 rooms. Additionally, in the U.S. and Canada we have nine smaller open camp properties as well as a fleet of mobile accommodation assets. We have long-standing relationships with many of our customers, many of whom are, or are affiliates of, large, investment grade energy and mining companies.</w:t>
      </w:r>
    </w:p>
    <w:p>
      <w:pPr>
        <w:spacing w:after="0" w:line="18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Demand for our accommodations and related services is influenced by three primary factors: commodity prices, workforce requirements and competition. Our customers’ expectations for future commodity prices influence their spending on current productive assets, maintenance on current assets, expansion of existing assets and development of greenfield or new assets. In addition to commodity prices, different types of customer activity require varying workforce sizes, influencing the demand for accommodations. Lastly, competing locations and services will influence demand for our assets and services.</w:t>
      </w:r>
    </w:p>
    <w:p>
      <w:pPr>
        <w:spacing w:after="0" w:line="154"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the Canadian oil sands region, demand for our accommodations is influenced by oil prices. Spending on construction and the development of new projects has historically decreased as the outlook for oil prices decreases. However, spending on current operations and maintenance has historically reacted less quickly to changes in oil prices as customers consider their cash operating costs, rather than overall full cycle returns. Likewise, construction and expansion projects underway have also been less sensitive to commodity price decreases as customers focus on completion and incremental costs. Natural gas prices influence oil sands activity as an input cost; so as natural gas prices fall, our customers’ operating costs fall as well.</w:t>
      </w:r>
    </w:p>
    <w:p>
      <w:pPr>
        <w:spacing w:after="0" w:line="15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Another factor that influences demand for our rooms and services is the type of customer project we are supporting. Generally speaking, Canadian customers require larger workforces during construction and expansionary periods, and therefore have higher demand for accommodations. Operational and maintenance headcounts are typically a fraction, 20-25%, of the headcounts experienced during construction.</w:t>
      </w:r>
    </w:p>
    <w:p>
      <w:pPr>
        <w:spacing w:after="0" w:line="16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Lastly, proximity to customer activity and availability of customer-owned rooms influences occupancy. Typically, customers prefer to first utilize their own rooms on location, and if such customer-owned rooms are insufficient, customers prefer to avoid busing their workforces to housing more than 45 kilometers away.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ind w:right="120" w:firstLine="324"/>
        <w:spacing w:after="0" w:line="271" w:lineRule="auto"/>
        <w:rPr>
          <w:sz w:val="20"/>
          <w:szCs w:val="20"/>
          <w:color w:val="auto"/>
        </w:rPr>
      </w:pPr>
      <w:r>
        <w:rPr>
          <w:rFonts w:ascii="Arial" w:cs="Arial" w:eastAsia="Arial" w:hAnsi="Arial"/>
          <w:sz w:val="17"/>
          <w:szCs w:val="17"/>
          <w:color w:val="auto"/>
        </w:rPr>
        <w:t>A number of multinational energy companies believe there is a potential to export LNG from Canada to meet the increasing global demand, particularly in Asia, for LNG. Currently, Canada does not have any operational LNG export facilities. However, as of December 2015, seventeen proposed LNG export facilities in Canada have entered the regulatory review process – sixteen in British Columbia and one in Nova Scotia. We expect LNG customer spending habits to largely follow those seen in the Canadian oil sands region. LNG activity in Western Canada will be influenced by the global prices for LNG, which are largely tied to global oil prices, as well as wellhead prices for natural gas. Should our customers decide to invest in these LNG projects, demand for accommodations over the next three years will be driven by (i) the construction of the LNG facilities on the coast of British Columbia and (ii) the construction of the related pipeline infrastructure across British Columbia. Facility construction will create demand for permanent lodge accommodations, while pipeline construction activity will drive demand for mobile fleet accommodations.</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Australian villages support similar activities for the natural resources industry. Our customers are typically developing and producing metallurgical (met) coal and other mines which have resource lives that are measured in decades. As such, their spending levels tend to react similarly to commodity prices as those of our Canadian customers. Spending on producing assets is less sensitive to commodity price decreases in the short and medium term, assuming the projects remain cash flow positive. However, new construction projects and expansionary projects are typically cancelled or deferred during periods of lower prices. During 2011 through 2013, roughly half of our occupancy was driven by construction or expansion activity, while the other half supported operation activities of resource production. Currently, our occupancy is primarily driven by production and operating activities. With the reduction in met coal prices over the past three years, much of the demand for rooms from construction activity has ceased, and our current and expected occupancy is primarily driven by production and operational activity. Workforce requirements and competition in the Australian market are comparable to those in the Canadian market. New project construction activity typically requires larger workforces than day-to-day operations, where proximity and availability of customer–owned rooms influences the demand for workforce accommodations.</w:t>
      </w:r>
    </w:p>
    <w:p>
      <w:pPr>
        <w:spacing w:after="0" w:line="17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U.S. operations are primarily tied to activity in the U.S. shale formations in the Bakken, the Rockies and West Texas. Given the shorter investment horizon and decision cycle of our U.S. customers, on a well-by-well basis, U.S. customers’ spending habits react more quickly to changes in oil and natural gas prices. These spending dynamics were clearly demonstrated over the past three years. With oil prices near $100 per barrel from 2012 to late 2014, drilling and completion activity levels grew; however, as oil prices fell beginning in August 2014 and throughout 2015 and 2016, activity in the U.S. reacted swiftly, with the U.S. rig count falling over 50% in six months from its peak in the third quarter of 2014. Unlike the Canadian and Australian markets, headcount requirements for drilling and completion activity are fairly uniform in the U.S. market. Given the U.S. market for accommodations is primarily supported by mobile assets, competition is primarily driven by the availability of assets and price.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 w:name="page9"/>
    <w:bookmarkEnd w:id="8"/>
    <w:p>
      <w:pPr>
        <w:ind w:firstLine="324"/>
        <w:spacing w:after="0" w:line="255" w:lineRule="auto"/>
        <w:rPr>
          <w:sz w:val="20"/>
          <w:szCs w:val="20"/>
          <w:color w:val="auto"/>
        </w:rPr>
      </w:pPr>
      <w:r>
        <w:rPr>
          <w:rFonts w:ascii="Arial" w:cs="Arial" w:eastAsia="Arial" w:hAnsi="Arial"/>
          <w:sz w:val="18"/>
          <w:szCs w:val="18"/>
          <w:color w:val="auto"/>
        </w:rPr>
        <w:t>For the years ended December 31, 2015, 2014 and 2013, we generated $518.0 million, $942.9 million and $1.0 billion in revenues and $(145.0) million, $(142.9) million and $259.5 million in operating income (loss), respectively. The majority of our operations, assets and income are derived from lodge and village facilities which have historically been contracted by our customers on a take-or-pay basis for periods ranging from several months to several years. These facilities generate more than 75% of our revenue. Important performance metrics include average available rooms, average rentable rooms, revenue related to our major properties, occupancy and average daily rate (in local currency). “Other Revenue,” shown below, consists of our revenue related to our open camp facilities and mobile fleet as well as third party sales related to our manufacturing division. The chart below summarizes these key statistics for the periods presented in this Annual Report on Form 10-K.</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5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(In millions,</w:t>
            </w:r>
          </w:p>
        </w:tc>
        <w:tc>
          <w:tcPr>
            <w:tcW w:w="176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86"/>
              </w:rPr>
              <w:t>except for room counts</w:t>
            </w:r>
          </w:p>
        </w:tc>
        <w:tc>
          <w:tcPr>
            <w:tcW w:w="1780" w:type="dxa"/>
            <w:vAlign w:val="bottom"/>
            <w:gridSpan w:val="3"/>
          </w:tcPr>
          <w:p>
            <w:pPr>
              <w:jc w:val="right"/>
              <w:ind w:right="570"/>
              <w:spacing w:after="0" w:line="191" w:lineRule="exact"/>
              <w:rPr>
                <w:sz w:val="20"/>
                <w:szCs w:val="20"/>
                <w:color w:val="auto"/>
              </w:rPr>
            </w:pPr>
            <w:r>
              <w:rPr>
                <w:rFonts w:ascii="Arial" w:cs="Arial" w:eastAsia="Arial" w:hAnsi="Arial"/>
                <w:sz w:val="18"/>
                <w:szCs w:val="18"/>
                <w:b w:val="1"/>
                <w:bCs w:val="1"/>
                <w:color w:val="auto"/>
              </w:rPr>
              <w:t>and 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w w:val="94"/>
              </w:rPr>
              <w:t>daily rate)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right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 xml:space="preserve">Lodge/Village Revenue </w:t>
            </w:r>
            <w:r>
              <w:rPr>
                <w:rFonts w:ascii="Arial" w:cs="Arial" w:eastAsia="Arial" w:hAnsi="Arial"/>
                <w:sz w:val="24"/>
                <w:szCs w:val="24"/>
                <w:color w:val="auto"/>
                <w:vertAlign w:val="superscript"/>
              </w:rPr>
              <w:t>(1)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Canada</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267.5</w:t>
            </w:r>
          </w:p>
        </w:tc>
        <w:tc>
          <w:tcPr>
            <w:tcW w:w="2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497.2</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Australia</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1120"/>
              <w:spacing w:after="0"/>
              <w:rPr>
                <w:sz w:val="20"/>
                <w:szCs w:val="20"/>
                <w:color w:val="auto"/>
              </w:rPr>
            </w:pPr>
            <w:r>
              <w:rPr>
                <w:rFonts w:ascii="Arial" w:cs="Arial" w:eastAsia="Arial" w:hAnsi="Arial"/>
                <w:sz w:val="18"/>
                <w:szCs w:val="18"/>
                <w:color w:val="auto"/>
              </w:rPr>
              <w:t>Total Lodge/Village Revenue</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403.5</w:t>
            </w:r>
          </w:p>
        </w:tc>
        <w:tc>
          <w:tcPr>
            <w:tcW w:w="2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710.5</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Mobile and Open Camp Revenue</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Canada</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Australia</w:t>
            </w:r>
          </w:p>
        </w:tc>
        <w:tc>
          <w:tcPr>
            <w:tcW w:w="96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68.2</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1120"/>
              <w:spacing w:after="0"/>
              <w:rPr>
                <w:sz w:val="20"/>
                <w:szCs w:val="20"/>
                <w:color w:val="auto"/>
              </w:rPr>
            </w:pPr>
            <w:r>
              <w:rPr>
                <w:rFonts w:ascii="Arial" w:cs="Arial" w:eastAsia="Arial" w:hAnsi="Arial"/>
                <w:sz w:val="18"/>
                <w:szCs w:val="18"/>
                <w:color w:val="auto"/>
              </w:rPr>
              <w:t>Total Mobile and Open Camp Revenue</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114.5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232.4</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26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26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Average Available Lodge/Village Rooms </w:t>
            </w:r>
            <w:r>
              <w:rPr>
                <w:rFonts w:ascii="Arial" w:cs="Arial" w:eastAsia="Arial" w:hAnsi="Arial"/>
                <w:sz w:val="25"/>
                <w:szCs w:val="25"/>
                <w:color w:val="auto"/>
                <w:vertAlign w:val="superscript"/>
              </w:rPr>
              <w:t>(2)</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Canada</w:t>
            </w:r>
          </w:p>
        </w:tc>
        <w:tc>
          <w:tcPr>
            <w:tcW w:w="96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13,435</w:t>
            </w:r>
          </w:p>
        </w:tc>
        <w:tc>
          <w:tcPr>
            <w:tcW w:w="220" w:type="dxa"/>
            <w:vAlign w:val="bottom"/>
          </w:tcPr>
          <w:p>
            <w:pPr>
              <w:spacing w:after="0"/>
              <w:rPr>
                <w:sz w:val="18"/>
                <w:szCs w:val="18"/>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12,557</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Australia</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1120"/>
              <w:spacing w:after="0"/>
              <w:rPr>
                <w:sz w:val="20"/>
                <w:szCs w:val="20"/>
                <w:color w:val="auto"/>
              </w:rPr>
            </w:pPr>
            <w:r>
              <w:rPr>
                <w:rFonts w:ascii="Arial" w:cs="Arial" w:eastAsia="Arial" w:hAnsi="Arial"/>
                <w:sz w:val="18"/>
                <w:szCs w:val="18"/>
                <w:color w:val="auto"/>
              </w:rPr>
              <w:t>Total Lodge/Village Rooms</w:t>
            </w:r>
          </w:p>
        </w:tc>
        <w:tc>
          <w:tcPr>
            <w:tcW w:w="96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22,615</w:t>
            </w:r>
          </w:p>
        </w:tc>
        <w:tc>
          <w:tcPr>
            <w:tcW w:w="220" w:type="dxa"/>
            <w:vAlign w:val="bottom"/>
          </w:tcPr>
          <w:p>
            <w:pPr>
              <w:spacing w:after="0"/>
              <w:rPr>
                <w:sz w:val="18"/>
                <w:szCs w:val="18"/>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21,828</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line="216" w:lineRule="exact"/>
              <w:rPr>
                <w:sz w:val="20"/>
                <w:szCs w:val="20"/>
                <w:color w:val="auto"/>
              </w:rPr>
            </w:pPr>
            <w:r>
              <w:rPr>
                <w:rFonts w:ascii="Arial" w:cs="Arial" w:eastAsia="Arial" w:hAnsi="Arial"/>
                <w:sz w:val="16"/>
                <w:szCs w:val="16"/>
                <w:color w:val="auto"/>
              </w:rPr>
              <w:t xml:space="preserve">Rentable Rooms for Lodges and Villages </w:t>
            </w:r>
            <w:r>
              <w:rPr>
                <w:rFonts w:ascii="Arial" w:cs="Arial" w:eastAsia="Arial" w:hAnsi="Arial"/>
                <w:sz w:val="25"/>
                <w:szCs w:val="25"/>
                <w:color w:val="auto"/>
                <w:vertAlign w:val="superscript"/>
              </w:rPr>
              <w:t>(3)</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Canada</w:t>
            </w:r>
          </w:p>
        </w:tc>
        <w:tc>
          <w:tcPr>
            <w:tcW w:w="9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4"/>
              </w:rPr>
              <w:t>10,054</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Australia</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right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Rentable Rooms for Lodges and Villages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18,916</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Average Daily Rates for Lodges and Villages </w:t>
            </w:r>
            <w:r>
              <w:rPr>
                <w:rFonts w:ascii="Arial" w:cs="Arial" w:eastAsia="Arial" w:hAnsi="Arial"/>
                <w:sz w:val="25"/>
                <w:szCs w:val="25"/>
                <w:color w:val="auto"/>
                <w:vertAlign w:val="superscript"/>
              </w:rPr>
              <w:t>(4)</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Canada</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121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146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Australia</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1120"/>
              <w:spacing w:after="0"/>
              <w:rPr>
                <w:sz w:val="20"/>
                <w:szCs w:val="20"/>
                <w:color w:val="auto"/>
              </w:rPr>
            </w:pPr>
            <w:r>
              <w:rPr>
                <w:rFonts w:ascii="Arial" w:cs="Arial" w:eastAsia="Arial" w:hAnsi="Arial"/>
                <w:sz w:val="18"/>
                <w:szCs w:val="18"/>
                <w:color w:val="auto"/>
                <w:w w:val="96"/>
              </w:rPr>
              <w:t>Total Average Daily Rates for Lodges and Villages</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125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line="216" w:lineRule="exact"/>
              <w:rPr>
                <w:sz w:val="20"/>
                <w:szCs w:val="20"/>
                <w:color w:val="auto"/>
              </w:rPr>
            </w:pPr>
            <w:r>
              <w:rPr>
                <w:rFonts w:ascii="Arial" w:cs="Arial" w:eastAsia="Arial" w:hAnsi="Arial"/>
                <w:sz w:val="16"/>
                <w:szCs w:val="16"/>
                <w:color w:val="auto"/>
              </w:rPr>
              <w:t xml:space="preserve">Occupancy in Lodges and Villages </w:t>
            </w:r>
            <w:r>
              <w:rPr>
                <w:rFonts w:ascii="Arial" w:cs="Arial" w:eastAsia="Arial" w:hAnsi="Arial"/>
                <w:sz w:val="25"/>
                <w:szCs w:val="25"/>
                <w:color w:val="auto"/>
                <w:vertAlign w:val="superscript"/>
              </w:rPr>
              <w:t>(5)</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Canada</w:t>
            </w:r>
          </w:p>
        </w:tc>
        <w:tc>
          <w:tcPr>
            <w:tcW w:w="9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Australia</w:t>
            </w:r>
          </w:p>
        </w:tc>
        <w:tc>
          <w:tcPr>
            <w:tcW w:w="96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right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Occupancy in Lodges and Villages</w:t>
            </w:r>
          </w:p>
        </w:tc>
        <w:tc>
          <w:tcPr>
            <w:tcW w:w="9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Exchange Rate</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Canadian dollar to U.S. dollar</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0.7832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0.9056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Australian dollar to U.S. dollar</w:t>
            </w:r>
          </w:p>
        </w:tc>
        <w:tc>
          <w:tcPr>
            <w:tcW w:w="9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4"/>
              </w:rPr>
              <w:t>0.7523</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0.9025</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0.9650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revenue related to rooms as well as the fees associated with catering, laundry and other services including facilities management.</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available rooms includes rooms that are utilized for our personnel.</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Rentable rooms excludes rooms that are utilized for our personnel and out of service rooms.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grown our average available room count by 19% since 2012 through a disciplined capital expenditure program.</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with Syncrude’s Mildred Lake Village, a 2,100 bed facility that we built and sold to Syncrude in 1990 and operated and managed for them for nearly twenty years, we recognized a need for a premium, and more permanent, solution for workforce accommodations in the Canadian oil sands region. Pursuing this strategy, we opened PTI Lodge in 1998, one of the first independent lodging facilities in the region.</w:t>
      </w:r>
    </w:p>
    <w:p>
      <w:pPr>
        <w:spacing w:after="0" w:line="17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With an integrated business model, we are able to identify, solve and implement solutions and services that enhance the guests’ accommodations experience and reduce the customer’s total cost of housing a workforce in a remote operating location.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accommodations in the oil sands region.</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Today, in addition to providing accommodations services, we endeavor to support customers’ logistical efforts in managing the movement of large numbers of personnel efficiently. At our Wapasu Creek location, we have introduced services that improve the customer’s efficiency in transporting personnel to the mine site on a daily basis as well as efficiency in rotating personnel when crews change. These logistical services have generated cost efficiencies for our customer.</w:t>
      </w:r>
    </w:p>
    <w:p>
      <w:pPr>
        <w:spacing w:after="0" w:line="18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During 2015, we entered the Canadian LNG market with our latest lodge location, Sitka Lodge. Most of the Sitka Lodge’s 436 rooms are under contract to LNG Canada, a large LNG export project proposed by a joint venture between Shell Canada Energy, an affiliate of Royal Dutch Shell plc – (50 percent), and affiliates of PetroChina (20 percent), Korea Gas Corporation (15 percent) and Mitsubishi Corporation (15 percent).</w:t>
      </w:r>
    </w:p>
    <w:p>
      <w:pPr>
        <w:spacing w:after="0" w:line="16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With the acquisition of our Australian business in December 2010, we began to support the Australian natural resources industry through ten villages located in Queensland, New South Wales and Western Australia. Like Canada, our Australian business has a long-history of accommodating customers in remote regions beginning with its initial Moranbah Village in 1996, and has grown to become Australia’s largest integrated provider of accommodations services for people working in remote locations. Our Australian business was the first to introduce resort 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take an active role in minimizing our environmental impact of our operations through a number of sustainable initiatives. Our off-site building manufacturing process in Canada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 solar design principles and smart switching systems to reduce the need for electricity related to heating and cooling.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services for the oil and gas and mining industries. Our scalable modular facilities provide long-term and temporary work force accommodations where traditional accommodations and related infrastructure is often not accessible, sufficient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are generally based on their view of commodity supply and demand dynamics as well as the outlook for near-term and long-term commodity prices. As a result, the demand for our services is highly sensitive to current and expected commodity prices.</w:t>
      </w:r>
    </w:p>
    <w:p>
      <w:pPr>
        <w:spacing w:after="0" w:line="178"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We serve multiple projects and multiple customers at most of our sites, which allows those customers to share the costs associated with their peak construction accommodations needs.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4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business is significantly influenced by the level of production of oil sands deposits in Alberta, Canada, activity levels in support of natural resources production in Australia and oil and gas production in Canada and the U.S. Our two primary activity drivers are development and production activity in the Canadian oil sands region in Western Canada and the met coal region of Australia’s Bowen Basin. During 2015, we entered into a new market with our Sitka Lodge, which currently serves LNG Canada’s potential project on the west coast of British Columbia. Should our customer’s project ultimately move forward, British Columbia LNG activity could become a material driver of future activity for our Sitka Lodge, as well as for our mobile fleet assets which are well suited for the related pipeline construction activity. However, should the project, and other potential projects in the area, not move forward, the resulting impact may negatively affect our future results of operations, value of long-lived assets and cash flows.</w:t>
      </w:r>
    </w:p>
    <w:p>
      <w:pPr>
        <w:spacing w:after="0" w:line="17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some of their accommodations as they recognize that accommodations are non-core investments for their business.</w:t>
      </w:r>
    </w:p>
    <w:p>
      <w:pPr>
        <w:spacing w:after="0" w:line="18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Civeo is one of the few accommodations providers that service the entire value chain from site identification to long-term facility management. We believe that our existing industry divides accommodations into three primary types: lodges and villages, open camps and mobile assets. Civeo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and can be deployed rapidly to scale. They are often used to support conventional and in-situ drilling crews as well as pipeline and seismic crews and are contracted on a project-by-project, well-by-well or short 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23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often design accommodations facilities. Many public and private firms, such as ATCO Structures &amp; Logistics Ltd. (ATCO), WesternOne Inc.’s modular building division (Britco), Horizon North Logistics Inc. (Horizon North), Alta-Fab Structures Ltd. (Alta-Fab) and Northgate Industries Ltd. (Northgate) will build the modular accommodations for sale. Horizon North, Black Diamond Group Limited (Black Diamond), ATCO, Royal Camp Services Ltd.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Corporation (Aramark), Sodexo Inc. (Sodexo) or Compass Group PLC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or Post, or a developer of lodging properties who is also an owner operator, such as Hyatt Hotels Corporation or Starwood Hotels and Resorts Worldwide, Inc.</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During the year ended December 31, 2015, we generated approximately 66% of our revenue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Market</w:t>
      </w:r>
    </w:p>
    <w:p>
      <w:pPr>
        <w:spacing w:after="0" w:line="2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Demand for our oil sands accommodations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 expansions will largely depend on continued oil sands spending related to existing production efforts, maintenance thereon and potential future expansion of existing projects.</w:t>
      </w:r>
    </w:p>
    <w:p>
      <w:pPr>
        <w:spacing w:after="0" w:line="18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Athabasca oil sands are located in northern Alberta, an area that is very remote with a limited local labor supply. Of Canada’s 33.5 million residents, nearly half of the population lives in ten cities, only 10% of the population lives in Alberta and less than 1% live within 100 kilometers of the oil sands. The local municipalities, of which Fort McMurray is the largest, have grown rapidly over the last decade stressing their infrastructure and are challenged to respond to large-scale changes in demand. As such, the workforce accommodations market provides a cost effective solution to the problem of staffing large oil sands projects by sourcing labor throughout Canada to work on a rotational basis.</w:t>
      </w:r>
    </w:p>
    <w:p>
      <w:pPr>
        <w:spacing w:after="0" w:line="22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 number of multinational energy companies believe there is the potential to export LNG from Canada to meet the increasing global demand, particularly in Asia, for LNG. Currently, Canada does not have any operational LNG export facilities. However, as of December 2015, seventeen proposed LNG export facilities in Canada have entered the regulatory review process – sixteen in British Columbia and one in Nova Scotia. We expect customer spending habits to largely follow those seen in the oil sands region. LNG activity in Western Canada will be influenced by the global prices for LNG, which are largely tied to global oil prices, as well as wellhead prices for natural gas. Should our customers decide to invest in these LNG projects, demand for accommodations over the next three years will be driven by (i) the construction of the LNG facilities on the coast of British Columbia and (ii) the construction of the related pipeline infrastructure across British Columbia. Facility construction will create demand for permanent lodge accommodations while pipeline construction activity will drive demand for temporary mobile workforce accommodations. However, should the project, and other potential projects in the area, not move forward, the resulting impact may negatively affect our future results of operations, value of long-lived assets and cash flows.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Canadian Oil Sands Lodges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During the year ended December 31, 2015, activity in the Athabasca oil sands region generated over three-fourths of our Canadian revenue. The oil sands region of northern Alberta, Canada continues to represent one of the world’s largest reserves for heavy oil. Our McClelland Lake,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in situ operations and pipeline expansion activity. In situ methods are used on reserves that are too deep for traditional mining methods. In situ technology typically injects steam to the deep oil sands in place to separate the bitumen from the sand and pumps it to the surface where it undergoes the same upgrading treatment as the mined bitumen. Reserves requiring in situ techniques of extraction represent 80% of the established recoverable reserves in Alberta. In situ operations generally require less capital and personnel and produce lower volumes of bitumen per development, with higher ongoing operating expense per barrel of bitumen produced.</w:t>
      </w:r>
    </w:p>
    <w:p>
      <w:pPr>
        <w:spacing w:after="0" w:line="16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Most recently, we opened our McClelland Lake Lodge in the summer of 2014 at an initial capacity of 1,561 rooms and reached our full initial capacity of 1,997 rooms in the first quarter of 2015. McClelland Lake Lodge currently supports a new oil sands mining project in the region under a three-year contract for the majority of the rentable rooms. During the third quarter of 2015, we also redeveloped our Mariana Lake location and reclassified the location as an oil sands lodge. The Mariana Lake Lodge has 526 rooms and is focused on the southern portion of the region.</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oil sands lodges support construction and operating personnel for maintenance and expansionary projects as well as ongoing operations associated with surface mining and in situ oil sands projects generally under short and medium-term contracts. All of our oil sands lodge properties are located on land with leases obtained from the province of Alberta with initial terms of ten years. Our leases have expiration dates that range from 2016 to 2026. Currently, only 9% of our Canadian lodge rooms are on land with leases expiring prior to December 31, 2017. Thus far, we have successfully renewed or extended all expiring land leases, with the exception of the Lakeside lease, and expect we will be able to in the future. We provide a full service hospitality function at our lodges including reservation management, check in and check out, catering, housekeeping and facilities management. Our lodge guests receive the amenity level of a full-service hotel plus three meals a day. Since mid-year 2006, we have installed over 13,700 rooms in our oil sands lodge properties supporting oil sands activities in northern Alberta. Our growth plan for this part of our business includes the expansion of these properties where we believe there is durable long-term demand. During 2015, we added 635 rooms (net of retirements) to our major oil sands lodges. Our Wapasu Creek Lodge is equivalent in size to the largest hotels in North America.</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year ended December 31, 2015, over 75% of our Canadian revenue was generated by our eight major lodges. We provide our lodge services on a day rate or monthly rental basis and our customers typically commit for short to medium term contracts (from several months up to 10 years). Customers make a minimum nightly or monthly room commitment for the term of the contract, and the multi-year contracts typically provide for inflationary escalations in rates for increased food, labor and utilities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LNG Lodge</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During the fourth quarter of 2015, in Kitimat, British Columbia, we built 436 rooms during the initial development of our Sitka Lodge. Most of these rooms are under contract to LNG Canada, a large LNG export project proposed by a joint venture between Shell Canada Energy, an affiliate of Royal Dutch Shell plc (50 percent), and affiliates of PetroChina (20 percent), Korea Gas Corporation (15 percent) and Mitsubishi Corporation (15 percent). The initial phase of this location features catering services and recreational facilities and the ability to expand should demand for rooms in the region warrant.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Canadian Lodge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152400</wp:posOffset>
            </wp:positionV>
            <wp:extent cx="5257165" cy="3190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5716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Rooms in our Canadian Lodges</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ind w:left="400"/>
              <w:spacing w:after="0"/>
              <w:rPr>
                <w:sz w:val="20"/>
                <w:szCs w:val="20"/>
                <w:color w:val="auto"/>
              </w:rPr>
            </w:pPr>
            <w:r>
              <w:rPr>
                <w:rFonts w:ascii="Arial" w:cs="Arial" w:eastAsia="Arial" w:hAnsi="Arial"/>
                <w:sz w:val="18"/>
                <w:szCs w:val="18"/>
                <w:b w:val="1"/>
                <w:bCs w:val="1"/>
                <w:color w:val="auto"/>
              </w:rPr>
              <w:t>Extraction</w:t>
            </w: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9"/>
              </w:rPr>
              <w:t>As of December 31,</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Lodges</w:t>
            </w:r>
          </w:p>
        </w:tc>
        <w:tc>
          <w:tcPr>
            <w:tcW w:w="120" w:type="dxa"/>
            <w:vAlign w:val="bottom"/>
          </w:tcPr>
          <w:p>
            <w:pPr>
              <w:spacing w:after="0"/>
              <w:rPr>
                <w:sz w:val="18"/>
                <w:szCs w:val="18"/>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Region</w:t>
            </w:r>
          </w:p>
        </w:tc>
        <w:tc>
          <w:tcPr>
            <w:tcW w:w="120" w:type="dxa"/>
            <w:vAlign w:val="bottom"/>
          </w:tcPr>
          <w:p>
            <w:pPr>
              <w:spacing w:after="0"/>
              <w:rPr>
                <w:sz w:val="18"/>
                <w:szCs w:val="18"/>
                <w:color w:val="auto"/>
              </w:rPr>
            </w:pPr>
          </w:p>
        </w:tc>
        <w:tc>
          <w:tcPr>
            <w:tcW w:w="16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Technique</w:t>
            </w: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3"/>
          </w:tcPr>
          <w:p>
            <w:pPr>
              <w:spacing w:after="0"/>
              <w:rPr>
                <w:sz w:val="18"/>
                <w:szCs w:val="18"/>
                <w:color w:val="auto"/>
              </w:rPr>
            </w:pPr>
          </w:p>
        </w:tc>
        <w:tc>
          <w:tcPr>
            <w:tcW w:w="1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Wapasu</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5,174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line="216" w:lineRule="exact"/>
              <w:rPr>
                <w:sz w:val="20"/>
                <w:szCs w:val="20"/>
                <w:color w:val="auto"/>
              </w:rPr>
            </w:pPr>
            <w:r>
              <w:rPr>
                <w:rFonts w:ascii="Arial" w:cs="Arial" w:eastAsia="Arial" w:hAnsi="Arial"/>
                <w:sz w:val="16"/>
                <w:szCs w:val="16"/>
                <w:color w:val="auto"/>
              </w:rPr>
              <w:t xml:space="preserve">Athabasca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 Athabasca</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mining</w:t>
            </w:r>
          </w:p>
        </w:tc>
        <w:tc>
          <w:tcPr>
            <w:tcW w:w="1480" w:type="dxa"/>
            <w:vAlign w:val="bottom"/>
          </w:tcPr>
          <w:p>
            <w:pPr>
              <w:jc w:val="right"/>
              <w:spacing w:after="0"/>
              <w:rPr>
                <w:sz w:val="20"/>
                <w:szCs w:val="20"/>
                <w:color w:val="auto"/>
              </w:rPr>
            </w:pPr>
            <w:r>
              <w:rPr>
                <w:rFonts w:ascii="Arial" w:cs="Arial" w:eastAsia="Arial" w:hAnsi="Arial"/>
                <w:sz w:val="18"/>
                <w:szCs w:val="18"/>
                <w:color w:val="auto"/>
              </w:rPr>
              <w:t>2,005</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2,005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McClelland Lake</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line="216" w:lineRule="exact"/>
              <w:rPr>
                <w:sz w:val="20"/>
                <w:szCs w:val="20"/>
                <w:color w:val="auto"/>
              </w:rPr>
            </w:pPr>
            <w:r>
              <w:rPr>
                <w:rFonts w:ascii="Arial" w:cs="Arial" w:eastAsia="Arial" w:hAnsi="Arial"/>
                <w:sz w:val="16"/>
                <w:szCs w:val="16"/>
                <w:color w:val="auto"/>
              </w:rPr>
              <w:t xml:space="preserve">Henday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 Athabasca</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mining/in situ</w:t>
            </w:r>
          </w:p>
        </w:tc>
        <w:tc>
          <w:tcPr>
            <w:tcW w:w="1480" w:type="dxa"/>
            <w:vAlign w:val="bottom"/>
          </w:tcPr>
          <w:p>
            <w:pPr>
              <w:jc w:val="right"/>
              <w:spacing w:after="0"/>
              <w:rPr>
                <w:sz w:val="20"/>
                <w:szCs w:val="20"/>
                <w:color w:val="auto"/>
              </w:rPr>
            </w:pPr>
            <w:r>
              <w:rPr>
                <w:rFonts w:ascii="Arial" w:cs="Arial" w:eastAsia="Arial" w:hAnsi="Arial"/>
                <w:sz w:val="18"/>
                <w:szCs w:val="18"/>
                <w:color w:val="auto"/>
              </w:rPr>
              <w:t>1,698</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1,698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Beaver River</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Conklin</w:t>
            </w:r>
          </w:p>
        </w:tc>
        <w:tc>
          <w:tcPr>
            <w:tcW w:w="1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Athabasca</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mining/in situ</w:t>
            </w:r>
          </w:p>
        </w:tc>
        <w:tc>
          <w:tcPr>
            <w:tcW w:w="1480" w:type="dxa"/>
            <w:vAlign w:val="bottom"/>
          </w:tcPr>
          <w:p>
            <w:pPr>
              <w:jc w:val="right"/>
              <w:spacing w:after="0"/>
              <w:rPr>
                <w:sz w:val="20"/>
                <w:szCs w:val="20"/>
                <w:color w:val="auto"/>
              </w:rPr>
            </w:pPr>
            <w:r>
              <w:rPr>
                <w:rFonts w:ascii="Arial" w:cs="Arial" w:eastAsia="Arial" w:hAnsi="Arial"/>
                <w:sz w:val="18"/>
                <w:szCs w:val="18"/>
                <w:color w:val="auto"/>
              </w:rPr>
              <w:t>700</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700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Anzac</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 Athabasca</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situ</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line="216" w:lineRule="exact"/>
              <w:rPr>
                <w:sz w:val="20"/>
                <w:szCs w:val="20"/>
                <w:color w:val="auto"/>
              </w:rPr>
            </w:pPr>
            <w:r>
              <w:rPr>
                <w:rFonts w:ascii="Arial" w:cs="Arial" w:eastAsia="Arial" w:hAnsi="Arial"/>
                <w:sz w:val="16"/>
                <w:szCs w:val="16"/>
                <w:color w:val="auto"/>
              </w:rPr>
              <w:t xml:space="preserve">Mariana Lake </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 Athabasca</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mining</w:t>
            </w:r>
          </w:p>
        </w:tc>
        <w:tc>
          <w:tcPr>
            <w:tcW w:w="1480" w:type="dxa"/>
            <w:vAlign w:val="bottom"/>
          </w:tcPr>
          <w:p>
            <w:pPr>
              <w:jc w:val="right"/>
              <w:spacing w:after="0"/>
              <w:rPr>
                <w:sz w:val="20"/>
                <w:szCs w:val="20"/>
                <w:color w:val="auto"/>
              </w:rPr>
            </w:pPr>
            <w:r>
              <w:rPr>
                <w:rFonts w:ascii="Arial" w:cs="Arial" w:eastAsia="Arial" w:hAnsi="Arial"/>
                <w:sz w:val="18"/>
                <w:szCs w:val="18"/>
                <w:color w:val="auto"/>
              </w:rPr>
              <w:t>526</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Lakeside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Subtotal – Oil Sands</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13,720</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13,085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Sitka Lodge</w:t>
            </w:r>
          </w:p>
        </w:tc>
        <w:tc>
          <w:tcPr>
            <w:tcW w:w="1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Kitimat, BC</w:t>
            </w: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LNG</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Total Rooms</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14,156</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13,085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82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Currently closed due to low activity level in the region.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third quarter of 2015, we redeveloped our Mariana Lake location and reclassified the location as an oil sands lodge.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late 2014, we received notice from our landlord to move off the site. The lodge was permanently closed during the fourth quarter of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Open Camps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to our lodges, we have five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except for Geetla Lodge, which is on leased land. In early 2015, we renewed our Mariana Lake Lodge lease for a term through 2025, and this location was reclassified as an oil sands lodge in the third quarter of 2015. In March 2015, we vacated the Redvers Lodge lease due to the negative outlook for future occupancy. Open camps are typically utilized for exploratory, seasonal or short-term projects. Therefore, customer commitments for open camps tend to be shorter in initial duration (six to eighteen months). Open camps may be operational for twelve months or several years or transition into lodges depending on customer demand. Over time, room counts may fluctuate up or down depending on demand in the region. If the demand in a region decreases, open camps can be relocated to areas of greater activity. We provide accommodation services at our open camps on a day rate basis. Open camp revenue comprises a portion of “Other Revenue” in our Canadian segment.</w:t>
      </w:r>
    </w:p>
    <w:p>
      <w:pPr>
        <w:spacing w:after="0" w:line="178"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Our Alberta open camps service the Athabasca and Peace River oil sands as well as conventional and shale play oil and gas developments and infrastructure expansions. Geetla Lodge services the Horn River Basin in British Columbia.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Rooms in our Canadian Open Camps</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100"/>
              <w:spacing w:after="0"/>
              <w:rPr>
                <w:sz w:val="20"/>
                <w:szCs w:val="20"/>
                <w:color w:val="auto"/>
              </w:rPr>
            </w:pPr>
            <w:r>
              <w:rPr>
                <w:rFonts w:ascii="Arial" w:cs="Arial" w:eastAsia="Arial" w:hAnsi="Arial"/>
                <w:sz w:val="18"/>
                <w:szCs w:val="18"/>
                <w:b w:val="1"/>
                <w:bCs w:val="1"/>
                <w:color w:val="auto"/>
              </w:rPr>
              <w:t>As of December 31,</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27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Open Camps</w:t>
            </w:r>
          </w:p>
        </w:tc>
        <w:tc>
          <w:tcPr>
            <w:tcW w:w="100" w:type="dxa"/>
            <w:vAlign w:val="bottom"/>
          </w:tcPr>
          <w:p>
            <w:pPr>
              <w:spacing w:after="0"/>
              <w:rPr>
                <w:sz w:val="20"/>
                <w:szCs w:val="20"/>
                <w:color w:val="auto"/>
              </w:rPr>
            </w:pPr>
          </w:p>
        </w:tc>
        <w:tc>
          <w:tcPr>
            <w:tcW w:w="21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Province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spacing w:after="0"/>
              <w:rPr>
                <w:sz w:val="18"/>
                <w:szCs w:val="18"/>
                <w:color w:val="auto"/>
              </w:rPr>
            </w:pPr>
          </w:p>
        </w:tc>
        <w:tc>
          <w:tcPr>
            <w:tcW w:w="1620" w:type="dxa"/>
            <w:vAlign w:val="bottom"/>
            <w:gridSpan w:val="2"/>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7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Mariana Lake </w:t>
            </w:r>
            <w:r>
              <w:rPr>
                <w:rFonts w:ascii="Arial" w:cs="Arial" w:eastAsia="Arial" w:hAnsi="Arial"/>
                <w:sz w:val="25"/>
                <w:szCs w:val="25"/>
                <w:color w:val="auto"/>
                <w:vertAlign w:val="superscript"/>
              </w:rPr>
              <w:t>(1)</w:t>
            </w: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Alberta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435</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820" w:type="dxa"/>
            <w:vAlign w:val="bottom"/>
          </w:tcPr>
          <w:p>
            <w:pPr>
              <w:spacing w:after="0"/>
              <w:rPr>
                <w:sz w:val="18"/>
                <w:szCs w:val="18"/>
                <w:color w:val="auto"/>
              </w:rPr>
            </w:pPr>
          </w:p>
        </w:tc>
        <w:tc>
          <w:tcPr>
            <w:tcW w:w="2780" w:type="dxa"/>
            <w:vAlign w:val="bottom"/>
          </w:tcPr>
          <w:p>
            <w:pPr>
              <w:spacing w:after="0" w:line="216" w:lineRule="exact"/>
              <w:rPr>
                <w:sz w:val="20"/>
                <w:szCs w:val="20"/>
                <w:color w:val="auto"/>
              </w:rPr>
            </w:pPr>
            <w:r>
              <w:rPr>
                <w:rFonts w:ascii="Arial" w:cs="Arial" w:eastAsia="Arial" w:hAnsi="Arial"/>
                <w:sz w:val="16"/>
                <w:szCs w:val="16"/>
                <w:color w:val="auto"/>
              </w:rPr>
              <w:t xml:space="preserve">Boundary </w:t>
            </w:r>
            <w:r>
              <w:rPr>
                <w:rFonts w:ascii="Arial" w:cs="Arial" w:eastAsia="Arial" w:hAnsi="Arial"/>
                <w:sz w:val="25"/>
                <w:szCs w:val="25"/>
                <w:color w:val="auto"/>
                <w:vertAlign w:val="superscript"/>
              </w:rPr>
              <w:t>(2)</w:t>
            </w:r>
          </w:p>
        </w:tc>
        <w:tc>
          <w:tcPr>
            <w:tcW w:w="2260" w:type="dxa"/>
            <w:vAlign w:val="bottom"/>
            <w:gridSpan w:val="2"/>
          </w:tcPr>
          <w:p>
            <w:pPr>
              <w:ind w:left="100"/>
              <w:spacing w:after="0"/>
              <w:rPr>
                <w:sz w:val="20"/>
                <w:szCs w:val="20"/>
                <w:color w:val="auto"/>
              </w:rPr>
            </w:pPr>
            <w:r>
              <w:rPr>
                <w:rFonts w:ascii="Arial" w:cs="Arial" w:eastAsia="Arial" w:hAnsi="Arial"/>
                <w:sz w:val="18"/>
                <w:szCs w:val="18"/>
                <w:color w:val="auto"/>
              </w:rPr>
              <w:t>Saskatchewan</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346</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346</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8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Waskada</w:t>
            </w: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Manitoba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820" w:type="dxa"/>
            <w:vAlign w:val="bottom"/>
          </w:tcPr>
          <w:p>
            <w:pPr>
              <w:spacing w:after="0"/>
              <w:rPr>
                <w:sz w:val="18"/>
                <w:szCs w:val="18"/>
                <w:color w:val="auto"/>
              </w:rPr>
            </w:pPr>
          </w:p>
        </w:tc>
        <w:tc>
          <w:tcPr>
            <w:tcW w:w="2780" w:type="dxa"/>
            <w:vAlign w:val="bottom"/>
          </w:tcPr>
          <w:p>
            <w:pPr>
              <w:spacing w:after="0" w:line="216" w:lineRule="exact"/>
              <w:rPr>
                <w:sz w:val="20"/>
                <w:szCs w:val="20"/>
                <w:color w:val="auto"/>
              </w:rPr>
            </w:pPr>
            <w:r>
              <w:rPr>
                <w:rFonts w:ascii="Arial" w:cs="Arial" w:eastAsia="Arial" w:hAnsi="Arial"/>
                <w:sz w:val="16"/>
                <w:szCs w:val="16"/>
                <w:color w:val="auto"/>
              </w:rPr>
              <w:t xml:space="preserve">Antler River </w:t>
            </w:r>
            <w:r>
              <w:rPr>
                <w:rFonts w:ascii="Arial" w:cs="Arial" w:eastAsia="Arial" w:hAnsi="Arial"/>
                <w:sz w:val="25"/>
                <w:szCs w:val="25"/>
                <w:color w:val="auto"/>
                <w:vertAlign w:val="superscript"/>
              </w:rPr>
              <w:t>(2)</w:t>
            </w:r>
          </w:p>
        </w:tc>
        <w:tc>
          <w:tcPr>
            <w:tcW w:w="2260" w:type="dxa"/>
            <w:vAlign w:val="bottom"/>
            <w:gridSpan w:val="2"/>
          </w:tcPr>
          <w:p>
            <w:pPr>
              <w:ind w:left="100"/>
              <w:spacing w:after="0"/>
              <w:rPr>
                <w:sz w:val="20"/>
                <w:szCs w:val="20"/>
                <w:color w:val="auto"/>
              </w:rPr>
            </w:pPr>
            <w:r>
              <w:rPr>
                <w:rFonts w:ascii="Arial" w:cs="Arial" w:eastAsia="Arial" w:hAnsi="Arial"/>
                <w:sz w:val="18"/>
                <w:szCs w:val="18"/>
                <w:color w:val="auto"/>
              </w:rPr>
              <w:t>Manitoba</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254</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212</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Red Earth</w:t>
            </w: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Alberta</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8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Redvers</w:t>
            </w:r>
          </w:p>
        </w:tc>
        <w:tc>
          <w:tcPr>
            <w:tcW w:w="2260" w:type="dxa"/>
            <w:vAlign w:val="bottom"/>
            <w:gridSpan w:val="2"/>
          </w:tcPr>
          <w:p>
            <w:pPr>
              <w:ind w:left="100"/>
              <w:spacing w:after="0"/>
              <w:rPr>
                <w:sz w:val="20"/>
                <w:szCs w:val="20"/>
                <w:color w:val="auto"/>
              </w:rPr>
            </w:pPr>
            <w:r>
              <w:rPr>
                <w:rFonts w:ascii="Arial" w:cs="Arial" w:eastAsia="Arial" w:hAnsi="Arial"/>
                <w:sz w:val="18"/>
                <w:szCs w:val="18"/>
                <w:color w:val="auto"/>
              </w:rPr>
              <w:t>Saskatchewan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102</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820" w:type="dxa"/>
            <w:vAlign w:val="bottom"/>
          </w:tcPr>
          <w:p>
            <w:pPr>
              <w:spacing w:after="0"/>
              <w:rPr>
                <w:sz w:val="18"/>
                <w:szCs w:val="18"/>
                <w:color w:val="auto"/>
              </w:rPr>
            </w:pPr>
          </w:p>
        </w:tc>
        <w:tc>
          <w:tcPr>
            <w:tcW w:w="27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Geetla </w:t>
            </w:r>
            <w:r>
              <w:rPr>
                <w:rFonts w:ascii="Arial" w:cs="Arial" w:eastAsia="Arial" w:hAnsi="Arial"/>
                <w:sz w:val="25"/>
                <w:szCs w:val="25"/>
                <w:color w:val="auto"/>
                <w:vertAlign w:val="superscript"/>
              </w:rPr>
              <w:t>(2)</w:t>
            </w: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British Columbia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8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Christina Lake</w:t>
            </w:r>
          </w:p>
        </w:tc>
        <w:tc>
          <w:tcPr>
            <w:tcW w:w="2260" w:type="dxa"/>
            <w:vAlign w:val="bottom"/>
            <w:gridSpan w:val="2"/>
          </w:tcPr>
          <w:p>
            <w:pPr>
              <w:ind w:left="100"/>
              <w:spacing w:after="0"/>
              <w:rPr>
                <w:sz w:val="20"/>
                <w:szCs w:val="20"/>
                <w:color w:val="auto"/>
              </w:rPr>
            </w:pPr>
            <w:r>
              <w:rPr>
                <w:rFonts w:ascii="Arial" w:cs="Arial" w:eastAsia="Arial" w:hAnsi="Arial"/>
                <w:sz w:val="18"/>
                <w:szCs w:val="18"/>
                <w:color w:val="auto"/>
              </w:rPr>
              <w:t>Alberta</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50"/>
        </w:trPr>
        <w:tc>
          <w:tcPr>
            <w:tcW w:w="82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Rooms</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1,325</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829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third quarter of 2015, we redeveloped our Mariana Lake location and reclassified the location as an oil sands lodge.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Currently closed due to low activity level in the region.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Fleet</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mobile fleet consists of modular, skid-mounted accommodations and central facilities that can be configured to quickly serve a multitude of short to medium term accommodation needs. The dormitory, kitchen and ancillary assets can be rapidly mobilized and demobilized and are scalable to support 200 to 800 people in a single location. In addition to asset rental, we provide catering, cleaning and housekeeping as well as camp management services, including fresh water and sewage hauling services. Our mobile fleet services the traditional oil and gas sector in Alberta and British Columbia and in situ oil sands drilling and development operations in Alberta as well as pipeline construction crews throughout Western Canada. The assets have also been used in the past in disaster relief efforts, the 2010 Vancouver Winter Olympic Games and a variety of other non-energy related projects.</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mobile fleet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Our focus on ancillary service contracts has allowed us to successfully pursue catering only opportunities. Due to the business nature of servicing client-owned facilities, this business easily fits into our overall business. Aside from the traditional workforce accommodations, we are expanding our target markets to areas such as institutional, educational and entertainment facilities. Mobile fleet revenue comprises a portion of “Other Revenue” in our Canadian segment.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During the year ended December 31, 2015, we generated 26% of our revenue from our Australian operations. As of December 31, 2015, we had 9,296 rooms across ten villages, of which 7,392 rooms service the Bowen Basin region of Queensland, one of the premier metallurgical (met) coal basins in the world. We provide accommodation services on a day rate basis to mining and related service companies (including construction contractors) typically under medium-term contracts (three to five years) with minimum nightly room commitments. During 2015, no further rooms were added (net of retirements) to our Australian villages.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Market</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the largest contributor to exports and a major contributor to the country’s gross domestic product, employment and government revenue, the Australian natural resources sector plays a vital role in the Australian economy. Australia has broad natural resources, including met and thermal coal, conventional and coal seam gas, base metals, iron ore and precious metals such as gold. The growth of Australian natural resource commodity exports over the last decade has been largely driven by strong Asian demand for coal, iron ore and LNG. Australia’s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which often requires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178"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Since 1996, our Australian business has sought to change the insourcing business model through its integrated service offering, allowing customers to outsource their accommodations needs and focus their investment on resource production operations. Our Australian accommodations villages are strategically located in proximity to long-lived, low-cost mines operated by large mining companies. The current activities of our Australian segment are primarily related to supplying accommodations in support of met coal mining in the Bowen Basin region of Queensland.</w:t>
      </w:r>
    </w:p>
    <w:p>
      <w:pPr>
        <w:spacing w:after="0" w:line="15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During the year ended December 31, 2015, our five villages in the Bowen Basin of central Queensland generated 81% of our Australian revenue. The Bowen Basin contains one of the largest coal deposits in Australia and is renowned for its premium met coal. Met coal is used in the steel making process and demand has largely been driven by global demand for steel finished goods and steel construction materials. More recently, growth in construction demand for steel products in emerging economies, particularly China, has slowed significantly, negatively impacting demand for the commodity. Australia is the largest exporter of met coal in the world, in addition to being in close proximity to the largest steel producing country in the world. Our villages are focused on the mines in the central portion of the basin and are well positioned for the active mines in the region.</w:t>
      </w:r>
    </w:p>
    <w:p>
      <w:pPr>
        <w:spacing w:after="0" w:line="17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Beyond the Bowen Basin, we serve several emerging markets with our four additional villages. At the end of 2015, we had two villages with over 1,000 combined rooms in the Gunnedah Basin, an emerging thermal and met coal as well as coal seam gas region of New South Wales. In Western Australia, we serve workforces related to iron ore port expansions and LNG facilities operations on the Northwest Shelf through our Karratha villages.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Australian Village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14605</wp:posOffset>
            </wp:positionV>
            <wp:extent cx="5325745" cy="3198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257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Rooms in our Australian Villages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Resource</w:t>
            </w: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9"/>
              </w:rPr>
              <w:t>As of December 31,</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Villages</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Basin</w:t>
            </w:r>
          </w:p>
        </w:tc>
        <w:tc>
          <w:tcPr>
            <w:tcW w:w="100" w:type="dxa"/>
            <w:vAlign w:val="bottom"/>
          </w:tcPr>
          <w:p>
            <w:pPr>
              <w:spacing w:after="0"/>
              <w:rPr>
                <w:sz w:val="20"/>
                <w:szCs w:val="20"/>
                <w:color w:val="auto"/>
              </w:rPr>
            </w:pPr>
          </w:p>
        </w:tc>
        <w:tc>
          <w:tcPr>
            <w:tcW w:w="27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Commodity</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880" w:type="dxa"/>
            <w:vAlign w:val="bottom"/>
            <w:gridSpan w:val="2"/>
          </w:tcPr>
          <w:p>
            <w:pPr>
              <w:spacing w:after="0"/>
              <w:rPr>
                <w:sz w:val="18"/>
                <w:szCs w:val="18"/>
                <w:color w:val="auto"/>
              </w:rPr>
            </w:pPr>
          </w:p>
        </w:tc>
        <w:tc>
          <w:tcPr>
            <w:tcW w:w="1300" w:type="dxa"/>
            <w:vAlign w:val="bottom"/>
            <w:gridSpan w:val="3"/>
          </w:tcPr>
          <w:p>
            <w:pPr>
              <w:spacing w:after="0"/>
              <w:rPr>
                <w:sz w:val="18"/>
                <w:szCs w:val="18"/>
                <w:color w:val="auto"/>
              </w:rPr>
            </w:pPr>
          </w:p>
        </w:tc>
        <w:tc>
          <w:tcPr>
            <w:tcW w:w="156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Coppabella</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Bowen</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met coal</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3,048</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3,048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Dysart</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Bowen</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met coal</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1,798</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1,798</w:t>
            </w:r>
          </w:p>
        </w:tc>
        <w:tc>
          <w:tcPr>
            <w:tcW w:w="1160" w:type="dxa"/>
            <w:vAlign w:val="bottom"/>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Moranbah</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Bowen</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met coal</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Middlemount</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Bowen</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met coal</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816</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816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Boggabri</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Gunnedah</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met/thermal coal</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Narrabri</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Gunnedah</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met/thermal coal</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502</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502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Nebo</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Bowen</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met coal</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line="216" w:lineRule="exact"/>
              <w:rPr>
                <w:sz w:val="20"/>
                <w:szCs w:val="20"/>
                <w:color w:val="auto"/>
              </w:rPr>
            </w:pPr>
            <w:r>
              <w:rPr>
                <w:rFonts w:ascii="Arial" w:cs="Arial" w:eastAsia="Arial" w:hAnsi="Arial"/>
                <w:sz w:val="16"/>
                <w:szCs w:val="16"/>
                <w:color w:val="auto"/>
              </w:rPr>
              <w:t xml:space="preserve">Calliope </w:t>
            </w:r>
            <w:r>
              <w:rPr>
                <w:rFonts w:ascii="Arial" w:cs="Arial" w:eastAsia="Arial" w:hAnsi="Arial"/>
                <w:sz w:val="25"/>
                <w:szCs w:val="25"/>
                <w:color w:val="auto"/>
                <w:vertAlign w:val="superscript"/>
              </w:rPr>
              <w:t>(1)</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LNG</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300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Kambalda </w:t>
            </w:r>
            <w:r>
              <w:rPr>
                <w:rFonts w:ascii="Arial" w:cs="Arial" w:eastAsia="Arial" w:hAnsi="Arial"/>
                <w:sz w:val="25"/>
                <w:szCs w:val="25"/>
                <w:color w:val="auto"/>
                <w:vertAlign w:val="superscript"/>
              </w:rPr>
              <w:t>(2)</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Gold</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Karratha</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Pilbara</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LNG, iron ore</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208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Rooms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9,296</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82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Currently closed due to low activity level in the region.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Closed in June 2015 due to lack of contract renewals.</w:t>
      </w:r>
    </w:p>
    <w:p>
      <w:pPr>
        <w:spacing w:after="0" w:line="21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Australian segment operated ten villages with 9,296 rooms as of December 31, 2015 and has a significant development portfolio in Australia. Our Australian business provides accommodation services to mining and related service companies under short- and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long-term demand.</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Coppabella, Dysart, Moranbah, Middlemount and Nebo villages are located in the Bowen Basin. Coppabella, at over 3,000 rooms, is our largest village and provides accommodation to a variety of customers. The village supports both operational workforce needs and contractor needs with resort style amenities, including swimming pools, gyms, a walking track and a tavern. Our Nebo, Dysart, Moranbah and Middlemount Villages have a long history of providing service in the region.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100" w:firstLine="324"/>
        <w:spacing w:after="0" w:line="259" w:lineRule="auto"/>
        <w:rPr>
          <w:sz w:val="20"/>
          <w:szCs w:val="20"/>
          <w:color w:val="auto"/>
        </w:rPr>
      </w:pPr>
      <w:r>
        <w:rPr>
          <w:rFonts w:ascii="Arial" w:cs="Arial" w:eastAsia="Arial" w:hAnsi="Arial"/>
          <w:sz w:val="18"/>
          <w:szCs w:val="18"/>
          <w:color w:val="auto"/>
        </w:rPr>
        <w:t>In 2011, we opened Narrabri Village, the first village of its kind in New South Wales, to service met and thermal coal mines and coal seam gas in the Gunnedah Basin. Our newest village, Boggabri, opened in the third quarter of 2013. Boggabri Village, whose first stage, consisting of 508 rooms, opened in 2013, services the operating workforce of two customers with approved mines in the Gunnedah Basin. Karratha, in Western Australia, services workforces related to iron ore port expansions and LNG facilities operations on the Northwest Shelf.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During the year ended December 31, 2015, our U.S. business generated 7% of our revenue. Our U.S. business has operational exposure to the Rocky Mountain corridor, the Bakken Shale region, the Permian Basin region of Texas and offshore locations in the Gulf of Mexico.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Onshore oil and natural gas development has historically been supported by local workforces traveling short to moderate distances to the worksites. With the development of substantial resources in regions such as the Bakken, Rockies and Permian Basin, labor demand has exceeded the local labor supply and accommodations infrastructure to support the demand. Consequently, demand for remote, scalable accommodations has developed in the U.S. over the past five years. Demand for accommodations in the U.S. has historically been tied to the level of oil and natural gas exploration and production activity, which is primary driven by oil and natural gas prices. Activity levels have been, and we expect will continue to be, highly correlated with hydrocarbon commodity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152400</wp:posOffset>
            </wp:positionV>
            <wp:extent cx="5351145" cy="2889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5114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Mobile Fleet</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business in the U.S. consists primarily of mobile fleet assets, both in the lower 48 states, including the Rocky Mountain corridor, the Bakken Shale region, the Permian Basin region of Texas and in the Gulf of Mexico.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241"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Camps</w:t>
      </w:r>
    </w:p>
    <w:p>
      <w:pPr>
        <w:spacing w:after="0" w:line="14"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As of December 31,</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State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5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West Permian</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TX</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line="216" w:lineRule="exact"/>
              <w:rPr>
                <w:sz w:val="20"/>
                <w:szCs w:val="20"/>
                <w:color w:val="auto"/>
              </w:rPr>
            </w:pPr>
            <w:r>
              <w:rPr>
                <w:rFonts w:ascii="Arial" w:cs="Arial" w:eastAsia="Arial" w:hAnsi="Arial"/>
                <w:sz w:val="16"/>
                <w:szCs w:val="16"/>
                <w:color w:val="auto"/>
              </w:rPr>
              <w:t xml:space="preserve">Three Rivers </w:t>
            </w:r>
            <w:r>
              <w:rPr>
                <w:rFonts w:ascii="Arial" w:cs="Arial" w:eastAsia="Arial" w:hAnsi="Arial"/>
                <w:sz w:val="25"/>
                <w:szCs w:val="25"/>
                <w:color w:val="auto"/>
                <w:vertAlign w:val="superscript"/>
              </w:rPr>
              <w:t>(1)</w:t>
            </w:r>
          </w:p>
        </w:tc>
        <w:tc>
          <w:tcPr>
            <w:tcW w:w="1820" w:type="dxa"/>
            <w:vAlign w:val="bottom"/>
          </w:tcPr>
          <w:p>
            <w:pPr>
              <w:spacing w:after="0"/>
              <w:rPr>
                <w:sz w:val="20"/>
                <w:szCs w:val="20"/>
                <w:color w:val="auto"/>
              </w:rPr>
            </w:pPr>
            <w:r>
              <w:rPr>
                <w:rFonts w:ascii="Arial" w:cs="Arial" w:eastAsia="Arial" w:hAnsi="Arial"/>
                <w:sz w:val="18"/>
                <w:szCs w:val="18"/>
                <w:color w:val="auto"/>
              </w:rPr>
              <w:t>TX</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Killdeer</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Stanley House</w:t>
            </w:r>
          </w:p>
        </w:tc>
        <w:tc>
          <w:tcPr>
            <w:tcW w:w="1820" w:type="dxa"/>
            <w:vAlign w:val="bottom"/>
          </w:tcPr>
          <w:p>
            <w:pPr>
              <w:spacing w:after="0"/>
              <w:rPr>
                <w:sz w:val="20"/>
                <w:szCs w:val="20"/>
                <w:color w:val="auto"/>
              </w:rPr>
            </w:pPr>
            <w:r>
              <w:rPr>
                <w:rFonts w:ascii="Arial" w:cs="Arial" w:eastAsia="Arial" w:hAnsi="Arial"/>
                <w:sz w:val="18"/>
                <w:szCs w:val="18"/>
                <w:color w:val="auto"/>
              </w:rPr>
              <w:t>ND</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Rooms</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b w:val="1"/>
                <w:bCs w:val="1"/>
                <w:color w:val="auto"/>
                <w:w w:val="79"/>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829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Sold in January 2016.</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had four open camps in the U.S. comprised of 976 rooms as of December 31, 2015. We sold one of our camps in January 2016. Our Stanley House and Killdeer Lodge, which we opened in October 2013, provide accommodations support to the Bakken Shale region in North Dakota. Our West Permian Lodge supports the Permian Basin in West Texas.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Construction and Manufacturing</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part of our integrated business model in North America, we utilize a flexible modular construction and manufacturing strategy that combines internal manufacturing capabilities and outsourced manufacturing partners to allow us to respond quickly to changing customer needs and timing. As of December 31, 2015, we own one modular construction and manufacturing plant near Edmonton, Alberta, Canada. Our U.S. modular construction facility in Johnstown, Colorado was closed during the first quarter of 2015 and sold in the fourth quarter of 2015. In Australia, accommodation rooms are sourced from third-party manufacturers. Our Canadian facility specializes in the design, engineering, production, transportation and installation of a variety of modular buildings, predominately for our own use. In Canada, we have a staff of engineers and architects who have designed and delivered large and small projects.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design accommodations facilities to suit the climate, terrain and population of a specific project site.</w:t>
      </w:r>
    </w:p>
    <w:p>
      <w:pPr>
        <w:spacing w:after="0" w:line="182"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While we have traditionally focused our manufacturing efforts on our internal needs, from time to time we sell units to third parties. Revenues from the sale of accommodation units to third parties has been a small portion of our revenue and is included in “Other Revenue” in our Canadian and U.S. segments. We have not historically sold units to third parties in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Relations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Partnering with local and aboriginal communities is part of our long term strategy. In our Canadian operations, we have worked proactively with local aboriginal communities to develop mutually beneficial and long-term partnerships focused on employment, training, business development and community investments. For over a decade, our Canadian operations have supported two joint ventures, Buffalo Metis Catering and Metis Catering JV, with five Metis communities in the Regional Municipality of Wood Buffalo, to provide catering and housekeeping services at our lodges. Our efforts in this area were recognized in 2011 and 2012 through Alberta Chamber of Commerce industry awards of recognition for excellence in aboriginal relations business practices. During 2015, Civeo entered into partnerships with two First Nations in the northern Athabasca oil sands region and one in the southern Athabasca oil sands region.</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9" w:name="page20"/>
    <w:bookmarkEnd w:id="19"/>
    <w:p>
      <w:pPr>
        <w:ind w:right="20" w:firstLine="324"/>
        <w:spacing w:after="0" w:line="255" w:lineRule="auto"/>
        <w:rPr>
          <w:sz w:val="20"/>
          <w:szCs w:val="20"/>
          <w:color w:val="auto"/>
        </w:rPr>
      </w:pPr>
      <w:r>
        <w:rPr>
          <w:rFonts w:ascii="Arial" w:cs="Arial" w:eastAsia="Arial" w:hAnsi="Arial"/>
          <w:sz w:val="18"/>
          <w:szCs w:val="18"/>
          <w:color w:val="auto"/>
        </w:rPr>
        <w:t>In Australia, our community relations program also aims to build and maintain a social license to operate in regional communities by delivering consultation and engagement from project inception, through development, construction and operations. This is a major advantage for our business model as it ensures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Competitors</w:t>
      </w:r>
    </w:p>
    <w:p>
      <w:pPr>
        <w:spacing w:after="0" w:line="22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2015 were Imperial Oil Limited (a company controlled by ExxonMobil Corporation), Fort Hills Energy LP (a partnership between Suncor Energy Inc., Total E&amp;P Canada Ltd and Teck Resources Limited) and BM Alliance Coal Operations Pty Ltd (an alliance between BHP Billiton and Mitsubishi), who each accounted for more than 10% of our 2015 revenues.</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primary competitors in Canada in the open and mobile camp accommodations include ATCO, Black Diamond, Horizon North, Noralta Lodge and Clean Harbors, Inc. Some of these competitors have one or two locations similar to our oil sands lodges; however, based on our estimates, these competitors do not have the breadth or scale of our lodge operations. In Canada, we also compete against Aramark and Compass Group for facility management services.</w:t>
      </w:r>
    </w:p>
    <w:p>
      <w:pPr>
        <w:spacing w:after="0" w:line="147"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Our primary competitors in Australia to our village accommodations are Ausco Modular (a subsidiary of Algeco Scotsman) and Fleetwood Corporation. We also compete against Aramark, Sodexo and Compass Group for facility management services.</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In the U.S., we primarily offer our open camp and mobile camps accommodations and compete against Stallion Oilfield Holdings, Inc., Target Logistics Management LLC (a subsidiary of Algeco Scotsman Global S.a.r.l.), HB Rentals (a subsidiary of Superior Energy Services) and Black Diamond.</w:t>
      </w:r>
    </w:p>
    <w:p>
      <w:pPr>
        <w:spacing w:after="0" w:line="124"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Historically, many customers have invested in their own accommodations. Management estimates that our existing and potential customers own approximately 50% of the rooms available in the Canadian oil sands and 60% of the rooms in the Australian coal mining regions.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Lodge and Village Contracts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During the year ended December 31, 2015, revenues from our lodges and villages represented over 75% of our consolidated revenues. Our customers typically contract for accommodations services under take-or-pay contracts with terms that most often range from several months to five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 termination fee. As of December 31, 2015, we had 36% of our rentable rooms committed for 2016 and 19% of our rentable rooms committed for 2017, respectively.</w:t>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20" w:name="page21"/>
    <w:bookmarkEnd w:id="20"/>
    <w:p>
      <w:pPr>
        <w:ind w:firstLine="324"/>
        <w:spacing w:after="0" w:line="277" w:lineRule="auto"/>
        <w:rPr>
          <w:sz w:val="20"/>
          <w:szCs w:val="20"/>
          <w:color w:val="auto"/>
        </w:rPr>
      </w:pPr>
      <w:r>
        <w:rPr>
          <w:rFonts w:ascii="Arial" w:cs="Arial" w:eastAsia="Arial" w:hAnsi="Arial"/>
          <w:sz w:val="18"/>
          <w:szCs w:val="18"/>
          <w:color w:val="auto"/>
        </w:rPr>
        <w:t>As of December 31, 2015, we had 7,019 rooms under contract, or 38% of our rentable rooms, respectively. The table below details the expiration of those contracts: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Contracted</w:t>
            </w: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Room Expiration</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2017</w:t>
            </w:r>
          </w:p>
        </w:tc>
        <w:tc>
          <w:tcPr>
            <w:tcW w:w="1540" w:type="dxa"/>
            <w:vAlign w:val="bottom"/>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2019</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contracts expire throughout the year, and for many of the near term expirations, we are in the process of negotiating extensions or new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can renew existing contracts or obtain new business on the same or better terms, if at 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Operations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operations are directly affected by seasonal weather. A portion of our Canadian operations is conducted during the winter months when the winter freeze in remote regions is required for customers’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and Rocky Mountain operations. Our U.S. offshore operations have historically been impacted by the Gulf of Mexico hurricane season from July through November.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of December 31, 2015, we had approximately 1,900 full-time employees on a consolidated basis, 72% of whom are in Canada, 21% of whom are in Australia and 7% of whom are in the U.S. We were party to collective bargaining agreements covering approximately 900 employees located in Canada and 140 employees located in Australia as of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Our business is significantly affected by foreign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spacing w:after="0" w:line="14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compliance costs or additional operating restrictions associated with our operations or our customers’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increased costs to our business or our customers’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for oil, natural gas, and other natural resources that our customers produce;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for our services.</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1" w:name="page22"/>
    <w:bookmarkEnd w:id="21"/>
    <w:p>
      <w:pPr>
        <w:ind w:right="20" w:firstLine="324"/>
        <w:spacing w:after="0" w:line="288" w:lineRule="auto"/>
        <w:rPr>
          <w:sz w:val="20"/>
          <w:szCs w:val="20"/>
          <w:color w:val="auto"/>
        </w:rPr>
      </w:pPr>
      <w:r>
        <w:rPr>
          <w:rFonts w:ascii="Arial" w:cs="Arial" w:eastAsia="Arial" w:hAnsi="Arial"/>
          <w:sz w:val="16"/>
          <w:szCs w:val="16"/>
          <w:color w:val="auto"/>
        </w:rPr>
        <w:t>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financial condition, results of operations or cash flows. However,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Environmental Regulations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Canada, the Federal Government in September 2010 appointed an Oil Sands Advisory Panel to review and comment upon existing scientific studies and literature regarding water monitoring in the Lower Athabasca region and provide recommendations for improving such monitoring. The Oil Sands Advisory Panel presented its final report to the Minister of the Environment in December 2010. In response to this report, Environment Canada, with input from the government of Alberta through Alberta Environment and Sustainable Resource Development, developed an environmental monitoring plan specific to the oil sands with respect to water, air quality and biodiversity. Further, in January 2011, the Province of Alberta established a Provincial Environmental Monitoring Panel with a mandate to recommend a world class environmental evaluation, monitoring and reporting system, generally for the Province and specifically for the lower Athabasca Region where oil sands are produced. This panel issued its recommendations to the Alberta Minister of the Environment in July 2011. In February 2012, the governments of Canada and Alberta released the Joint Canada-Alberta Implementation Plan for Oil Sands Monitoring. Implementation of the plan commenced in 2012 and will be completed in 2015. The costs of implementing this plan are funded by industry members to a maximum of $50 million annually, some of whom are our customers. The Oil Sands Environmental Monitoring Program Regulation came into force in 2013, enabling the collection of monitoring fees from certain of our customers for the plan. In 2013-2014, enhancements to the environmental monitoring system were made and processes and governance structures and funding mechanisms to support oil sands monitoring were successfully established. As this monitoring regime continues to be implemented, the increased levels of monitoring and enforcement may increase costs for us and our customers and could reduce activity and demand for our services.</w:t>
      </w:r>
    </w:p>
    <w:p>
      <w:pPr>
        <w:spacing w:after="0" w:line="18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Further, the Province of Alberta released its new Renewed Clean Air Strategy in October 2012, which it is in the process of implementing for, at minimum, a 10-year period, beginning in 2013. The implementation of this strategy along with Alberta’s continued implementation of its regulatory changes to oil and oil sands regulation may result in additional costs or liabilities for our customers’ operations.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2014, the Canadian government announced proposed new regulations to impose mandatory emissions standards for industry. The proposed standards will impact nitrous oxide (NOx) and Sulphur dioxide (SO2) emissions from regulated boilers and stationary engines. These regulations have not yet been passed but if passed, could affect the oil and gas sector as they will impact emission performance standards for compressors and boilers used in conventional and steam assisted gravity operations in the oil sands.</w:t>
      </w:r>
    </w:p>
    <w:p>
      <w:pPr>
        <w:spacing w:after="0" w:line="18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Scientific studies have suggested that emissions of greenhouse gases (GHG),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if ever, is currently uncertain. Pursuant to the Copenhagen Accord process, Canada has indicated an economy-wide GHG emissions target that equates to a 17 per cent reduction from 2005 levels by 2020, and the former Canadian Conservative federal government indicated an objective of reducing overall Canadian GHG emissions by 60% to 70% from 2006 levels by 2050. However, with current climate change measures in place, Canada’s GHG emissions are forecast to be almost exactly at 2005 levels by 2020 and federal regulations for the oil and gas sector have yet to be introduced.</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2" w:name="page23"/>
    <w:bookmarkEnd w:id="22"/>
    <w:p>
      <w:pPr>
        <w:ind w:right="40" w:firstLine="324"/>
        <w:spacing w:after="0" w:line="287" w:lineRule="auto"/>
        <w:rPr>
          <w:sz w:val="20"/>
          <w:szCs w:val="20"/>
          <w:color w:val="auto"/>
        </w:rPr>
      </w:pPr>
      <w:r>
        <w:rPr>
          <w:rFonts w:ascii="Arial" w:cs="Arial" w:eastAsia="Arial" w:hAnsi="Arial"/>
          <w:sz w:val="16"/>
          <w:szCs w:val="16"/>
          <w:color w:val="auto"/>
        </w:rPr>
        <w:t>In December 2015, 195 nations, including Canada, Australia, and the U.S., adopted the Paris Agreement at the 21st “Conference of the Parties” (COP 21). The Paris Agreement does not set legally binding emission reduction targets but does set a goal of limiting global temperature increases to less than 2° Celsius. Canada announced that it is in favor of the decision of the COP 21 to endeavor to take action to further limit global temperature increases to less than 1.5° Celsius. The Paris Agreement also requires parties to submit Intended Nationally Determined Contributions (INDCs) which set out their emission reduction targets and to renew these INDCs, with the goal of increasing the reductions, every five years. The Paris Agreement does not legally bind the parties to reach their INDCs, nor does it prescribe the measures it must take to achieve them. These measures are left to each participating nation. However, participating nations must submit their INDCs every five years. Canada has not implemented any new regulations to achieve its INDC and is scheduled to meet with representatives of the provincial governments by mid-March 2016 to determine an agreed upon approach for Canada to obtain its INDC. It is expected that the new liberal federal government may commit to a more ambitious INDC than the preceding conservative federal government. Without new regulation from the federal government yet in place, it is not possible to determine the impact that implementation of new federal or provincial regulatory changes could have, but they may result in additional costs or liabilities for our customers’ operations.</w:t>
      </w:r>
    </w:p>
    <w:p>
      <w:pPr>
        <w:spacing w:after="0" w:line="17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Additionally, GHG regulation can take place at the provincial and municipal level. For example, Alberta’s Climate Change and Emissions Management Act provides a framework for managing GHG emissions by reducing specified gas emissions, relative to total production from facilities that emit over 100,000 tons of carbon dioxide equivalent per year. The accompanying regulation, the Specified Gas Emitters Regulation, requires mandatory emissions reductions through the use of emissions intensity targets, and a company can meet the applicable emissions limits by making emissions intensity improvements at regulated facilities, offsetting GHG emissions by purchasing offset credits or emission performance credits in the open market or acquiring “fund credits” (akin to allowances) by making payments for each ton of GHG emissions over the required reduction target to the Alberta Climate Change and Emissions Management Fund. In June, 2015, the government of Alberta amended the Specified Gas Emitters Regulation to increase the price per fund credit from $15 to $20 per credit in 2016 and to $30 per credit in 2017. In addition, the amended Specified Gas Emitter Regulation also increased the required emission reductions for regulated facilities from 12% below an established baseline in 2015 to 15% in 2016 and 20% in 2017. These amendments are likely to significantly increase the cost of compliance for our customers. There are financial penalties for non-compliance for every ton of carbon dioxide equivalent over a facility’s net emission intensity limit as well as for contraventions of other provisions contained in the Specified Gas Emitters Regulation. Further, the Specified Gas Reporting Regulation imposes GHG emissions reporting requirements on a company that has GHG emissions of 50,000 tons or more of carbon dioxide equivalent from a facility in a calendar year. In addition, Alberta facilities must currently report emissions of industrial air pollutants and comply with obligations in approvals and under other environmental regulations.</w:t>
      </w:r>
    </w:p>
    <w:p>
      <w:pPr>
        <w:spacing w:after="0" w:line="18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addition to the amendments to the Specified Gas Emitters Regulation discussed above, the government of Alberta announced a new Climate Leadership Plan (the CLP) in November 2015 that is intended to replace the current Specified Gas Emitter Regulation in 2018. It has broader application than the Specified Gas Emitters Regulation and is intended to cover 78-90% of emissions, largely by putting a levy on emissions from the combustion of all fossil fuels, with limited exceptions. This is expected to be implemented at the fuel distributor level, so that it will add to the cost of most fossil based fuels. The CLP also targets the phasing out of coal generated electricity (or the emissions therefrom) by 2030. It also targets a 45% reduction in methane emissions from oil and gas operations by 2025. It is not certain how this will be achieved, but it is contemplated that new performance standards emissions from equipment will be incentivized and potentially mandated. Lastly, the CLP contemplates a cap on oil sands emissions at 100 million tonnes a year. The regulations to implement the CLP are anticipated in late 2016 and expected to be effective in 2017. The combination of the announced carbon levy and coal phase out is expected to increase fuel and electricity prices, which could have an impact on our operating costs. The direct and indirect costs of these regulatory changes may adversely affect our operations and financial results as well as those of our customers with whom we conduct business.</w:t>
      </w:r>
    </w:p>
    <w:p>
      <w:pPr>
        <w:spacing w:after="0" w:line="16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July 2008, the province of British Columbia implemented a revenue neutral carbon tax of $10 per tonne, which graduated to the final scheduled increase to $30 per tonne in July 2012. The carbon tax is imposed at the fuel distributor level to encourage fuel consumers to use less fossil fuel and reduce their greenhouse gas emissions. The government of British Columbia has not announced any intentions to increase the carbon tax, but could do so in the future.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right="160" w:firstLine="324"/>
        <w:spacing w:after="0" w:line="279" w:lineRule="auto"/>
        <w:rPr>
          <w:sz w:val="20"/>
          <w:szCs w:val="20"/>
          <w:color w:val="auto"/>
        </w:rPr>
      </w:pPr>
      <w:r>
        <w:rPr>
          <w:rFonts w:ascii="Arial" w:cs="Arial" w:eastAsia="Arial" w:hAnsi="Arial"/>
          <w:sz w:val="17"/>
          <w:szCs w:val="17"/>
          <w:color w:val="auto"/>
        </w:rPr>
        <w:t>To ensure that it meets its INDC commitments under the Paris Agreement, the Canadian federal government may elect to impose further regulation on GHG emissions and may wish to enter into equivalency agreements with provinces to establish a consistent regulatory regime for GHGs. However, the federal government’s determination is currently uncertain and could possibly result in overlapping levels of regulation. The direct and indirect costs of these regulations may adversely affect our operations and financial results as well as those of our customers.</w:t>
      </w:r>
    </w:p>
    <w:p>
      <w:pPr>
        <w:spacing w:after="0" w:line="22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Finally, it should be noted that some scientists have concluded that increasing concentrations of GHGs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financial condition and results of operations.</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Canadian Species at Risk Act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The designation of previously unprotected species as threatened or endangered in areas of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Canadian Regulations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June 2015, the government of Alberta announced that it would strike a panel to review and recommend changes to Alberta’s oil and gas royalty framework. The government released the panel’s report on January 29, 2016. The four overarching recommendations made by the panel were to (1) establish guiding principles and design criteria for Alberta’s royalty framework; (2) modernize the royalty framework for crude oil, liquids and natural gas; (3) enhance the royalty process for oil sands; and (4) seize opportunities for value-added processing. It is expected that the government will implement legislation and regulatory changes in the coming months to give effect to the panel’s recommendations. Until these legislative and regulatory changes are implemented, the panel’s recommendations will not have the effect of law. Until the legislative and regulatory changes are announced, it is difficult to say what the impact on our customers will be and how it will affect our business.</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July 1, 2015, the government of Alberta increased Alberta’s corporate tax rate from 10% to 12%. This increase is expected to have a commensurate impact on our financial results and that of our customers in relation to previous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Environmental Regulations</w:t>
      </w:r>
    </w:p>
    <w:p>
      <w:pPr>
        <w:spacing w:after="0" w:line="283"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Our Australian segment is regulated by general statutory environmental controls at both the state and federal level which may result in land use approval and compliance risk. These controls include: land use and urban design controls; the regulation of hard and liquid waste, including the requirement for tradewaste and/or wastewater permits or licenses; the regulation of water, noise, heat, and atmospheric gases emissions; the regulation of the production, transport and storage of dangerous and hazardous materials (including asbestos); and the regulation of pollution and site contamination. Some specified activities, for example, sewage treatment works, may require regulation at a state level by way of environmental protection licenses which also impose monitoring and reporting obligations on the holder. 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Environmental Regulations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Clean Water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authorized state agencies. Many of our U.S. properties and operations require permits for discharges of wastewater and/or storm water, and we have developed a system for securing and maintaining these permits. In addition, the Oil Pollution Act of 1990, as amended (OPA), imposes a variety of requirements on responsible parties related to the prevention of oil spills and liability for damages, including natural resource damages, resulting from such spills in waters of the U.S. A responsible party under OPA includes the owner or operator of an onshore facility or vessel, or the lessee or permittee of the area in which an offshore facility is located. The Clean Water Act and analogous state laws provide for administrative, civil and criminal penalties for unauthorized discharges and, together with the OPA, require the development and implementation of spill prevention and response plans and impose liability for the remedial costs and associated damages arising out of any unauthorized discharges.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firstLine="324"/>
        <w:spacing w:after="0" w:line="270" w:lineRule="auto"/>
        <w:rPr>
          <w:sz w:val="20"/>
          <w:szCs w:val="20"/>
          <w:color w:val="auto"/>
        </w:rPr>
      </w:pPr>
      <w:r>
        <w:rPr>
          <w:rFonts w:ascii="Arial" w:cs="Arial" w:eastAsia="Arial" w:hAnsi="Arial"/>
          <w:sz w:val="17"/>
          <w:szCs w:val="17"/>
          <w:color w:val="auto"/>
        </w:rPr>
        <w:t>The EPA has adopted rules requiring the monitoring and reporting of GHG emissions from specified large GHG emission sources in the U.S., including, offshore and onshore oil and natural gas production facilities, on an annual basis. In addition, the EPA has proposed new regulations that would further restrict GHG emissions, such as new standards for methane and volatile organic compound (VOC) emissions from oil and gas sources, which the EPA proposed in September 2015. In February 2016, the Bureau of Land Management (BLM) proposed new regulations to reduce “waste” of natural gas—of which methane is a primary constituent—from venting, flaring and leaks during oil and natural gas production activities on onshore federal and Indian lands. In October 2015, the EPA finalized the Clean Power Plan, which imposes additional obligations on the power generation sector to reduce GHG emissions. However, on February 9, 2016, the U.S. Supreme Court stayed implementation of the Clean Power Plan pending resolution of legal challenges to the rule. While our operations are not directly affected by these actions, their impact on our oil and natural gas exploration and production customers could result in a decreased demand for the services that we provide.</w:t>
      </w:r>
    </w:p>
    <w:p>
      <w:pPr>
        <w:spacing w:after="0" w:line="23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Although it is not possible at this time to predict how legislation or new regulations that may be adopted to address GHG emissions would impact our business, any such future laws and regulations could require us or our customers to incur increased operating costs, such as costs to purchase and operate emissions control systems, to acquire emission allowances or comply with new regulatory or reporting requirements. Any such legislation or regulatory programs could also increase the cost of consuming, and thereby reduce demand for oil and natural gas, which could reduce our customers’ demand for our services. Consequently, legislation and regulatory programs to reduce GHG emissions could have an adverse effect on our business, financial condition and results of operations.</w:t>
      </w:r>
    </w:p>
    <w:p>
      <w:pPr>
        <w:spacing w:after="0" w:line="221"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 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5" w:name="page26"/>
    <w:bookmarkEnd w:id="25"/>
    <w:p>
      <w:pPr>
        <w:ind w:right="80" w:firstLine="324"/>
        <w:spacing w:after="0" w:line="257" w:lineRule="auto"/>
        <w:rPr>
          <w:sz w:val="20"/>
          <w:szCs w:val="20"/>
          <w:color w:val="auto"/>
        </w:rPr>
      </w:pPr>
      <w:r>
        <w:rPr>
          <w:rFonts w:ascii="Arial" w:cs="Arial" w:eastAsia="Arial" w:hAnsi="Arial"/>
          <w:sz w:val="18"/>
          <w:szCs w:val="18"/>
          <w:color w:val="auto"/>
        </w:rPr>
        <w:t>The federal Endangered Species Act, as amended (ESA), restricts activities in the U.S. that may affect endangered or threatened species or their habitats. If endangered species are located in areas of the U.S.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listings of more than 250 species as endangered or threatened under the ESA before the end of the agency’s 2017 fiscal year.</w:t>
      </w:r>
    </w:p>
    <w:p>
      <w:pPr>
        <w:spacing w:after="0" w:line="242"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The designation of previously unprotected species as threatened or endangered in areas of the U.S.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Hydraulic fracturing is a process sometimes used to stimulate production of hydrocarbons from tight formations. The process involves the injection of water, sand and chemicals under pressure into formations to fracture the surrounding rock and stimulate production. Hydraulic fracturing is typically regulated by state oil and natural gas regulators, but EPA has asserted federal regulatory authority pursuant to the Safe Drinking Water Act (SDWA) over, and issued permitting guidance in February 2014 for, certain hydraulic fracturing activities involving the use of diesel fuels. In May 2014, EPA issued an advance notice of proposed rulemaking seeking comment on the development of regulations under the Toxic Substances Control Act (TSCA) to require companies to disclose information regarding the chemicals used in hydraulic fracturing. In March 2015, BLM issued a final rule that imposes requirements on hydraulic fracturing activities on federal and Indian lands, including new requirements relating to public disclosure, wellbore integrity and handling of flowback water; similar rules have been proposed for hydraulic fracturing activities on National Park and National Wildlife Refuge System lands. However, in September 2015, the U.S. District Court for the District of Wyoming issued a preliminary injunction staying effectiveness of the BLM rule pending resolution of legal challenges to the rule. In addition, Congress has from time to time considered legislation to provide for federal regulation of hydraulic fracturing under the SDWA and to require disclosure of chemicals used in the hydraulic fracturing process. Some states and local governments also have adopted or are considering adopting regulations to restrict or ban hydraulic fracturing in certain circumstances. Moreover, ongoing governmental reviews of the environmental impacts of hydraulic fracturing by EPA and other agencies could lead to further regulation of hydraulic fracturing. While our operations are not directly affected by these actions, their impact on our oil and natural gas exploration and production customers could result in a decreased demand for the services that we provide.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 w:firstLine="189"/>
        <w:spacing w:after="0" w:line="302" w:lineRule="auto"/>
        <w:rPr>
          <w:sz w:val="20"/>
          <w:szCs w:val="20"/>
          <w:color w:val="auto"/>
        </w:rPr>
      </w:pPr>
      <w:r>
        <w:rPr>
          <w:rFonts w:ascii="Arial" w:cs="Arial" w:eastAsia="Arial" w:hAnsi="Arial"/>
          <w:sz w:val="16"/>
          <w:szCs w:val="16"/>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Decreased customer expenditure levels have adversely affected and may continue to adversely affect our results of operations.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Demand for our services is sensitive to the level of exploration, development and production activity of, and the corresponding capital spending by, oil and gas and mining companies. Throughout 2015 and continuing into 2016, our customers’ expenditures have declined significantly due to the long-term decline in commodity prices. If our customers’ expenditures continue to decline in regions where our facilities are located, our business will be further adversely impacted. The oil and gas and mining industries’ willingness to explore, develop and produce depends largely upon the availability of attractive resource prospects and the prevailing view of future commodity prices, which over the past year, has not been positive.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or a continuation of the current depressed commodity price environment, would have material adverse effects on our results of operations.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fourth quarter 2015 and continuing into 2016, global oil prices have dropped to their lowest levels in over 10 years due to concerns over global oil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demand, the economic growth rate in China, the overall economic health of Europe and price cutting by major oil producing countries, such as 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Increasing global supply and higher than normal inventory levels have also negatively impacted pricing. With falling Brent Crude and West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Intermediate (WTI) oil prices, Western Canadian Select (WCS) has also fallen. WCS prices in the fourth quarter of 2015 averaged $27.82 per barrel compared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$57.75 per barrel in the fourth quarter of 2014 and $73.48 per barrel in 2013. As of February 19, 2016, the WTI price was $29.64, and the WCS price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$19.20. In addition, met coal prices have decreased materially from approximately $119/metric ton as of December 31, 2014 to approximately $89/metric ton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2015 due to a declining demand for steel and the impact of a stronger U.S. dollar. As of February 19, 2016, met coal prices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$81/metric ton. Commodity prices, particularly with respect to the oil sands and Australian met coal production, could continue to deteriorate. The existing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commodity price environment has significantly depressed exploration, development, and production activity. A sustained continuation of these prices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further deterioration is likely to continue to depress activity levels, often reflected as reductions in employees or resource production, and have a material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adverse effect on our financial position, results of operations or cash flows.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right="40" w:firstLine="324"/>
        <w:spacing w:after="0" w:line="264" w:lineRule="auto"/>
        <w:rPr>
          <w:sz w:val="20"/>
          <w:szCs w:val="20"/>
          <w:color w:val="auto"/>
        </w:rPr>
      </w:pPr>
      <w:r>
        <w:rPr>
          <w:rFonts w:ascii="Arial" w:cs="Arial" w:eastAsia="Arial" w:hAnsi="Arial"/>
          <w:sz w:val="18"/>
          <w:szCs w:val="18"/>
          <w:color w:val="auto"/>
        </w:rPr>
        <w:t>Additionally, significant new regulatory requirements, including climate change legislation, could have an impact on the demand for and the cost of producing oil, coal and natural gas in the regions where we operate. Many factors affect the supply of and demand for oil, coal, natural gas and other minerals and, therefore, influence product prices, including: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global level of demand, particularly from China, for coal and other natural resources produced in Australia;</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economically attractive oil and natural gas field prospects, which may be affected by governmental actions or environmental activists which may restrict development;</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transportation infrastructure for oil, natural gas, LNG and coal, refining capacity and shifts in end-customer preferences toward fuel efficiency and the use of natural gas;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economic activity including growth in developing countries, such as China and India;</w:t>
      </w:r>
    </w:p>
    <w:p>
      <w:pPr>
        <w:spacing w:after="0" w:line="225"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oil and gas production by non-OPEC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 technological change and the timing and extent of energy resource development, including LNG or other alternative fuels;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regulation;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and foreign tax policies.</w:t>
      </w:r>
    </w:p>
    <w:p>
      <w:pPr>
        <w:spacing w:after="0" w:line="25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customers, renew our existing customer contracts and obtain new customer contracts, or the termination of existing contracts, could adversely affect our business.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 cease operations, elect to self-operate or terminate contracts with us. Because global oil prices dropped to their lowest level in over 10 years in the first quarter of 2016 and met coal prices have continued to decline, our customers may not renew contracts on terms favorable to us or, in some cases, at all, and we may have difficulty obtaining new business. Additionally, several contracts have clauses that allow termination upon the payment of a termination fee. As a result, our customers may choose to terminate their contracts. The likelihood that a customer may seek to terminate a contract is increased during periods of market weakness like those we are currently experiencing. Further, certain of our customers may not reach positive final investment decisions on projects with respect to which we have been awarded contracts to provide related accommodation, which may cause those customers to terminate the contracts. Customer contract cancellations, the failure to renew a significant number of our existing contracts or the failure to obtain new business would have a material adverse effect on our business and results of operations.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ind w:firstLine="324"/>
        <w:spacing w:after="0" w:line="277" w:lineRule="auto"/>
        <w:rPr>
          <w:sz w:val="20"/>
          <w:szCs w:val="20"/>
          <w:color w:val="auto"/>
        </w:rPr>
      </w:pPr>
      <w:r>
        <w:rPr>
          <w:rFonts w:ascii="Arial" w:cs="Arial" w:eastAsia="Arial" w:hAnsi="Arial"/>
          <w:sz w:val="18"/>
          <w:szCs w:val="18"/>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Should gross domestic product growth in China slow further or contract, demand for oil and metallurgical coal and, correspondingly, our accommodations would fall, which would negatively impact our financial results.</w:t>
      </w:r>
    </w:p>
    <w:p>
      <w:pPr>
        <w:spacing w:after="0" w:line="16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Because global oil prices dropped to their lowest level in over 10 years in the first quarter of 2016 and met coal prices have continued to decline, our customers have reduced or deferred, and may continue to reduce or defer, major expenditures, particularly in Canada and Australia, given the long-term nature of many large scale development projects, adversely affecting our revenues and profitability. In Canada, WCS crude is the benchmark price for our oil sands accommodations’ customers. Historically, WCS has traded at a discount to WTI. Should the price of WTI decline or the WCS discount to WTI widen further, our oil sands customers may delay or eliminate additional investments, further reduce their spending in the oil sands region or curtail or shut-down additional existing operations.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No assurance can be given regarding future volumes or prices relating to the activities of our customers. We have experienced in the past, and expect to experience in the future, significant fluctuations in operating results based on these changes.</w:t>
      </w:r>
    </w:p>
    <w:p>
      <w:pPr>
        <w:spacing w:after="0" w:line="17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addition, the carrying value of our lodges or villages could be reduced by extended periods of limited or no activity by our customers, which has required us to record impairment charges equal to the excess of the carrying value of the lodges or villages over fair value. We recorded impairments of our long-lived assets, including intangibles, of $79.7 million and $87.8 million in 2015 and 2014, respectively. We also recorded goodwill impairments of $43.2 million and $202.7 million in 2015 and 2014, respectively. We may incur additional asset impairment charges in the future, which charges will affect negatively our results of operations and financial condition.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 rate fluctuations could adversely affect our U.S. dollar reported results of operations and financial position.</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our reported revenues, net income and cash flows depending upon exchange rate movements. For the year ended December 31, 2015, 93%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and cash flows. Any currency controls implemented by local monetary authorities in countries where we currently operate could also adversely affect our business, financial condition and results of operations.</w:t>
      </w:r>
    </w:p>
    <w:p>
      <w:pPr>
        <w:spacing w:after="0" w:line="19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functional currency is the U.S. dollar, and we are exposed to currency exchange risk primarily between the U.S. dollar and the Canadian and Australian dollars. We may attempt to limit the risks of currency fluctuation where possible by entering into financial instruments to protect against foreign currency exposure. Our efforts to limit exchange risks may be unsuccessful, thereby exposing us to foreign currency fluctuations that could cause our results of operations, financial condition and cash flows to deteriorate.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28" w:name="page29"/>
    <w:bookmarkEnd w:id="28"/>
    <w:p>
      <w:pPr>
        <w:ind w:left="340"/>
        <w:spacing w:after="0"/>
        <w:rPr>
          <w:sz w:val="20"/>
          <w:szCs w:val="20"/>
          <w:color w:val="auto"/>
        </w:rPr>
      </w:pPr>
      <w:r>
        <w:rPr>
          <w:rFonts w:ascii="Arial" w:cs="Arial" w:eastAsia="Arial" w:hAnsi="Arial"/>
          <w:sz w:val="15"/>
          <w:szCs w:val="15"/>
          <w:b w:val="1"/>
          <w:bCs w:val="1"/>
          <w:i w:val="1"/>
          <w:iCs w:val="1"/>
          <w:color w:val="auto"/>
        </w:rPr>
        <w:t>We do business in Canada and Australia, whose political and regulatory environments and compliance regimes differ from those in the United States</w:t>
      </w:r>
      <w:r>
        <w:rPr>
          <w:rFonts w:ascii="Arial" w:cs="Arial" w:eastAsia="Arial" w:hAnsi="Arial"/>
          <w:sz w:val="15"/>
          <w:szCs w:val="15"/>
          <w:i w:val="1"/>
          <w:iCs w:val="1"/>
          <w:color w:val="auto"/>
        </w:rPr>
        <w:t>.</w:t>
      </w:r>
    </w:p>
    <w:p>
      <w:pPr>
        <w:spacing w:after="0" w:line="26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 significant portion of our revenue is attributable to operations in Canada and Australia. These activities accounted for 93% of our consolidated revenue in the year ended December 31, 2015. Risks associated with our operations in Canada and Australia include, but are not limited to:</w:t>
      </w:r>
    </w:p>
    <w:p>
      <w:pPr>
        <w:spacing w:after="0" w:line="14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taxing regimes;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political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international and U.S. monetary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economic downturns;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expropriation, confiscation or nationalization of assets;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exchange limitations.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regulatory regimes in these countries are substantially different than those in the United States, and are unfamiliar to U.S. investors. Violations of non-U.S. laws could result in monetary and criminal penalties against us or our subsidiaries and could damage our reputation and, therefore, our ability to do business.</w:t>
      </w:r>
    </w:p>
    <w:p>
      <w:pPr>
        <w:spacing w:after="0" w:line="18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b w:val="1"/>
          <w:bCs w:val="1"/>
          <w:i w:val="1"/>
          <w:iCs w:val="1"/>
          <w:color w:val="auto"/>
        </w:rPr>
        <w:t>All but one of our major Canadian lodges are located on land subject to leases. If we are unable to renew a lease, we could be materially and adversely affected.</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All but one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2016 and 2026 unless extended. We can provide no assurances that we will be able to renew our leases upon expiration on similar terms, or at all. If we are unable to renew leases on similar terms, it may have an adverse effect on our business.</w:t>
      </w:r>
    </w:p>
    <w:p>
      <w:pPr>
        <w:spacing w:after="0" w:line="16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 and our geographic concentration could limit the number of customers seeking our services.</w:t>
      </w:r>
    </w:p>
    <w:p>
      <w:pPr>
        <w:spacing w:after="0" w:line="18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Because of the concentration of our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oil sands lodges. Due to our geographic concentration, any adverse events or developments in our operating areas may disproportionately affect our financial results.</w:t>
      </w:r>
    </w:p>
    <w:p>
      <w:pPr>
        <w:spacing w:after="0" w:line="15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addition, a limited number of companies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5"/>
          <w:szCs w:val="15"/>
          <w:b w:val="1"/>
          <w:bCs w:val="1"/>
          <w:i w:val="1"/>
          <w:iCs w:val="1"/>
          <w:color w:val="auto"/>
        </w:rPr>
        <w:t>Development of permanent infrastructure in the Canadian oil sands region, the west coast of British Columbia, regions of Australia or various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locations where we locate our assets could negatively impact our business.</w:t>
      </w:r>
    </w:p>
    <w:p>
      <w:pPr>
        <w:spacing w:after="0" w:line="21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We specialize in providing housing and personnel logistics for work forces in remote areas which often lack the infrastructure typically available in nearby towns and cities. If permanent towns, cities and municipal infrastructure develop, grow or otherwise become available in the oil sands region of northern Alberta, Canada, the west coast of British Columbia or regions of Australia where we locate villages, then demand for our accommodations could decrease as customer employees move to the region and choose to utilize permanent housing and food services.</w:t>
      </w:r>
    </w:p>
    <w:p>
      <w:pPr>
        <w:spacing w:after="0" w:line="19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b w:val="1"/>
          <w:bCs w:val="1"/>
          <w:i w:val="1"/>
          <w:iCs w:val="1"/>
          <w:color w:val="auto"/>
        </w:rPr>
        <w:t>We depend on several significant customers. The loss of one or more such customers or the inability of one or more such customers to meet their obligations to us could adversely affect our results of operations.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depend on several significant customers. The majority of our customers operate in the energy or mining industry. For a more detailed explanation of our customers, see “Business” in Item 1.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require collateral in support of our trade receivables.</w:t>
      </w:r>
    </w:p>
    <w:p>
      <w:pPr>
        <w:spacing w:after="0" w:line="19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Throughout 2015 and continuing into 2016, commodity prices have declined significantly, and the capital markets and availability of credit have been constrained. Additionally, many of our customers’ equity values have declined and could decline further. The combination of lower cash flow due to commodity prices, a reduction in borrowing bases under reserve-based credit facilities and the lack of available debt or equity financing may continue to result in a significant reduction in our customers’ liquidity and could impair their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susceptible to seasonal earnings volatility due to adverse weather conditions in our regions of operations.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b w:val="1"/>
          <w:bCs w:val="1"/>
          <w:i w:val="1"/>
          <w:iCs w:val="1"/>
          <w:color w:val="auto"/>
        </w:rPr>
        <w:t>Our customers are exposed to a number of unique operating risks and challenges which could also adversely affect us.</w:t>
      </w:r>
    </w:p>
    <w:p>
      <w:pPr>
        <w:spacing w:after="0" w:line="22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We could be materially adversely affected by disruptions to our clients’ operations caused by any one of or all of the following singularly or in combination:</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and international pricing and demand for the natural resource being produced at a given project (or proposed project);</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problems, higher costs and delays during the development, construction and project start-up which may delay the commencement of production;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and adverse geological, geotechnical, seismic and mining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availability of sufficient water or power to maintain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availability or failure of the required infrastructure necessary to maintain or to expand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breakdown or shortage of equipment and labor necessary to maintain their operations;</w:t>
      </w:r>
    </w:p>
    <w:p>
      <w:pPr>
        <w:spacing w:after="0" w:line="225" w:lineRule="exact"/>
        <w:rPr>
          <w:rFonts w:ascii="Arial" w:cs="Arial" w:eastAsia="Arial" w:hAnsi="Arial"/>
          <w:sz w:val="18"/>
          <w:szCs w:val="18"/>
          <w:color w:val="auto"/>
        </w:rPr>
      </w:pPr>
    </w:p>
    <w:p>
      <w:pPr>
        <w:ind w:left="660" w:right="20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to land titles, mining titles and use thereof as a result of native title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by persons living in close proximity to mining projects, which may have an impact on the consents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to the operations of our customers caused by industrial accidents or disputes;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or failure to commission new infrastructure in timeframes so as not to disrupt customer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adversely affected if customers reduce their accommodations outsourcing.</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business and growth strategies depend in large part on customers outsourcing some or all of the services that we provide.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these customer preferences will continue or that customers that have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6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9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foreign exchange rates and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1" w:name="page32"/>
    <w:bookmarkEnd w:id="31"/>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or comply with government regulations related to food and beverages or serving alcoholic beverages may subject us to liability.</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9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7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land banking strategy may not be successful.</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land banking strategy is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the market price of our securities, which include the following risks:</w:t>
      </w:r>
    </w:p>
    <w:p>
      <w:pPr>
        <w:spacing w:after="0" w:line="1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regions in which we invest may not develop or sustain adequate customer demand;</w:t>
      </w:r>
    </w:p>
    <w:p>
      <w:pPr>
        <w:spacing w:after="0" w:line="225"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incur costs to acquire land and/or construct assets without securing a customer contract or prior to finalization of an accommodations contract with a customer and, if the contract is not obtained or delayed, the resulting impact could result in an impairment of the related investment;</w:t>
      </w:r>
    </w:p>
    <w:p>
      <w:pPr>
        <w:spacing w:after="0" w:line="123"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time between acquisition and use, and depending on adjacent uses of the land, the property may become unusable or require costly remediation efforts due to environmental damage;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financing for development projects on favorable terms or at all;</w:t>
      </w:r>
    </w:p>
    <w:p>
      <w:pPr>
        <w:spacing w:after="0" w:line="225" w:lineRule="exact"/>
        <w:rPr>
          <w:rFonts w:ascii="Arial" w:cs="Arial" w:eastAsia="Arial" w:hAnsi="Arial"/>
          <w:sz w:val="18"/>
          <w:szCs w:val="18"/>
          <w:color w:val="auto"/>
        </w:rPr>
      </w:pPr>
    </w:p>
    <w:p>
      <w:pPr>
        <w:ind w:left="660" w:right="2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or may experience delays in obtaining, all necessary zoning, land-use, building, occupancy and other governmental permits and authorizations, and the issuance of permits is dependent upon a number of factors, including water and waste treatment alternatives available, road traffic volumes and fire conditions in forested areas;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 opportunities that we explore may be abandoned and the related investment impaired;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properties may perform below anticipated levels, producing cash flow below budgeted amounts;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construction costs, total investment amounts and our share of remaining funding may exceed our estimates and projects may not be completed, delivered or stabilized as planned;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delays (temporary or permanent) if there is public, government or aboriginal opposition to our activities;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b w:val="1"/>
          <w:bCs w:val="1"/>
          <w:i w:val="1"/>
          <w:iCs w:val="1"/>
          <w:color w:val="auto"/>
        </w:rPr>
        <w:t>Our business is contract intensive and may lead to customer disputes or delays in receipt of payments.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19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environmental laws and regulations that may require us to take actions that will adversely affect our results of operations.</w:t>
      </w:r>
    </w:p>
    <w:p>
      <w:pPr>
        <w:spacing w:after="0" w:line="170"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5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administrative, civil and criminal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denial or revocation of permits or other authorizations;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or cessation of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site investigatory, remedial or other corrective 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Construction risks exist which may adversely affect our results of operations.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construction activities of our accommodations are partially dependent on the supply of appropriate construction and development opportunities;</w:t>
      </w:r>
    </w:p>
    <w:p>
      <w:pPr>
        <w:spacing w:after="0" w:line="24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18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8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objections to our activities or those of our customers aired by aboriginal or community interests, environment and/or neighborhood groups which may cause delays in the granting or approvals and/or the overall progress of a project;</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where we assume design responsibility, there is a risk that design problems or defects may result in rectification and/or costs or liabilities which we cannot readily recover; and</w:t>
      </w:r>
    </w:p>
    <w:p>
      <w:pPr>
        <w:spacing w:after="0" w:line="17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a risk that we may fail to fulfill our statutory and contractual obligations in relation to the quality of our materials and workmanship, including warranties and defect liability obligations.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5"/>
          <w:szCs w:val="15"/>
          <w:b w:val="1"/>
          <w:bCs w:val="1"/>
          <w:i w:val="1"/>
          <w:iCs w:val="1"/>
          <w:color w:val="auto"/>
        </w:rPr>
        <w:t>The cyclical nature of our business and a severe prolonged downturn has and could in the future negatively affect the value of our long-lived assets.</w:t>
      </w:r>
    </w:p>
    <w:p>
      <w:pPr>
        <w:spacing w:after="0" w:line="26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recorded impairments of our long-lived assets, including intangibles, of $79.7 million and $87.8 million in 2015 and 2014, respectively. We also recorded goodwill impairments of $43.2 million and $202.7 million in 2015 and 2014, respectively.</w:t>
      </w:r>
    </w:p>
    <w:p>
      <w:pPr>
        <w:spacing w:after="0" w:line="1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Extended periods of limited or no activity by our customers at our lodges or villages could require us to record further impairment charges equal to the excess of the carrying value of the lodges or villages over fair value. Although our goodwill balance at December 31, 2015 was fully impaired, we may recognize additional impairment losses on our long-lived assets in the future if, among other factors:</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global economic conditions remain depressed or further deteriorate, including a further decrease in the price of or demand for oil and natural gas;</w:t>
      </w:r>
    </w:p>
    <w:p>
      <w:pPr>
        <w:spacing w:after="0" w:line="248" w:lineRule="exact"/>
        <w:rPr>
          <w:rFonts w:ascii="Arial" w:cs="Arial" w:eastAsia="Arial" w:hAnsi="Arial"/>
          <w:sz w:val="16"/>
          <w:szCs w:val="16"/>
          <w:color w:val="auto"/>
        </w:rPr>
      </w:pPr>
    </w:p>
    <w:p>
      <w:pPr>
        <w:ind w:left="660" w:right="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outlook for future profits and cash flow for our Canadian reporting unit deteriorates as the result of many possible factors, including, but not limited to, increased or unanticipated competition, technology becoming obsolete, need to satisfy changes in customers’ accommodations requirements, further reductions in customer capital spending plans, loss of key personnel, adverse legal or regulatory judgment(s), future operating losses at a reporting unit,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equity or debt capital increase;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valuations for comparable public companies or comparable acquisition valuations deteriorate.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accidental release of pollutants into the environment may cause us to incur significant costs and liabilities.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certain regulatory and financial risks related to climate change.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ind w:right="140" w:firstLine="324"/>
        <w:spacing w:after="0" w:line="259" w:lineRule="auto"/>
        <w:rPr>
          <w:sz w:val="20"/>
          <w:szCs w:val="20"/>
          <w:color w:val="auto"/>
        </w:rPr>
      </w:pPr>
      <w:r>
        <w:rPr>
          <w:rFonts w:ascii="Arial" w:cs="Arial" w:eastAsia="Arial" w:hAnsi="Arial"/>
          <w:sz w:val="18"/>
          <w:szCs w:val="18"/>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increased costs associated with our operations and our customers’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other costs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demand for carbon-based fuels;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demand for our services.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Any adoption of these or similar proposals by Canadian, Australian, U.S. federal, regional, provincial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in Item 1 for a more detailed description of our climate-change related risks.</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w:t>
      </w:r>
    </w:p>
    <w:p>
      <w:pPr>
        <w:spacing w:after="0" w:line="15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key employees of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and attracting new customers of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supply and distribution relationships key to the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administrative burden;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our sales and marketing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impairment resulting from the overpayment for an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tax and foreign exchange exposure;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operating a new line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logistical problems common to large, expansive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pursue and protect patents covering acquired technology.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5" w:name="page36"/>
    <w:bookmarkEnd w:id="35"/>
    <w:p>
      <w:pPr>
        <w:ind w:right="40" w:firstLine="324"/>
        <w:spacing w:after="0" w:line="259" w:lineRule="auto"/>
        <w:rPr>
          <w:sz w:val="20"/>
          <w:szCs w:val="20"/>
          <w:color w:val="auto"/>
        </w:rPr>
      </w:pPr>
      <w:r>
        <w:rPr>
          <w:rFonts w:ascii="Arial" w:cs="Arial" w:eastAsia="Arial" w:hAnsi="Arial"/>
          <w:sz w:val="18"/>
          <w:szCs w:val="18"/>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have adequate insurance for potential liabilities and insurance may not cover certain liabilities, including litigation.</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Oil States’ insurance policies for occurrences prior to the completion of the Spin-off. The specifications and insured limits under those policies, however, may be insufficient for such claims. We also face the following other risks related to our insurance coverage:</w:t>
      </w:r>
    </w:p>
    <w:p>
      <w:pPr>
        <w:spacing w:after="0" w:line="17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continue to obtain insurance on commercially reasonable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counterparties to our insurance contracts may pose credit risks;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incur losses from interruption of our business that exceed our insurance coverage.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operations may suffer due to increased industry-wide capacity of certain types of assets.</w:t>
      </w:r>
    </w:p>
    <w:p>
      <w:pPr>
        <w:spacing w:after="0" w:line="22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demand for and/or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20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addition, we significantly increased our capacity in the Canadian oil sands region over the past eight years and in Australia over the past five years based on our previous expectations for customer demand for accommodations in these areas. However, due to the sustained decline in commodity prices throughout 2015 and continuing into 2016, customer demand for accommodations in those areas has decreased significantly, and we have experienced a corresponding significant decrease in our occupancy and profitability. Should our customers build their own facilities to meet their accommodations needs or our competitors likewise increase their available accommodations, or activity in the oil sands or natural resources regions declines further, demand and/or pricing for our accommodations could further decrease, negatively impacting our profitability.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of key members of our management could adversely affect our business.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b w:val="1"/>
          <w:bCs w:val="1"/>
          <w:i w:val="1"/>
          <w:iCs w:val="1"/>
          <w:color w:val="auto"/>
        </w:rPr>
        <w:t>Employee and customer labor problems could adversely affect us.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December 31, 2015, we were party to collective bargaining agreements covering approximately 900 employees in Canada and 140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 Our current collective bargaining agreements in Canada expire between 2016 and 2019 and in Australia in 2015 and 2016.</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enforcement of civil liabilities against Civeo may be more difficult.</w:t>
      </w:r>
    </w:p>
    <w:p>
      <w:pPr>
        <w:spacing w:after="0" w:line="225"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Civeo is a Canadian company and a substantial portion of its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spacing w:after="0" w:line="14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Our historical combined financial information may not be representative of the results we would have achieved as a stand-alone public company and may not be a reliable indicator of our future results.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historical combined financial information for periods prior to the Spin-off that we have included in this annual report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prior to the Spin-off. The costs and expenses reflected in such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that may be different from the comparable expenses that we would have incurred had we operated as a stand-alone company. These expenses were allocated to us on the basis of direct usage when identifiable, with the remainder allocated based on estimated time spent by Oil States personnel, a pro-rata basis of headcount or other relevant measures of our business and Oil States and its subsidiaries. We have not adjusted our historical combined financial information for periods prior to the Spin-off to reflect changes that occurred in our cost structure and operations as a result of our transition to becoming a stand-alone public company, including increased costs associated with an independent board of directors, SEC reporting and the NYSE requirements. Therefore, our historical financial information for periods prior to the Spin-off may not necessarily be indicative of what our financial position, results of operations or cash flows will be in the future. For additional information, see “Selected Historical Financial Data” in Item 6 and “Management’s Discussion and Analysis of Financial Condition and Results of Operations” in Item 7 and our consolidated financial statements and related notes in Item 8 of this annual report.</w:t>
      </w:r>
    </w:p>
    <w:p>
      <w:pPr>
        <w:spacing w:after="0" w:line="16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We may increase our debt or raise additional capital in the future, which could affect our financial condition, may decrease our profitability or could dilute our shareholders.</w:t>
      </w:r>
    </w:p>
    <w:p>
      <w:pPr>
        <w:spacing w:after="0" w:line="1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shares, the terms of the debt or our preferred shares issued may give the holders rights, preferences and privileges senior to those of holders of our common shares,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b w:val="1"/>
          <w:bCs w:val="1"/>
          <w:i w:val="1"/>
          <w:iCs w:val="1"/>
          <w:color w:val="auto"/>
        </w:rPr>
        <w:t>Our Amended Credit Facility contains operating and financial restrictions that may restrict our business and financing activities.</w:t>
      </w:r>
    </w:p>
    <w:p>
      <w:pPr>
        <w:spacing w:after="0" w:line="225"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Our Amended Credit Facility contains, and any future indebtedness we incur may contain, a number of restrictive covenants that will impose significant operating and financial restrictions on us. The Amended Credit Facility contains customary affirmative and negative covenants that, among other things, limit or restrict (i) subsidiary indebtedness, liens and fundamental changes, (ii) asset sales, (iii) margin stock, (iv) specified acquisitions, (v) restrictive agreements,</w:t>
      </w:r>
    </w:p>
    <w:p>
      <w:pPr>
        <w:ind w:right="40" w:firstLine="8"/>
        <w:spacing w:after="0" w:line="254"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our maximum leverage ratio, defined as the ratio of total debt to consolidated EBITDA, of no greater than 4.0 to 1.0 (as of December 31, 2015).</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permitted level of the maximum leverage ratio changes over time, as illustrated in the table below.</w:t>
      </w:r>
    </w:p>
    <w:p>
      <w:pPr>
        <w:spacing w:after="0" w:line="208" w:lineRule="exact"/>
        <w:rPr>
          <w:sz w:val="20"/>
          <w:szCs w:val="20"/>
          <w:color w:val="auto"/>
        </w:rPr>
      </w:pPr>
    </w:p>
    <w:tbl>
      <w:tblPr>
        <w:tblLayout w:type="fixed"/>
        <w:tblInd w:w="2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6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2"/>
              </w:rPr>
              <w:t>Maximum Leverage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60" w:type="dxa"/>
            <w:vAlign w:val="bottom"/>
          </w:tcPr>
          <w:p>
            <w:pPr>
              <w:spacing w:after="0" w:line="196" w:lineRule="exact"/>
              <w:rPr>
                <w:sz w:val="20"/>
                <w:szCs w:val="20"/>
                <w:color w:val="auto"/>
              </w:rPr>
            </w:pPr>
            <w:r>
              <w:rPr>
                <w:rFonts w:ascii="Arial" w:cs="Arial" w:eastAsia="Arial" w:hAnsi="Arial"/>
                <w:sz w:val="18"/>
                <w:szCs w:val="18"/>
                <w:b w:val="1"/>
                <w:bCs w:val="1"/>
                <w:color w:val="auto"/>
                <w:w w:val="89"/>
              </w:rPr>
              <w:t>Period Ended</w:t>
            </w:r>
          </w:p>
        </w:tc>
        <w:tc>
          <w:tcPr>
            <w:tcW w:w="16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560"/>
              <w:spacing w:after="0" w:line="196" w:lineRule="exact"/>
              <w:rPr>
                <w:sz w:val="20"/>
                <w:szCs w:val="20"/>
                <w:color w:val="auto"/>
              </w:rPr>
            </w:pPr>
            <w:r>
              <w:rPr>
                <w:rFonts w:ascii="Arial" w:cs="Arial" w:eastAsia="Arial" w:hAnsi="Arial"/>
                <w:sz w:val="18"/>
                <w:szCs w:val="18"/>
                <w:b w:val="1"/>
                <w:bCs w:val="1"/>
                <w:color w:val="auto"/>
                <w:w w:val="93"/>
              </w:rPr>
              <w:t>Ratio</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3180" w:type="dxa"/>
            <w:vAlign w:val="bottom"/>
            <w:gridSpan w:val="4"/>
            <w:shd w:val="clear" w:color="auto" w:fill="CCEEFF"/>
          </w:tcPr>
          <w:p>
            <w:pPr>
              <w:jc w:val="center"/>
              <w:ind w:left="1550"/>
              <w:spacing w:after="0"/>
              <w:rPr>
                <w:sz w:val="20"/>
                <w:szCs w:val="20"/>
                <w:color w:val="auto"/>
              </w:rPr>
            </w:pPr>
            <w:r>
              <w:rPr>
                <w:rFonts w:ascii="Arial" w:cs="Arial" w:eastAsia="Arial" w:hAnsi="Arial"/>
                <w:sz w:val="18"/>
                <w:szCs w:val="18"/>
                <w:color w:val="auto"/>
                <w:w w:val="91"/>
              </w:rPr>
              <w:t>4.00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3180" w:type="dxa"/>
            <w:vAlign w:val="bottom"/>
            <w:gridSpan w:val="4"/>
          </w:tcPr>
          <w:p>
            <w:pPr>
              <w:jc w:val="center"/>
              <w:ind w:left="1550"/>
              <w:spacing w:after="0"/>
              <w:rPr>
                <w:sz w:val="20"/>
                <w:szCs w:val="20"/>
                <w:color w:val="auto"/>
              </w:rPr>
            </w:pPr>
            <w:r>
              <w:rPr>
                <w:rFonts w:ascii="Arial" w:cs="Arial" w:eastAsia="Arial" w:hAnsi="Arial"/>
                <w:sz w:val="18"/>
                <w:szCs w:val="18"/>
                <w:color w:val="auto"/>
                <w:w w:val="91"/>
              </w:rPr>
              <w:t>4.25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2016</w:t>
            </w:r>
          </w:p>
        </w:tc>
        <w:tc>
          <w:tcPr>
            <w:tcW w:w="3180" w:type="dxa"/>
            <w:vAlign w:val="bottom"/>
            <w:gridSpan w:val="4"/>
            <w:shd w:val="clear" w:color="auto" w:fill="CCEEFF"/>
          </w:tcPr>
          <w:p>
            <w:pPr>
              <w:jc w:val="center"/>
              <w:ind w:left="1550"/>
              <w:spacing w:after="0"/>
              <w:rPr>
                <w:sz w:val="20"/>
                <w:szCs w:val="20"/>
                <w:color w:val="auto"/>
              </w:rPr>
            </w:pPr>
            <w:r>
              <w:rPr>
                <w:rFonts w:ascii="Arial" w:cs="Arial" w:eastAsia="Arial" w:hAnsi="Arial"/>
                <w:sz w:val="18"/>
                <w:szCs w:val="18"/>
                <w:color w:val="auto"/>
                <w:w w:val="91"/>
              </w:rPr>
              <w:t>5.25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3180" w:type="dxa"/>
            <w:vAlign w:val="bottom"/>
            <w:gridSpan w:val="4"/>
          </w:tcPr>
          <w:p>
            <w:pPr>
              <w:jc w:val="center"/>
              <w:ind w:left="1550"/>
              <w:spacing w:after="0"/>
              <w:rPr>
                <w:sz w:val="20"/>
                <w:szCs w:val="20"/>
                <w:color w:val="auto"/>
              </w:rPr>
            </w:pPr>
            <w:r>
              <w:rPr>
                <w:rFonts w:ascii="Arial" w:cs="Arial" w:eastAsia="Arial" w:hAnsi="Arial"/>
                <w:sz w:val="18"/>
                <w:szCs w:val="18"/>
                <w:color w:val="auto"/>
                <w:w w:val="91"/>
              </w:rPr>
              <w:t>5.50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3180" w:type="dxa"/>
            <w:vAlign w:val="bottom"/>
            <w:gridSpan w:val="4"/>
            <w:shd w:val="clear" w:color="auto" w:fill="CCEEFF"/>
          </w:tcPr>
          <w:p>
            <w:pPr>
              <w:jc w:val="center"/>
              <w:ind w:left="1550"/>
              <w:spacing w:after="0"/>
              <w:rPr>
                <w:sz w:val="20"/>
                <w:szCs w:val="20"/>
                <w:color w:val="auto"/>
              </w:rPr>
            </w:pPr>
            <w:r>
              <w:rPr>
                <w:rFonts w:ascii="Arial" w:cs="Arial" w:eastAsia="Arial" w:hAnsi="Arial"/>
                <w:sz w:val="18"/>
                <w:szCs w:val="18"/>
                <w:color w:val="auto"/>
                <w:w w:val="91"/>
              </w:rPr>
              <w:t>5.50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March 31, 2017</w:t>
            </w:r>
          </w:p>
        </w:tc>
        <w:tc>
          <w:tcPr>
            <w:tcW w:w="3180" w:type="dxa"/>
            <w:vAlign w:val="bottom"/>
            <w:gridSpan w:val="4"/>
          </w:tcPr>
          <w:p>
            <w:pPr>
              <w:jc w:val="center"/>
              <w:ind w:left="1550"/>
              <w:spacing w:after="0"/>
              <w:rPr>
                <w:sz w:val="20"/>
                <w:szCs w:val="20"/>
                <w:color w:val="auto"/>
              </w:rPr>
            </w:pPr>
            <w:r>
              <w:rPr>
                <w:rFonts w:ascii="Arial" w:cs="Arial" w:eastAsia="Arial" w:hAnsi="Arial"/>
                <w:sz w:val="18"/>
                <w:szCs w:val="18"/>
                <w:color w:val="auto"/>
                <w:w w:val="91"/>
              </w:rPr>
              <w:t>5.25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3180" w:type="dxa"/>
            <w:vAlign w:val="bottom"/>
            <w:gridSpan w:val="4"/>
            <w:shd w:val="clear" w:color="auto" w:fill="CCEEFF"/>
          </w:tcPr>
          <w:p>
            <w:pPr>
              <w:jc w:val="center"/>
              <w:ind w:left="1550"/>
              <w:spacing w:after="0"/>
              <w:rPr>
                <w:sz w:val="20"/>
                <w:szCs w:val="20"/>
                <w:color w:val="auto"/>
              </w:rPr>
            </w:pPr>
            <w:r>
              <w:rPr>
                <w:rFonts w:ascii="Arial" w:cs="Arial" w:eastAsia="Arial" w:hAnsi="Arial"/>
                <w:sz w:val="18"/>
                <w:szCs w:val="18"/>
                <w:color w:val="auto"/>
                <w:w w:val="91"/>
              </w:rPr>
              <w:t>5.25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3180" w:type="dxa"/>
            <w:vAlign w:val="bottom"/>
            <w:gridSpan w:val="4"/>
          </w:tcPr>
          <w:p>
            <w:pPr>
              <w:jc w:val="center"/>
              <w:ind w:left="1550"/>
              <w:spacing w:after="0"/>
              <w:rPr>
                <w:sz w:val="20"/>
                <w:szCs w:val="20"/>
                <w:color w:val="auto"/>
              </w:rPr>
            </w:pPr>
            <w:r>
              <w:rPr>
                <w:rFonts w:ascii="Arial" w:cs="Arial" w:eastAsia="Arial" w:hAnsi="Arial"/>
                <w:sz w:val="18"/>
                <w:szCs w:val="18"/>
                <w:color w:val="auto"/>
                <w:w w:val="91"/>
              </w:rPr>
              <w:t>5.00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180" w:type="dxa"/>
            <w:vAlign w:val="bottom"/>
            <w:gridSpan w:val="4"/>
            <w:shd w:val="clear" w:color="auto" w:fill="CCEEFF"/>
          </w:tcPr>
          <w:p>
            <w:pPr>
              <w:jc w:val="center"/>
              <w:ind w:left="1550"/>
              <w:spacing w:after="0"/>
              <w:rPr>
                <w:sz w:val="20"/>
                <w:szCs w:val="20"/>
                <w:color w:val="auto"/>
              </w:rPr>
            </w:pPr>
            <w:r>
              <w:rPr>
                <w:rFonts w:ascii="Arial" w:cs="Arial" w:eastAsia="Arial" w:hAnsi="Arial"/>
                <w:sz w:val="18"/>
                <w:szCs w:val="18"/>
                <w:color w:val="auto"/>
                <w:w w:val="91"/>
              </w:rPr>
              <w:t>5.00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3180" w:type="dxa"/>
            <w:vAlign w:val="bottom"/>
            <w:gridSpan w:val="4"/>
          </w:tcPr>
          <w:p>
            <w:pPr>
              <w:jc w:val="center"/>
              <w:ind w:left="1550"/>
              <w:spacing w:after="0"/>
              <w:rPr>
                <w:sz w:val="20"/>
                <w:szCs w:val="20"/>
                <w:color w:val="auto"/>
              </w:rPr>
            </w:pPr>
            <w:r>
              <w:rPr>
                <w:rFonts w:ascii="Arial" w:cs="Arial" w:eastAsia="Arial" w:hAnsi="Arial"/>
                <w:sz w:val="18"/>
                <w:szCs w:val="18"/>
                <w:color w:val="auto"/>
                <w:w w:val="91"/>
              </w:rPr>
              <w:t>4.75 : 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3180" w:type="dxa"/>
            <w:vAlign w:val="bottom"/>
            <w:gridSpan w:val="4"/>
            <w:shd w:val="clear" w:color="auto" w:fill="CCEEFF"/>
          </w:tcPr>
          <w:p>
            <w:pPr>
              <w:jc w:val="center"/>
              <w:ind w:left="1550"/>
              <w:spacing w:after="0"/>
              <w:rPr>
                <w:sz w:val="20"/>
                <w:szCs w:val="20"/>
                <w:color w:val="auto"/>
              </w:rPr>
            </w:pPr>
            <w:r>
              <w:rPr>
                <w:rFonts w:ascii="Arial" w:cs="Arial" w:eastAsia="Arial" w:hAnsi="Arial"/>
                <w:sz w:val="18"/>
                <w:szCs w:val="18"/>
                <w:color w:val="auto"/>
                <w:w w:val="91"/>
              </w:rPr>
              <w:t>3.75 : 1.00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September 30, 2018 &amp; thereafter</w:t>
            </w:r>
          </w:p>
        </w:tc>
        <w:tc>
          <w:tcPr>
            <w:tcW w:w="3180" w:type="dxa"/>
            <w:vAlign w:val="bottom"/>
            <w:gridSpan w:val="4"/>
          </w:tcPr>
          <w:p>
            <w:pPr>
              <w:jc w:val="center"/>
              <w:ind w:left="1550"/>
              <w:spacing w:after="0"/>
              <w:rPr>
                <w:sz w:val="20"/>
                <w:szCs w:val="20"/>
                <w:color w:val="auto"/>
              </w:rPr>
            </w:pPr>
            <w:r>
              <w:rPr>
                <w:rFonts w:ascii="Arial" w:cs="Arial" w:eastAsia="Arial" w:hAnsi="Arial"/>
                <w:sz w:val="18"/>
                <w:szCs w:val="18"/>
                <w:color w:val="auto"/>
                <w:w w:val="91"/>
              </w:rPr>
              <w:t>3.50 : 1.00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Each of the factors considered in the calculations of these ratios are defined in the Amended Credit Facility. EBITDA and consolidated interest, as defined, exclude goodwill and asset impairments, debt discount amortization and other non-cash charges.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Our ability to comply with some of the covenants, ratios or tests contained in the Amended Credit Facility may be affected by events beyond our control. If market or other economic conditions remain depressed or further deteriorate, our ability to comply with these covenants, ratios or tests likely will be impaired. We may not be able to reduce our indebtedness to comply with these covenants. A failure to comply with these covenants, ratios or tests could result in an event of default, which, if not cured or waived, could have a material adverse effect on our business, financial condition, results of operations and cash flows.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indebtedness could restrict our operations and make us more vulnerable to adverse economic conditions.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currently have a substantial amount of indebtedness. As of December 31, 2015, we had approximately $349.5 million outstanding under the term loan portion of the Amended Credit Facility, $52.0 million outstanding under the revolving portion of the Amended Credit Facility, $5.1 million of outstanding letters of credit and capacity to borrow an additional $196.3 million under the revolving portion of the Amended Credit Facility. As of December 31, 2015, our borrowing capacity under the revolving portion of the Credit Facility was reduced by approximately $121.7 million due to the negative covenants. If market or other economic conditions remain depressed or further deteriorate, our borrowing capacity may be further reduced.</w:t>
      </w:r>
    </w:p>
    <w:p>
      <w:pPr>
        <w:spacing w:after="0" w:line="173"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level of indebtedness may adversely affect our operations and limit our growth, and we may have difficulty making debt service payments on our indebtedness as such payments become due. Our level of indebtedness may affect our operations in several ways, including the following:</w:t>
      </w:r>
    </w:p>
    <w:p>
      <w:pPr>
        <w:spacing w:after="0" w:line="14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indebtedness may increase our vulnerability to general adverse economic and industry conditions;</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covenants contained in the Amended Credit Facility limit our ability to borrow funds, dispose of assets, pay dividends and make certain investments;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debt covenants also affect our flexibility in planning for, and reacting to, changes in the economy and in its industry; and</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indebtedness could impair our ability to obtain additional financing in the future for working capital, capital expenditures, acquisitions or other general corporate purposes.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right="100" w:firstLine="324"/>
        <w:spacing w:after="0" w:line="255" w:lineRule="auto"/>
        <w:rPr>
          <w:sz w:val="20"/>
          <w:szCs w:val="20"/>
          <w:color w:val="auto"/>
        </w:rPr>
      </w:pPr>
      <w:r>
        <w:rPr>
          <w:rFonts w:ascii="Arial" w:cs="Arial" w:eastAsia="Arial" w:hAnsi="Arial"/>
          <w:sz w:val="18"/>
          <w:szCs w:val="18"/>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19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b w:val="1"/>
          <w:bCs w:val="1"/>
          <w:i w:val="1"/>
          <w:iCs w:val="1"/>
          <w:color w:val="auto"/>
        </w:rPr>
        <w:t>We previously identified a material weakness in our disclosure controls and procedures and our internal controls, which we believe has been fully remediated. If we have inadequately remediated this material weakness or if we otherwise fail to develop, implement and maintain appropriate internal controls in future periods, our ability to report our financial condition and results of operations accurately and on a timely basis could be adversely affected.</w:t>
      </w:r>
    </w:p>
    <w:p>
      <w:pPr>
        <w:spacing w:after="0" w:line="18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We previously identified a material weakness in our internal controls over the assignment of depreciable lives to asset amounts recorded for asset retirement obligations. Accordingly, based on our management’s assessment, we believe that, as of September 30, 2015, our disclosure controls and procedures were not effective at the reasonable assurance level. The specific material weakness and our remediation efforts are described in Item 9A, “Controls and Procedures” of this Annual Report on Form 10-K in “Evaluation of Disclosure Controls and Procedures.” A “material weakness” is a deficiency, or a combination of deficiencies, in internal controls, such that there is a reasonable possibility that a material misstatement of our annual or interim consolidated financial statements would not be prevented or detected. We cannot assure you that additional material weaknesses in our internal controls will not be identified in the future. Any failure to maintain or implement required new or improved controls, or any difficulties we encounter in their implementation, could result in additional material weaknesses, or could result in material misstatements in our financial statements. These misstatements could result in restatements of our financial statements, cause us to fail to meet our reporting obligations or cause investors to lose confidence in our reported financial information.</w:t>
      </w:r>
    </w:p>
    <w:p>
      <w:pPr>
        <w:spacing w:after="0" w:line="17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have developed certain remediation steps to address the material weakness discussed above and to improve our internal controls. We believe the material weakness discussed above has been fully remediated. If we have inadequately remediated this material weakness, there will continue to be an increased risk that our future financial statements could contain errors that will be undetected. Further and continued determinations that there are material weaknesses in the effectiveness of our internal controls could reduce our ability to obtain financing or could increase the cost of any financing we obtain and require additional expenditures of resources to comply with applicable requirements. For more information relating to our internal controls and disclosure controls and procedures, and the remediation plan undertaken by us, see Item 9A, “Controls and Procedures” of this Annual Report on Form 10-K.</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cybersecurity threats and other disruptions.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face various security threats, including cybersecurity threats to gain unauthorized access to sensitive information or to render data or systems unusable; threats to the safety of our employees; threats to the security of our facilities and infrastructure or third-party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financial position, results of operations or cash flows. Cybersecurity attacks in particular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Risks Related to the Redomicile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anticipated benefits of the Redomicile Transaction may not be realized.</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may not realize the benefits we anticipate from the Redomicile Transaction, particularly as the realization of those benefits are in many important respects subject to factors that we do not control. These factors would include such things as the reactions of third parties with whom we enter into contracts and do business and the reactions of investors, analysts and Canadian and U.S. taxing authorities, and other factors discussed in these risk factors. Our failure to realize those benefits could have an adverse effect on our business, results of operations or financial condition.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various Canadian and other taxes as a result of the Redomicile Transaction.</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While we expect the Redomicile Transaction will enable us to take advantage of lower Canadian tax rates in the years after the year of implementation to a greater extent than would likely have been available if the Redomicile Transaction was not completed, these benefits may not be achieved. In particular, tax authorities may challenge our application and/or interpretation of relevant tax laws, regulations or treaties, valuations and methodologies or other supporting documentation, and, if they are successful in doing so, we may not experience the level of benefits we anticipate or we may be subject to adverse tax consequences. Even if we are successful in maintaining our tax positions, we may incur significant expense in contesting these positions or other claims made by tax authorities. In addition, changes in tax laws or increased rates of tax could have the effect of negatively impacting our anticipated effective tax rates. Our effective tax rates and the benefits described herein are also subject to a variety of other factors, many of which are beyond our ability to control, such as changes in the rate of economic growth in Canada, the financial performance of our business in various jurisdictions, currency exchange rate fluctuations (especially as between Canadian and U.S. dollars), and significant changes in trade, monetary or fiscal policies of Canada, including changes in interest rates, withholding taxes and tax rates generally. The impact of these factors, individually and in the aggregate, is difficult to predict, in part because the occurrence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w:t>
      </w:r>
    </w:p>
    <w:p>
      <w:pPr>
        <w:spacing w:after="0" w:line="188"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More specifically, Canada’s tax rules under the Canadian Tax Act allow for favorable tax treatment insofar as the repatriation of certain dividends from foreign affiliates. These tax rules are complicated and could change over time. Any such changes could have a material impact on our overall tax rate.</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Canada has also introduced tax rules governing “foreign affiliate dumping” in the Canadian Tax Act that can have adverse tax consequences for Canadian corporations that are controlled by non-Canadian corporations in respect of non-Canadian business activities and investments. These rules would have a negative impact on us to the extent that we became controlled by a non-Canadian resident corporation.</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The CRA may disagree with our conclusions on tax treatment and the CRA has not provided (and we have not requested) a ruling on the Canadian tax aspects of the Redomicile Transaction.</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Based on the current provisions of the Canadian Tax Act, we expect that the Redomicile Transaction will not result in any material Canadian federal income tax liability to us. However, if the CRA disagrees with this view, it may take the position that material Canadian federal income tax liabilities or amounts on account thereof are payable by us as a result of the Redomicile Transaction, in which case, we expect that we would contest such assessment. To contest such assessment, we would be required to remit cash or provide security of the amount in dispute, or such lesser amount as permitted under the Canadian Tax Act and acceptable to the CRA, to prevent the CRA from seeking enforcement actions pending the dispute of such assessment. If we were unsuccessful in disputing the assessment, the implications could be materially adverse to us. The CRA has not provided (and we have not requested) a ruling on the Canadian tax aspects of the Redomicile Transaction. There can be no assurance that the CRA will agree with our interpretation of the tax aspects of the Redomicile Transaction or any related matters associated therewith.</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The Internal Revenue Service (IRS) may not agree with the conclusion that we should be treated as a foreign corporation for U.S. federal tax purposes, and no ruling has been sought from the IRS.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U.S. federal income tax purposes, a corporation generally is considered a tax resident in the jurisdiction of its organization or incorporation. Because we are a British Columbia incorporated entity, we generally will be classified as a foreign corporation (and, therefore, a non-U.S. tax resident) under U.S. federal income tax law. Even so, the IRS may assert that we should be treated as a U.S. corporation (and, therefore, a U.S. tax resident) for U.S. federal income tax purposes pursuant to Section 7874 of the Internal Revenue Code.</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Under Section 7874 of the Internal Revenue Code, if the former stockholders of Civeo US hold 80% or more of the vote or value of our common shares by reason of holding stock in Civeo US (the “ownership test”), and our expanded affiliated group after the Redomicile Transaction does not have substantial business activities in Canada relative to its worldwide activities (the “substantial business activities test”), we would be treated as a U.S. corporation. For this purpose, “substantial business activities” generally requires at least 25% of the employees (by number and compensation), assets and gross income of our expanded affiliated group to be based, located and derived, respectively, in Canada (“25% test”).</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that we have satisfied this 25% test because Civeo US had significant operations in Canada prior to the Redomicile Transaction (with its remaining operations occurring in Australia and the United States), and we have continued these operations following the Redomicile Transaction. Therefore, under current U.S. federal income tax law, we believe that we will not be treated as a U.S. corporation for U.S. federal income tax purposes. If it were determined, however, that we should be taxed as a U.S. corporation for U.S. federal income tax purposes, we could be liable for substantial additional U.S. federal income taxes.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Future potential changes to U.S. tax laws could result in Civeo being treated as a U.S. corporation for U.S. federal income tax purposes.</w:t>
      </w:r>
    </w:p>
    <w:p>
      <w:pPr>
        <w:spacing w:after="0" w:line="23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Under current U.S. federal income tax law, Civeo is generally treated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have from time to time proposed changes to the Internal Revenue Code, and the U.S. Treasury has indicated (most recently in Notice 2015-79) that it is considering possible regulatory action, in connection with so-called inversion transactions. The timing and substance of any such change in law or regulatory action is presently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Any such changes could apply retroactively to a date prior to the date of the Redomicile Transaction. If Civeo were to be treated as a U.S. corporation for U.S. federal income tax purposes, it could be subject to substantially greater U.S. federal income tax liability.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remain subject to changes in tax law and other factors that may not allow us to achieve a lower effective corporate tax rate.</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While we believe that the Redomicile Transaction should allow for a lower effective corporate tax rate, we cannot give any assurance as to what our effective tax rate will be after the Redomicile Transaction because of, among other things, the tax policies of the jurisdictions where we operate, primarily Canada and Australia. Also, the tax laws of Canada, Australia and other jurisdictions could change in the future, and such changes could cause a material change in our effective corporate tax rate. As a result, our actual effective tax rate may be materially different from our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1" w:name="page42"/>
    <w:bookmarkEnd w:id="41"/>
    <w:p>
      <w:pPr>
        <w:ind w:left="340"/>
        <w:spacing w:after="0"/>
        <w:rPr>
          <w:sz w:val="20"/>
          <w:szCs w:val="20"/>
          <w:color w:val="auto"/>
        </w:rPr>
      </w:pPr>
      <w:r>
        <w:rPr>
          <w:rFonts w:ascii="Arial" w:cs="Arial" w:eastAsia="Arial" w:hAnsi="Arial"/>
          <w:sz w:val="16"/>
          <w:szCs w:val="16"/>
          <w:b w:val="1"/>
          <w:bCs w:val="1"/>
          <w:i w:val="1"/>
          <w:iCs w:val="1"/>
          <w:color w:val="auto"/>
        </w:rPr>
        <w:t>Our tax position may be adversely affected by changes in tax law relating to multinational corporations, or increased scrutiny by tax authorities.</w:t>
      </w:r>
    </w:p>
    <w:p>
      <w:pPr>
        <w:spacing w:after="0" w:line="2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Recent legislative proposals have aimed to expand the scope of U.S. corporate tax residence, to limit the ability of foreign-owned corporations to deduct interest expense, and to make other changes in the taxation of multinational corporations.</w:t>
      </w:r>
    </w:p>
    <w:p>
      <w:pPr>
        <w:spacing w:after="0" w:line="17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Additionally, the U.S. Congress, government agencies in non-U.S. jurisdictions where we and our affiliates do business, and the Organization for Economic Co-operation and Development have recently focused on issues related to the taxation of multinational corporations. One example is found in the area of “base erosion and profit shifting”, where profits are claimed to be earned for tax purposes in low-tax jurisdictions, or payments are made between affiliates from a jurisdiction with high tax rates to a jurisdiction with lower tax rates. As a result, the tax laws in the U.S. and other countries in which we and our affiliates do business could change on a prospective or retroactive basis, and any such changes could materially adversely affect us.</w:t>
      </w:r>
    </w:p>
    <w:p>
      <w:pPr>
        <w:spacing w:after="0" w:line="17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Moreover, U.S. and international tax authorities may carefully scrutinize companies that have redomiciled, such as our company, which may lead such authorities to assert that we owe additional taxes.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Australian stamp duty as a result of the Redomicile Transaction.</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Some states of the Commonwealth of Australia impose stamp duty, which is a tax payable on documents that affect interests in property and on transfers of marketable securities. If it were determined that Australian stamp duty applied to the Redomicile Transaction, Civeo Canada could be liable for substantial Australian stamp duty taxes.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Spin-Off from Oil States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potentially could have received better terms from unaffiliated third parties than the terms we receive in our agreements with Oil States.</w:t>
      </w:r>
    </w:p>
    <w:p>
      <w:pPr>
        <w:spacing w:after="0" w:line="248"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The agreements we entered into with Oil States in connection with the Spin-off, including the separation and distribution agreement, tax sharing agreement, employee matters agreement, indemnification and release agreement and transition services agreement, were negotiated in the context of the separation while we were still a wholly owned subsidiary of Oil States. Accordingly, during the period in which the terms of those agreements were negotiated, we did not have an independent board of directors or a management team independent of Oil States. As a result, the terms of those agreements may not reflect terms that would have resulted from arm’s-length negotiations between unaffiliated third parties. The terms of the agreements negotiated in the context of the Spin-off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Note 13 – Commitments and Contingencies and Note 17 – Related Party Transactions to the notes to consolidated financial statements in Item 8 of this annual report.</w:t>
      </w:r>
    </w:p>
    <w:p>
      <w:pPr>
        <w:spacing w:after="0" w:line="18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Under the tax sharing agreement, we agreed to take certain actions or refrain from taking certain actions to ensure that the Spin-Off qualifies for tax-free status under section 355 and section 368(a)(1)(D) of the Code. We also made various other covenants in the tax sharing agreement intended to ensure the tax-free status of the Spin-off. These covenants restrict our ability to sell assets outside the ordinary course of business, to issue or sell additional common shares or other securities (including securities convertible into our common shares), or to enter into certain other corporate transactions for a period of two years after the Spin-off. For example, we may not enter into any transaction that would cause us to undergo either a 50% or greater change in the ownership of our voting shares or a 50% or greater change in the ownership (measured by value) of all classes of our shares in transactions considered related to the Spin-off. See Note 13 – Commitments and Contingencies and Note 17 – Related Party Transactions to the notes to consolidated financial statements in Item 8 of this annual report.</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2" w:name="page43"/>
    <w:bookmarkEnd w:id="42"/>
    <w:p>
      <w:pPr>
        <w:ind w:right="140" w:firstLine="324"/>
        <w:spacing w:after="0" w:line="273" w:lineRule="auto"/>
        <w:rPr>
          <w:sz w:val="20"/>
          <w:szCs w:val="20"/>
          <w:color w:val="auto"/>
        </w:rPr>
      </w:pPr>
      <w:r>
        <w:rPr>
          <w:rFonts w:ascii="Arial" w:cs="Arial" w:eastAsia="Arial" w:hAnsi="Arial"/>
          <w:sz w:val="17"/>
          <w:szCs w:val="17"/>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obtained with respect to the Spin-off.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could have significant tax liabilities for periods during which our subsidiaries and operations were those of Oil States.</w:t>
      </w:r>
    </w:p>
    <w:p>
      <w:pPr>
        <w:spacing w:after="0" w:line="225"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For any tax periods (or portion thereof) in which Oil States owned at least 80% of the total voting power and value of Civeo US’s common stock, our U.S. subsidiaries will be included in Oil States’ consolidated group for U.S. federal income tax purposes. In addition,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Note 13 – Commitments and Contingencies and Note 17 – Related Party Transactions to the notes to consolidated financial statements in Item 8 of this annual report.</w:t>
      </w:r>
    </w:p>
    <w:p>
      <w:pPr>
        <w:spacing w:after="0" w:line="17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one or more of our U.S. subsidiaries could be liable for the shortfall with respect to periods in which such subsidiary was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20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Oil States received a private letter ruling from the IRS and an opinion of its outside counsel regarding certain aspects of the Spin-off transaction. The private letter ruling and the opinion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If the Spin-off is determined to be taxable for U.S. federal income tax purposes for any reason, Oil States and/or its stockholders could incur significant income tax liabilities, and we could incur significant liabilities. For a description of the sharing of such liabilities between Oil States and us, see Note 13 – Commitments and Contingencies and Note 17 – Related Party Transactions to the notes to consolidated financial statements in Item 8 of this annual report.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b w:val="1"/>
          <w:bCs w:val="1"/>
          <w:i w:val="1"/>
          <w:iCs w:val="1"/>
          <w:color w:val="auto"/>
        </w:rPr>
        <w:t>Third parties may seek to hold us responsible for liabilities of Oil States that we did not assume in our agreements.</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Third parties may seek to hold us responsible for retained liabilities of Oil States. Under our agreements with Oil States, Oil States agreed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prior and continuing relationship with Oil States exposes us to risks attributable to businesses of Oil States.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193" w:lineRule="exact"/>
        <w:rPr>
          <w:sz w:val="20"/>
          <w:szCs w:val="20"/>
          <w:color w:val="auto"/>
        </w:rPr>
      </w:pPr>
    </w:p>
    <w:p>
      <w:pPr>
        <w:ind w:right="1060" w:firstLine="324"/>
        <w:spacing w:after="0" w:line="277" w:lineRule="auto"/>
        <w:rPr>
          <w:sz w:val="20"/>
          <w:szCs w:val="20"/>
          <w:color w:val="auto"/>
        </w:rPr>
      </w:pPr>
      <w:r>
        <w:rPr>
          <w:rFonts w:ascii="Arial" w:cs="Arial" w:eastAsia="Arial" w:hAnsi="Arial"/>
          <w:sz w:val="18"/>
          <w:szCs w:val="18"/>
          <w:b w:val="1"/>
          <w:bCs w:val="1"/>
          <w:i w:val="1"/>
          <w:iCs w:val="1"/>
          <w:color w:val="auto"/>
        </w:rPr>
        <w:t>The Spin-Off may have exposed us to potential liabilities arising out of state and federal fraudulent conveyance laws and legal dividend requirements.</w:t>
      </w:r>
    </w:p>
    <w:p>
      <w:pPr>
        <w:spacing w:after="0" w:line="19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shares of our common stock or taking other action as part of the Spin-Off, or that we or any of our subsidiaries did not receive fair consideration or reasonably equivalent value for incurring indebtedness, including the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1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shares of our common stock.</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Under the separation and distribution agreement, Oil States is and we are responsible for the debts, liabilities and other obligations related to the business or businesses which Oil States and we, respectively, own and operate following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Note 13 – “Commitments and Contingencies” and Note 17 – “Related Party Transactions” to the notes to consolidated financial statements in Item 8 of this annual report.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Risks Related to Our Common Shares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cannot meet the NYSE continued listing requirements, the NYSE may delist our common shares.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common shares are currently listed on the NYSE, and the continued listing of our common shares is subject to our compliance with a number of listing standards. To maintain compliance with these continued listing standards, we are required to maintain an average closing price of $1.00 or more over a consecutive 30 trading-day period. On February 24, 2016, we received a notice from the NYSE that the average closing price of our common shares over a 30 consecutive trading day period was below $1.00 per share, and, as a result, the price per share of the common shares was below the minimum average closing price required to maintain listing on the NYSE.</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generally have six months from the receipt of the notice to regain compliance with the NYSE continued listing standards. Otherwise, the NYSE will initiate procedures to suspend and delist the common shares. During the cure period, our common shares would continue to be listed and traded on the NYSE, subject to compliance with the other listing standards. The delisting notice does not result in a default under out debt agreements.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delisting of our common shares could negatively impact us by, among other things:</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liquidity and market price of our common shares;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number of investors, including institutional investors, willing to hold or acquire our common shares, which could negatively impact our ability to raise equity;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decreasing the amount of news and analyst coverage of us;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issue additional securities, obtain additional financing or pursue strategic restructuring, refinancing or other transactions;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impacting our reputation and, as a consequence, our ability to attract new business.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and trading volume of our common shares may be volatile.</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market price of our common shares may be influenced by many factors, some of which are beyond our control, including those described above and the following: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analysts and our inability to meet those financial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our quarterly operating results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our business and our industry, including those discussed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conditions or trends in our industry, markets 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sales of our common shares or other securities by us, members of our management team or our existing shareholders;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shares relative to other investment alternatives.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These broad market and industry factors may materially reduce the market price of our common shares, regardless of our operating performance. In addition, price volatility may be greater if the public float and trading volume of our common shares is low.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5" w:name="page46"/>
    <w:bookmarkEnd w:id="45"/>
    <w:p>
      <w:pPr>
        <w:ind w:right="280" w:firstLine="324"/>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common shares or if our operating results do not meet their expectations, our share price could decline.</w:t>
      </w:r>
    </w:p>
    <w:p>
      <w:pPr>
        <w:spacing w:after="0" w:line="14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cannot assure you that we will pay dividends in the future, and our indebtedness could limit our ability to pay dividends on our common shares.</w:t>
      </w:r>
    </w:p>
    <w:p>
      <w:pPr>
        <w:spacing w:after="0" w:line="26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paid quarterly dividends in the amount of $0.13 per share during the third and fourth quarters of 2014. In late December 2014, we suspended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our credit facility. Future agreements may also limit our ability to pay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See “Management’s Discussion and Analysis of Financial Condition and Results of Operations” in Item 7. There can be no assurance that we will pay a dividend in the future.</w:t>
      </w:r>
    </w:p>
    <w:p>
      <w:pPr>
        <w:spacing w:after="0" w:line="20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b w:val="1"/>
          <w:bCs w:val="1"/>
          <w:i w:val="1"/>
          <w:iCs w:val="1"/>
          <w:color w:val="auto"/>
        </w:rPr>
        <w:t>Provisions contained in our articles and applicable Canadian law could discourage a takeover attempt, which may reduce or eliminate the likelihood of a change of control transaction and, therefore, the ability of our shareholders to sell their shares for a premium.</w:t>
      </w:r>
    </w:p>
    <w:p>
      <w:pPr>
        <w:spacing w:after="0" w:line="1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Provisions contained in our articles provide for a classified board of directors, limitations on the removal of directors, limitations on shareholder proposals at meetings of shareholders and limitations on shareholder action by written consent, which could make it more difficult for a third party to acquire control of us. Our articles also authorize our board of directors to issue series of preferred shares without shareholder approval. If our board of directors elects to issue preferred shares, it could increase the difficulty for a third party to acquire us, which may reduce or eliminate our shareholders’ ability to sell their common shares at a premium. In addition, in Canada, we may become subject to Multilateral Instrument 62-104 </w:t>
      </w:r>
      <w:r>
        <w:rPr>
          <w:rFonts w:ascii="Arial" w:cs="Arial" w:eastAsia="Arial" w:hAnsi="Arial"/>
          <w:sz w:val="17"/>
          <w:szCs w:val="17"/>
          <w:i w:val="1"/>
          <w:iCs w:val="1"/>
          <w:color w:val="auto"/>
        </w:rPr>
        <w:t>Take-Over Bids and Issuer Bids</w:t>
      </w:r>
      <w:r>
        <w:rPr>
          <w:rFonts w:ascii="Arial" w:cs="Arial" w:eastAsia="Arial" w:hAnsi="Arial"/>
          <w:sz w:val="17"/>
          <w:szCs w:val="17"/>
          <w:color w:val="auto"/>
        </w:rPr>
        <w:t xml:space="preserve"> of the Canadian Securities Administrators or Part XX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Ontario Securities Commission Rule 62-504 </w:t>
      </w:r>
      <w:r>
        <w:rPr>
          <w:rFonts w:ascii="Arial" w:cs="Arial" w:eastAsia="Arial" w:hAnsi="Arial"/>
          <w:sz w:val="17"/>
          <w:szCs w:val="17"/>
          <w:i w:val="1"/>
          <w:iCs w:val="1"/>
          <w:color w:val="auto"/>
        </w:rPr>
        <w:t>Take-Over Bids and Issuer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Bids </w:t>
      </w:r>
      <w:r>
        <w:rPr>
          <w:rFonts w:ascii="Arial" w:cs="Arial" w:eastAsia="Arial" w:hAnsi="Arial"/>
          <w:sz w:val="17"/>
          <w:szCs w:val="17"/>
          <w:color w:val="auto"/>
        </w:rPr>
        <w:t>(collectively, the Take-Over Bid Rules), which provide a heightened threshold for shareholder acceptance of third-party acquisition offers and could</w:t>
      </w:r>
      <w:r>
        <w:rPr>
          <w:rFonts w:ascii="Arial" w:cs="Arial" w:eastAsia="Arial" w:hAnsi="Arial"/>
          <w:sz w:val="17"/>
          <w:szCs w:val="17"/>
          <w:i w:val="1"/>
          <w:iCs w:val="1"/>
          <w:color w:val="auto"/>
        </w:rPr>
        <w:t xml:space="preserve"> </w:t>
      </w:r>
      <w:r>
        <w:rPr>
          <w:rFonts w:ascii="Arial" w:cs="Arial" w:eastAsia="Arial" w:hAnsi="Arial"/>
          <w:sz w:val="17"/>
          <w:szCs w:val="17"/>
          <w:color w:val="auto"/>
        </w:rPr>
        <w:t>discourage takeover attempts that could result in a premium over the market price for our common shares. Further, there are proposed changes pending to the Take-Over Bid Rules which could provide further discouragement to takeover attempts.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shareholders.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Publicly traded companies have increasingly become subject to campaigns by investors seeking to increase shareholder value by advocating corporate actions such as financial restructuring, increased borrowing, special dividends, share repurchases or even sales of assets or the entire company. It is possible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ind w:right="240" w:firstLine="189"/>
        <w:spacing w:after="0" w:line="302" w:lineRule="auto"/>
        <w:rPr>
          <w:sz w:val="20"/>
          <w:szCs w:val="20"/>
          <w:color w:val="auto"/>
        </w:rPr>
      </w:pPr>
      <w:r>
        <w:rPr>
          <w:rFonts w:ascii="Arial" w:cs="Arial" w:eastAsia="Arial" w:hAnsi="Arial"/>
          <w:sz w:val="16"/>
          <w:szCs w:val="16"/>
          <w:color w:val="auto"/>
        </w:rPr>
        <w:t>The following table presents information about our principal properties and facilities. Except as indicated below, we own all of the properties or facilities listed below. Each of the properties is encumbered by our secured credit facilities. See in Item 7 “Management’s Discussion and Analysis of Financial Condition and Results of Operations” and Note 10 – Debt to the notes to consolidated financial statements included in Item 8 for additional information concerning our credit facilities. For a discussion about how each of our business segments utilizes its respective properties, please see Item 1, “Business”.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8"/>
              </w:rPr>
              <w:t>Approximate Square</w:t>
            </w: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1120"/>
              <w:spacing w:after="0"/>
              <w:rPr>
                <w:sz w:val="20"/>
                <w:szCs w:val="20"/>
                <w:color w:val="auto"/>
              </w:rPr>
            </w:pPr>
            <w:r>
              <w:rPr>
                <w:rFonts w:ascii="Arial" w:cs="Arial" w:eastAsia="Arial" w:hAnsi="Arial"/>
                <w:sz w:val="18"/>
                <w:szCs w:val="18"/>
                <w:b w:val="1"/>
                <w:bCs w:val="1"/>
                <w:color w:val="auto"/>
              </w:rPr>
              <w:t>Location</w:t>
            </w:r>
          </w:p>
        </w:tc>
        <w:tc>
          <w:tcPr>
            <w:tcW w:w="182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Footage/Acreage</w:t>
            </w:r>
          </w:p>
        </w:tc>
        <w:tc>
          <w:tcPr>
            <w:tcW w:w="4920" w:type="dxa"/>
            <w:vAlign w:val="bottom"/>
          </w:tcPr>
          <w:p>
            <w:pPr>
              <w:ind w:left="206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196"/>
        </w:trPr>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5"/>
              </w:rPr>
              <w:t>Canada:</w:t>
            </w:r>
          </w:p>
        </w:tc>
        <w:tc>
          <w:tcPr>
            <w:tcW w:w="3880" w:type="dxa"/>
            <w:vAlign w:val="bottom"/>
            <w:tcBorders>
              <w:bottom w:val="single" w:sz="8" w:color="CCEEFF"/>
            </w:tcBorders>
            <w:gridSpan w:val="2"/>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Fort McMurray, Alberta (leased land)</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5"/>
              </w:rPr>
              <w:t>240 acres</w:t>
            </w:r>
          </w:p>
        </w:tc>
        <w:tc>
          <w:tcPr>
            <w:tcW w:w="4920" w:type="dxa"/>
            <w:vAlign w:val="bottom"/>
          </w:tcPr>
          <w:p>
            <w:pPr>
              <w:ind w:left="80"/>
              <w:spacing w:after="0"/>
              <w:rPr>
                <w:sz w:val="20"/>
                <w:szCs w:val="20"/>
                <w:color w:val="auto"/>
              </w:rPr>
            </w:pPr>
            <w:r>
              <w:rPr>
                <w:rFonts w:ascii="Arial" w:cs="Arial" w:eastAsia="Arial" w:hAnsi="Arial"/>
                <w:sz w:val="18"/>
                <w:szCs w:val="18"/>
                <w:color w:val="auto"/>
              </w:rPr>
              <w:t>Wapasu Creek and Henday Lodges</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Fort McMurray, Alberta (leased land)</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5"/>
              </w:rPr>
              <w:t>140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Pebble Beach open camp</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Fort McMurray, Alberta (leased land)</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5"/>
              </w:rPr>
              <w:t>135 acres</w:t>
            </w:r>
          </w:p>
        </w:tc>
        <w:tc>
          <w:tcPr>
            <w:tcW w:w="4920" w:type="dxa"/>
            <w:vAlign w:val="bottom"/>
          </w:tcPr>
          <w:p>
            <w:pPr>
              <w:ind w:left="80"/>
              <w:spacing w:after="0"/>
              <w:rPr>
                <w:sz w:val="20"/>
                <w:szCs w:val="20"/>
                <w:color w:val="auto"/>
              </w:rPr>
            </w:pPr>
            <w:r>
              <w:rPr>
                <w:rFonts w:ascii="Arial" w:cs="Arial" w:eastAsia="Arial" w:hAnsi="Arial"/>
                <w:sz w:val="18"/>
                <w:szCs w:val="18"/>
                <w:color w:val="auto"/>
              </w:rPr>
              <w:t>Conklin Lodge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Fort McMurray, Alberta (leased land)</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5"/>
              </w:rPr>
              <w:t>128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Beaver River and Athabasca Lodges</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Fort McMurray, Alberta (leased land)</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6"/>
              </w:rPr>
              <w:t>80 acres</w:t>
            </w:r>
          </w:p>
        </w:tc>
        <w:tc>
          <w:tcPr>
            <w:tcW w:w="4920" w:type="dxa"/>
            <w:vAlign w:val="bottom"/>
          </w:tcPr>
          <w:p>
            <w:pPr>
              <w:ind w:left="80"/>
              <w:spacing w:after="0"/>
              <w:rPr>
                <w:sz w:val="20"/>
                <w:szCs w:val="20"/>
                <w:color w:val="auto"/>
              </w:rPr>
            </w:pPr>
            <w:r>
              <w:rPr>
                <w:rFonts w:ascii="Arial" w:cs="Arial" w:eastAsia="Arial" w:hAnsi="Arial"/>
                <w:sz w:val="18"/>
                <w:szCs w:val="18"/>
                <w:color w:val="auto"/>
              </w:rPr>
              <w:t>McClelland Lake Lodge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Fort McMurray, Alberta (leased land)</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43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Mariana Lake Lodge</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Fort McMurray, Alberta</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6"/>
              </w:rPr>
              <w:t>45 acres</w:t>
            </w:r>
          </w:p>
        </w:tc>
        <w:tc>
          <w:tcPr>
            <w:tcW w:w="4920" w:type="dxa"/>
            <w:vAlign w:val="bottom"/>
          </w:tcPr>
          <w:p>
            <w:pPr>
              <w:ind w:left="80"/>
              <w:spacing w:after="0"/>
              <w:rPr>
                <w:sz w:val="20"/>
                <w:szCs w:val="20"/>
                <w:color w:val="auto"/>
              </w:rPr>
            </w:pPr>
            <w:r>
              <w:rPr>
                <w:rFonts w:ascii="Arial" w:cs="Arial" w:eastAsia="Arial" w:hAnsi="Arial"/>
                <w:sz w:val="18"/>
                <w:szCs w:val="18"/>
                <w:color w:val="auto"/>
              </w:rPr>
              <w:t>Christina Lake Lodge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Kitimat, British Columbia</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60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Sitka Lodge</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Acheson, Alberta</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6"/>
              </w:rPr>
              <w:t>40 acres</w:t>
            </w:r>
          </w:p>
        </w:tc>
        <w:tc>
          <w:tcPr>
            <w:tcW w:w="4920" w:type="dxa"/>
            <w:vAlign w:val="bottom"/>
          </w:tcPr>
          <w:p>
            <w:pPr>
              <w:ind w:left="80"/>
              <w:spacing w:after="0"/>
              <w:rPr>
                <w:sz w:val="20"/>
                <w:szCs w:val="20"/>
                <w:color w:val="auto"/>
              </w:rPr>
            </w:pPr>
            <w:r>
              <w:rPr>
                <w:rFonts w:ascii="Arial" w:cs="Arial" w:eastAsia="Arial" w:hAnsi="Arial"/>
                <w:sz w:val="18"/>
                <w:szCs w:val="18"/>
                <w:color w:val="auto"/>
              </w:rPr>
              <w:t>Office and warehouse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Edmonton, Alberta</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33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 facility</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Grimshaw, Alberta (lease)</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6"/>
              </w:rPr>
              <w:t>20 acres</w:t>
            </w:r>
          </w:p>
        </w:tc>
        <w:tc>
          <w:tcPr>
            <w:tcW w:w="4920" w:type="dxa"/>
            <w:vAlign w:val="bottom"/>
          </w:tcPr>
          <w:p>
            <w:pPr>
              <w:ind w:left="80"/>
              <w:spacing w:after="0"/>
              <w:rPr>
                <w:sz w:val="20"/>
                <w:szCs w:val="20"/>
                <w:color w:val="auto"/>
              </w:rPr>
            </w:pPr>
            <w:r>
              <w:rPr>
                <w:rFonts w:ascii="Arial" w:cs="Arial" w:eastAsia="Arial" w:hAnsi="Arial"/>
                <w:sz w:val="18"/>
                <w:szCs w:val="18"/>
                <w:color w:val="auto"/>
              </w:rPr>
              <w:t>Equipment yard</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Fort McMurray, Alberta (leased land)</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18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Anzac Lodge</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Edmonton, Alberta (lease)</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0"/>
              </w:rPr>
              <w:t>86,376</w:t>
            </w:r>
          </w:p>
        </w:tc>
        <w:tc>
          <w:tcPr>
            <w:tcW w:w="4920" w:type="dxa"/>
            <w:vAlign w:val="bottom"/>
          </w:tcPr>
          <w:p>
            <w:pPr>
              <w:ind w:left="80"/>
              <w:spacing w:after="0"/>
              <w:rPr>
                <w:sz w:val="20"/>
                <w:szCs w:val="20"/>
                <w:color w:val="auto"/>
              </w:rPr>
            </w:pPr>
            <w:r>
              <w:rPr>
                <w:rFonts w:ascii="Arial" w:cs="Arial" w:eastAsia="Arial" w:hAnsi="Arial"/>
                <w:sz w:val="18"/>
                <w:szCs w:val="18"/>
                <w:color w:val="auto"/>
              </w:rPr>
              <w:t>Office and warehouse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Edmonton, Alberta (lease)</w:t>
            </w:r>
          </w:p>
        </w:tc>
        <w:tc>
          <w:tcPr>
            <w:tcW w:w="1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28,253</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Australia:</w:t>
            </w:r>
          </w:p>
        </w:tc>
        <w:tc>
          <w:tcPr>
            <w:tcW w:w="376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Coppabella, Queensland, Australia</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5"/>
              </w:rPr>
              <w:t>198 acres</w:t>
            </w:r>
          </w:p>
        </w:tc>
        <w:tc>
          <w:tcPr>
            <w:tcW w:w="4920" w:type="dxa"/>
            <w:vAlign w:val="bottom"/>
          </w:tcPr>
          <w:p>
            <w:pPr>
              <w:ind w:left="80"/>
              <w:spacing w:after="0"/>
              <w:rPr>
                <w:sz w:val="20"/>
                <w:szCs w:val="20"/>
                <w:color w:val="auto"/>
              </w:rPr>
            </w:pPr>
            <w:r>
              <w:rPr>
                <w:rFonts w:ascii="Arial" w:cs="Arial" w:eastAsia="Arial" w:hAnsi="Arial"/>
                <w:sz w:val="18"/>
                <w:szCs w:val="18"/>
                <w:color w:val="auto"/>
              </w:rPr>
              <w:t>Coppabella Village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Calliope, Queensland, Australia</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5"/>
              </w:rPr>
              <w:t>124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Calliope Village</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Narrabri, New South Wales, Australia</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6"/>
              </w:rPr>
              <w:t>82 acres</w:t>
            </w:r>
          </w:p>
        </w:tc>
        <w:tc>
          <w:tcPr>
            <w:tcW w:w="4920" w:type="dxa"/>
            <w:vAlign w:val="bottom"/>
          </w:tcPr>
          <w:p>
            <w:pPr>
              <w:ind w:left="80"/>
              <w:spacing w:after="0"/>
              <w:rPr>
                <w:sz w:val="20"/>
                <w:szCs w:val="20"/>
                <w:color w:val="auto"/>
              </w:rPr>
            </w:pPr>
            <w:r>
              <w:rPr>
                <w:rFonts w:ascii="Arial" w:cs="Arial" w:eastAsia="Arial" w:hAnsi="Arial"/>
                <w:sz w:val="18"/>
                <w:szCs w:val="18"/>
                <w:color w:val="auto"/>
              </w:rPr>
              <w:t>Narrabri Village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Boggabri, New South Wales, Australia</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52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Boggabri Village</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Dysart, Queensland, Australia</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6"/>
              </w:rPr>
              <w:t>50 acres</w:t>
            </w:r>
          </w:p>
        </w:tc>
        <w:tc>
          <w:tcPr>
            <w:tcW w:w="4920" w:type="dxa"/>
            <w:vAlign w:val="bottom"/>
          </w:tcPr>
          <w:p>
            <w:pPr>
              <w:ind w:left="80"/>
              <w:spacing w:after="0"/>
              <w:rPr>
                <w:sz w:val="20"/>
                <w:szCs w:val="20"/>
                <w:color w:val="auto"/>
              </w:rPr>
            </w:pPr>
            <w:r>
              <w:rPr>
                <w:rFonts w:ascii="Arial" w:cs="Arial" w:eastAsia="Arial" w:hAnsi="Arial"/>
                <w:sz w:val="18"/>
                <w:szCs w:val="18"/>
                <w:color w:val="auto"/>
              </w:rPr>
              <w:t>Dysart Village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Middlemount, Queensland, Australia</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37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Middlemount Village</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w w:val="93"/>
              </w:rPr>
              <w:t>Karratha, Western Australia, Australia (own and lease)</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6"/>
              </w:rPr>
              <w:t>34 acres</w:t>
            </w:r>
          </w:p>
        </w:tc>
        <w:tc>
          <w:tcPr>
            <w:tcW w:w="4920" w:type="dxa"/>
            <w:vAlign w:val="bottom"/>
          </w:tcPr>
          <w:p>
            <w:pPr>
              <w:ind w:left="80"/>
              <w:spacing w:after="0"/>
              <w:rPr>
                <w:sz w:val="20"/>
                <w:szCs w:val="20"/>
                <w:color w:val="auto"/>
              </w:rPr>
            </w:pPr>
            <w:r>
              <w:rPr>
                <w:rFonts w:ascii="Arial" w:cs="Arial" w:eastAsia="Arial" w:hAnsi="Arial"/>
                <w:sz w:val="18"/>
                <w:szCs w:val="18"/>
                <w:color w:val="auto"/>
              </w:rPr>
              <w:t>Karratha Village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Kambalda, Western Australia, Australia</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27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Kambalda Village</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Nebo, Queensland, Australia</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6"/>
              </w:rPr>
              <w:t>26 acres</w:t>
            </w:r>
          </w:p>
        </w:tc>
        <w:tc>
          <w:tcPr>
            <w:tcW w:w="4920" w:type="dxa"/>
            <w:vAlign w:val="bottom"/>
          </w:tcPr>
          <w:p>
            <w:pPr>
              <w:ind w:left="80"/>
              <w:spacing w:after="0"/>
              <w:rPr>
                <w:sz w:val="20"/>
                <w:szCs w:val="20"/>
                <w:color w:val="auto"/>
              </w:rPr>
            </w:pPr>
            <w:r>
              <w:rPr>
                <w:rFonts w:ascii="Arial" w:cs="Arial" w:eastAsia="Arial" w:hAnsi="Arial"/>
                <w:sz w:val="18"/>
                <w:szCs w:val="18"/>
                <w:color w:val="auto"/>
              </w:rPr>
              <w:t>Nebo Village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Moranbah, Queensland, Australia</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17 acres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Moranbah Village</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80" w:type="dxa"/>
            <w:vAlign w:val="bottom"/>
            <w:gridSpan w:val="3"/>
          </w:tcPr>
          <w:p>
            <w:pPr>
              <w:ind w:left="400"/>
              <w:spacing w:after="0"/>
              <w:rPr>
                <w:sz w:val="20"/>
                <w:szCs w:val="20"/>
                <w:color w:val="auto"/>
              </w:rPr>
            </w:pPr>
            <w:r>
              <w:rPr>
                <w:rFonts w:ascii="Arial" w:cs="Arial" w:eastAsia="Arial" w:hAnsi="Arial"/>
                <w:sz w:val="18"/>
                <w:szCs w:val="18"/>
                <w:color w:val="auto"/>
              </w:rPr>
              <w:t>Sydney, New South Wales, Australia (lease)</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0"/>
              </w:rPr>
              <w:t>17,276</w:t>
            </w:r>
          </w:p>
        </w:tc>
        <w:tc>
          <w:tcPr>
            <w:tcW w:w="4920" w:type="dxa"/>
            <w:vAlign w:val="bottom"/>
          </w:tcPr>
          <w:p>
            <w:pPr>
              <w:ind w:left="80"/>
              <w:spacing w:after="0"/>
              <w:rPr>
                <w:sz w:val="20"/>
                <w:szCs w:val="20"/>
                <w:color w:val="auto"/>
              </w:rPr>
            </w:pPr>
            <w:r>
              <w:rPr>
                <w:rFonts w:ascii="Arial" w:cs="Arial" w:eastAsia="Arial" w:hAnsi="Arial"/>
                <w:sz w:val="18"/>
                <w:szCs w:val="18"/>
                <w:color w:val="auto"/>
              </w:rPr>
              <w:t>Office</w:t>
            </w:r>
          </w:p>
        </w:tc>
        <w:tc>
          <w:tcPr>
            <w:tcW w:w="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Brisbane, Queensland, Australia (lease)</w:t>
            </w:r>
          </w:p>
        </w:tc>
        <w:tc>
          <w:tcPr>
            <w:tcW w:w="1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7,115</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40" w:type="dxa"/>
            <w:vAlign w:val="bottom"/>
          </w:tcPr>
          <w:p>
            <w:pPr>
              <w:spacing w:after="0"/>
              <w:rPr>
                <w:sz w:val="18"/>
                <w:szCs w:val="18"/>
                <w:color w:val="auto"/>
              </w:rPr>
            </w:pPr>
          </w:p>
        </w:tc>
      </w:tr>
      <w:tr>
        <w:trPr>
          <w:trHeight w:val="891"/>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20" w:type="dxa"/>
            <w:vAlign w:val="bottom"/>
          </w:tcPr>
          <w:p>
            <w:pPr>
              <w:jc w:val="right"/>
              <w:ind w:right="610"/>
              <w:spacing w:after="0"/>
              <w:rPr>
                <w:sz w:val="20"/>
                <w:szCs w:val="20"/>
                <w:color w:val="auto"/>
              </w:rPr>
            </w:pPr>
            <w:r>
              <w:rPr>
                <w:rFonts w:ascii="Arial" w:cs="Arial" w:eastAsia="Arial" w:hAnsi="Arial"/>
                <w:sz w:val="18"/>
                <w:szCs w:val="18"/>
                <w:color w:val="auto"/>
              </w:rPr>
              <w:t>44</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49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United States:</w:t>
            </w:r>
          </w:p>
        </w:tc>
        <w:tc>
          <w:tcPr>
            <w:tcW w:w="29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3960" w:type="dxa"/>
            <w:vAlign w:val="bottom"/>
            <w:gridSpan w:val="2"/>
          </w:tcPr>
          <w:p>
            <w:pPr>
              <w:ind w:left="400"/>
              <w:spacing w:after="0"/>
              <w:rPr>
                <w:sz w:val="20"/>
                <w:szCs w:val="20"/>
                <w:color w:val="auto"/>
              </w:rPr>
            </w:pPr>
            <w:r>
              <w:rPr>
                <w:rFonts w:ascii="Arial" w:cs="Arial" w:eastAsia="Arial" w:hAnsi="Arial"/>
                <w:sz w:val="18"/>
                <w:szCs w:val="18"/>
                <w:color w:val="auto"/>
              </w:rPr>
              <w:t>Houston, Texas (lease)</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8,900</w:t>
            </w:r>
          </w:p>
        </w:tc>
        <w:tc>
          <w:tcPr>
            <w:tcW w:w="5100" w:type="dxa"/>
            <w:vAlign w:val="bottom"/>
          </w:tcPr>
          <w:p>
            <w:pPr>
              <w:ind w:left="300"/>
              <w:spacing w:after="0"/>
              <w:rPr>
                <w:sz w:val="20"/>
                <w:szCs w:val="20"/>
                <w:color w:val="auto"/>
              </w:rPr>
            </w:pPr>
            <w:r>
              <w:rPr>
                <w:rFonts w:ascii="Arial" w:cs="Arial" w:eastAsia="Arial" w:hAnsi="Arial"/>
                <w:sz w:val="18"/>
                <w:szCs w:val="18"/>
                <w:color w:val="auto"/>
              </w:rPr>
              <w:t>Principal executive offices</w:t>
            </w:r>
          </w:p>
        </w:tc>
      </w:tr>
      <w:tr>
        <w:trPr>
          <w:trHeight w:val="216"/>
        </w:trPr>
        <w:tc>
          <w:tcPr>
            <w:tcW w:w="20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Killdeer, North Dakota</w:t>
            </w:r>
          </w:p>
        </w:tc>
        <w:tc>
          <w:tcPr>
            <w:tcW w:w="216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6"/>
              </w:rPr>
              <w:t>42 acres</w:t>
            </w:r>
          </w:p>
        </w:tc>
        <w:tc>
          <w:tcPr>
            <w:tcW w:w="5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Open camp</w:t>
            </w:r>
          </w:p>
        </w:tc>
      </w:tr>
      <w:tr>
        <w:trPr>
          <w:trHeight w:val="216"/>
        </w:trPr>
        <w:tc>
          <w:tcPr>
            <w:tcW w:w="200" w:type="dxa"/>
            <w:vAlign w:val="bottom"/>
          </w:tcPr>
          <w:p>
            <w:pPr>
              <w:spacing w:after="0"/>
              <w:rPr>
                <w:sz w:val="18"/>
                <w:szCs w:val="18"/>
                <w:color w:val="auto"/>
              </w:rPr>
            </w:pPr>
          </w:p>
        </w:tc>
        <w:tc>
          <w:tcPr>
            <w:tcW w:w="3960" w:type="dxa"/>
            <w:vAlign w:val="bottom"/>
            <w:gridSpan w:val="2"/>
          </w:tcPr>
          <w:p>
            <w:pPr>
              <w:ind w:left="400"/>
              <w:spacing w:after="0"/>
              <w:rPr>
                <w:sz w:val="20"/>
                <w:szCs w:val="20"/>
                <w:color w:val="auto"/>
              </w:rPr>
            </w:pPr>
            <w:r>
              <w:rPr>
                <w:rFonts w:ascii="Arial" w:cs="Arial" w:eastAsia="Arial" w:hAnsi="Arial"/>
                <w:sz w:val="18"/>
                <w:szCs w:val="18"/>
                <w:color w:val="auto"/>
              </w:rPr>
              <w:t>Pecos, Texas</w:t>
            </w:r>
          </w:p>
        </w:tc>
        <w:tc>
          <w:tcPr>
            <w:tcW w:w="2160" w:type="dxa"/>
            <w:vAlign w:val="bottom"/>
          </w:tcPr>
          <w:p>
            <w:pPr>
              <w:jc w:val="center"/>
              <w:ind w:left="830"/>
              <w:spacing w:after="0"/>
              <w:rPr>
                <w:sz w:val="20"/>
                <w:szCs w:val="20"/>
                <w:color w:val="auto"/>
              </w:rPr>
            </w:pPr>
            <w:r>
              <w:rPr>
                <w:rFonts w:ascii="Arial" w:cs="Arial" w:eastAsia="Arial" w:hAnsi="Arial"/>
                <w:sz w:val="18"/>
                <w:szCs w:val="18"/>
                <w:color w:val="auto"/>
                <w:w w:val="86"/>
              </w:rPr>
              <w:t>35 acres</w:t>
            </w:r>
          </w:p>
        </w:tc>
        <w:tc>
          <w:tcPr>
            <w:tcW w:w="5100" w:type="dxa"/>
            <w:vAlign w:val="bottom"/>
          </w:tcPr>
          <w:p>
            <w:pPr>
              <w:ind w:left="300"/>
              <w:spacing w:after="0"/>
              <w:rPr>
                <w:sz w:val="20"/>
                <w:szCs w:val="20"/>
                <w:color w:val="auto"/>
              </w:rPr>
            </w:pPr>
            <w:r>
              <w:rPr>
                <w:rFonts w:ascii="Arial" w:cs="Arial" w:eastAsia="Arial" w:hAnsi="Arial"/>
                <w:sz w:val="18"/>
                <w:szCs w:val="18"/>
                <w:color w:val="auto"/>
              </w:rPr>
              <w:t>Open camp</w:t>
            </w:r>
          </w:p>
        </w:tc>
      </w:tr>
      <w:tr>
        <w:trPr>
          <w:trHeight w:val="216"/>
        </w:trPr>
        <w:tc>
          <w:tcPr>
            <w:tcW w:w="20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Dickinson, North Dakota (lease)</w:t>
            </w:r>
          </w:p>
        </w:tc>
        <w:tc>
          <w:tcPr>
            <w:tcW w:w="216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6"/>
              </w:rPr>
              <w:t>26 acres</w:t>
            </w:r>
          </w:p>
        </w:tc>
        <w:tc>
          <w:tcPr>
            <w:tcW w:w="5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Mobile asset facility and yard</w:t>
            </w:r>
          </w:p>
        </w:tc>
      </w:tr>
      <w:tr>
        <w:trPr>
          <w:trHeight w:val="216"/>
        </w:trPr>
        <w:tc>
          <w:tcPr>
            <w:tcW w:w="200" w:type="dxa"/>
            <w:vAlign w:val="bottom"/>
          </w:tcPr>
          <w:p>
            <w:pPr>
              <w:spacing w:after="0"/>
              <w:rPr>
                <w:sz w:val="18"/>
                <w:szCs w:val="18"/>
                <w:color w:val="auto"/>
              </w:rPr>
            </w:pPr>
          </w:p>
        </w:tc>
        <w:tc>
          <w:tcPr>
            <w:tcW w:w="3960" w:type="dxa"/>
            <w:vAlign w:val="bottom"/>
            <w:gridSpan w:val="2"/>
          </w:tcPr>
          <w:p>
            <w:pPr>
              <w:ind w:left="400"/>
              <w:spacing w:after="0"/>
              <w:rPr>
                <w:sz w:val="20"/>
                <w:szCs w:val="20"/>
                <w:color w:val="auto"/>
              </w:rPr>
            </w:pPr>
            <w:r>
              <w:rPr>
                <w:rFonts w:ascii="Arial" w:cs="Arial" w:eastAsia="Arial" w:hAnsi="Arial"/>
                <w:sz w:val="18"/>
                <w:szCs w:val="18"/>
                <w:color w:val="auto"/>
              </w:rPr>
              <w:t>Vernal, Utah (lease)</w:t>
            </w:r>
          </w:p>
        </w:tc>
        <w:tc>
          <w:tcPr>
            <w:tcW w:w="2160" w:type="dxa"/>
            <w:vAlign w:val="bottom"/>
          </w:tcPr>
          <w:p>
            <w:pPr>
              <w:jc w:val="center"/>
              <w:ind w:left="830"/>
              <w:spacing w:after="0"/>
              <w:rPr>
                <w:sz w:val="20"/>
                <w:szCs w:val="20"/>
                <w:color w:val="auto"/>
              </w:rPr>
            </w:pPr>
            <w:r>
              <w:rPr>
                <w:rFonts w:ascii="Arial" w:cs="Arial" w:eastAsia="Arial" w:hAnsi="Arial"/>
                <w:sz w:val="18"/>
                <w:szCs w:val="18"/>
                <w:color w:val="auto"/>
                <w:w w:val="86"/>
              </w:rPr>
              <w:t>21 acres</w:t>
            </w:r>
          </w:p>
        </w:tc>
        <w:tc>
          <w:tcPr>
            <w:tcW w:w="5100" w:type="dxa"/>
            <w:vAlign w:val="bottom"/>
          </w:tcPr>
          <w:p>
            <w:pPr>
              <w:ind w:left="300"/>
              <w:spacing w:after="0"/>
              <w:rPr>
                <w:sz w:val="20"/>
                <w:szCs w:val="20"/>
                <w:color w:val="auto"/>
              </w:rPr>
            </w:pPr>
            <w:r>
              <w:rPr>
                <w:rFonts w:ascii="Arial" w:cs="Arial" w:eastAsia="Arial" w:hAnsi="Arial"/>
                <w:sz w:val="18"/>
                <w:szCs w:val="18"/>
                <w:color w:val="auto"/>
              </w:rPr>
              <w:t>Mobile asset facility and yard</w:t>
            </w:r>
          </w:p>
        </w:tc>
      </w:tr>
      <w:tr>
        <w:trPr>
          <w:trHeight w:val="216"/>
        </w:trPr>
        <w:tc>
          <w:tcPr>
            <w:tcW w:w="20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Casper, Wyoming (lease)</w:t>
            </w:r>
          </w:p>
        </w:tc>
        <w:tc>
          <w:tcPr>
            <w:tcW w:w="216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6"/>
              </w:rPr>
              <w:t>14 acres</w:t>
            </w:r>
          </w:p>
        </w:tc>
        <w:tc>
          <w:tcPr>
            <w:tcW w:w="5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Accommodations facility and yard</w:t>
            </w:r>
          </w:p>
        </w:tc>
      </w:tr>
      <w:tr>
        <w:trPr>
          <w:trHeight w:val="216"/>
        </w:trPr>
        <w:tc>
          <w:tcPr>
            <w:tcW w:w="200" w:type="dxa"/>
            <w:vAlign w:val="bottom"/>
          </w:tcPr>
          <w:p>
            <w:pPr>
              <w:spacing w:after="0"/>
              <w:rPr>
                <w:sz w:val="18"/>
                <w:szCs w:val="18"/>
                <w:color w:val="auto"/>
              </w:rPr>
            </w:pPr>
          </w:p>
        </w:tc>
        <w:tc>
          <w:tcPr>
            <w:tcW w:w="3960" w:type="dxa"/>
            <w:vAlign w:val="bottom"/>
            <w:gridSpan w:val="2"/>
          </w:tcPr>
          <w:p>
            <w:pPr>
              <w:ind w:left="400"/>
              <w:spacing w:after="0"/>
              <w:rPr>
                <w:sz w:val="20"/>
                <w:szCs w:val="20"/>
                <w:color w:val="auto"/>
              </w:rPr>
            </w:pPr>
            <w:r>
              <w:rPr>
                <w:rFonts w:ascii="Arial" w:cs="Arial" w:eastAsia="Arial" w:hAnsi="Arial"/>
                <w:sz w:val="18"/>
                <w:szCs w:val="18"/>
                <w:color w:val="auto"/>
              </w:rPr>
              <w:t>Belle Chasse, Louisiana</w:t>
            </w:r>
          </w:p>
        </w:tc>
        <w:tc>
          <w:tcPr>
            <w:tcW w:w="2160" w:type="dxa"/>
            <w:vAlign w:val="bottom"/>
          </w:tcPr>
          <w:p>
            <w:pPr>
              <w:jc w:val="center"/>
              <w:ind w:left="830"/>
              <w:spacing w:after="0"/>
              <w:rPr>
                <w:sz w:val="20"/>
                <w:szCs w:val="20"/>
                <w:color w:val="auto"/>
              </w:rPr>
            </w:pPr>
            <w:r>
              <w:rPr>
                <w:rFonts w:ascii="Arial" w:cs="Arial" w:eastAsia="Arial" w:hAnsi="Arial"/>
                <w:sz w:val="18"/>
                <w:szCs w:val="18"/>
                <w:color w:val="auto"/>
                <w:w w:val="86"/>
              </w:rPr>
              <w:t>10 acres</w:t>
            </w:r>
          </w:p>
        </w:tc>
        <w:tc>
          <w:tcPr>
            <w:tcW w:w="5100" w:type="dxa"/>
            <w:vAlign w:val="bottom"/>
          </w:tcPr>
          <w:p>
            <w:pPr>
              <w:ind w:left="300"/>
              <w:spacing w:after="0"/>
              <w:rPr>
                <w:sz w:val="20"/>
                <w:szCs w:val="20"/>
                <w:color w:val="auto"/>
              </w:rPr>
            </w:pPr>
            <w:r>
              <w:rPr>
                <w:rFonts w:ascii="Arial" w:cs="Arial" w:eastAsia="Arial" w:hAnsi="Arial"/>
                <w:sz w:val="18"/>
                <w:szCs w:val="18"/>
                <w:color w:val="auto"/>
              </w:rPr>
              <w:t>Manufacturing facility and yard</w:t>
            </w:r>
          </w:p>
        </w:tc>
      </w:tr>
      <w:tr>
        <w:trPr>
          <w:trHeight w:val="216"/>
        </w:trPr>
        <w:tc>
          <w:tcPr>
            <w:tcW w:w="20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Three Rivers, Texas (lease)</w:t>
            </w:r>
          </w:p>
        </w:tc>
        <w:tc>
          <w:tcPr>
            <w:tcW w:w="216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8"/>
              </w:rPr>
              <w:t>9 acres</w:t>
            </w:r>
          </w:p>
        </w:tc>
        <w:tc>
          <w:tcPr>
            <w:tcW w:w="5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Open camp (sold in January 2016)</w:t>
            </w:r>
          </w:p>
        </w:tc>
      </w:tr>
      <w:tr>
        <w:trPr>
          <w:trHeight w:val="216"/>
        </w:trPr>
        <w:tc>
          <w:tcPr>
            <w:tcW w:w="200" w:type="dxa"/>
            <w:vAlign w:val="bottom"/>
          </w:tcPr>
          <w:p>
            <w:pPr>
              <w:spacing w:after="0"/>
              <w:rPr>
                <w:sz w:val="18"/>
                <w:szCs w:val="18"/>
                <w:color w:val="auto"/>
              </w:rPr>
            </w:pPr>
          </w:p>
        </w:tc>
        <w:tc>
          <w:tcPr>
            <w:tcW w:w="3960" w:type="dxa"/>
            <w:vAlign w:val="bottom"/>
            <w:gridSpan w:val="2"/>
          </w:tcPr>
          <w:p>
            <w:pPr>
              <w:ind w:left="400"/>
              <w:spacing w:after="0"/>
              <w:rPr>
                <w:sz w:val="20"/>
                <w:szCs w:val="20"/>
                <w:color w:val="auto"/>
              </w:rPr>
            </w:pPr>
            <w:r>
              <w:rPr>
                <w:rFonts w:ascii="Arial" w:cs="Arial" w:eastAsia="Arial" w:hAnsi="Arial"/>
                <w:sz w:val="18"/>
                <w:szCs w:val="18"/>
                <w:color w:val="auto"/>
              </w:rPr>
              <w:t>Big Piney, Wyoming (lease)</w:t>
            </w:r>
          </w:p>
        </w:tc>
        <w:tc>
          <w:tcPr>
            <w:tcW w:w="2160" w:type="dxa"/>
            <w:vAlign w:val="bottom"/>
          </w:tcPr>
          <w:p>
            <w:pPr>
              <w:jc w:val="center"/>
              <w:ind w:left="830"/>
              <w:spacing w:after="0"/>
              <w:rPr>
                <w:sz w:val="20"/>
                <w:szCs w:val="20"/>
                <w:color w:val="auto"/>
              </w:rPr>
            </w:pPr>
            <w:r>
              <w:rPr>
                <w:rFonts w:ascii="Arial" w:cs="Arial" w:eastAsia="Arial" w:hAnsi="Arial"/>
                <w:sz w:val="18"/>
                <w:szCs w:val="18"/>
                <w:color w:val="auto"/>
                <w:w w:val="88"/>
              </w:rPr>
              <w:t>7 acres</w:t>
            </w:r>
          </w:p>
        </w:tc>
        <w:tc>
          <w:tcPr>
            <w:tcW w:w="5100" w:type="dxa"/>
            <w:vAlign w:val="bottom"/>
          </w:tcPr>
          <w:p>
            <w:pPr>
              <w:ind w:left="300"/>
              <w:spacing w:after="0"/>
              <w:rPr>
                <w:sz w:val="20"/>
                <w:szCs w:val="20"/>
                <w:color w:val="auto"/>
              </w:rPr>
            </w:pPr>
            <w:r>
              <w:rPr>
                <w:rFonts w:ascii="Arial" w:cs="Arial" w:eastAsia="Arial" w:hAnsi="Arial"/>
                <w:sz w:val="18"/>
                <w:szCs w:val="18"/>
                <w:color w:val="auto"/>
              </w:rPr>
              <w:t>Mobile asset facility and yard</w:t>
            </w:r>
          </w:p>
        </w:tc>
      </w:tr>
      <w:tr>
        <w:trPr>
          <w:trHeight w:val="216"/>
        </w:trPr>
        <w:tc>
          <w:tcPr>
            <w:tcW w:w="20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Stanley, North Dakota (lease)</w:t>
            </w:r>
          </w:p>
        </w:tc>
        <w:tc>
          <w:tcPr>
            <w:tcW w:w="216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8"/>
              </w:rPr>
              <w:t>7 acres</w:t>
            </w:r>
          </w:p>
        </w:tc>
        <w:tc>
          <w:tcPr>
            <w:tcW w:w="5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Open camp</w:t>
            </w:r>
          </w:p>
        </w:tc>
      </w:tr>
      <w:tr>
        <w:trPr>
          <w:trHeight w:val="230"/>
        </w:trPr>
        <w:tc>
          <w:tcPr>
            <w:tcW w:w="200" w:type="dxa"/>
            <w:vAlign w:val="bottom"/>
          </w:tcPr>
          <w:p>
            <w:pPr>
              <w:spacing w:after="0"/>
              <w:rPr>
                <w:sz w:val="20"/>
                <w:szCs w:val="20"/>
                <w:color w:val="auto"/>
              </w:rPr>
            </w:pPr>
          </w:p>
        </w:tc>
        <w:tc>
          <w:tcPr>
            <w:tcW w:w="3960" w:type="dxa"/>
            <w:vAlign w:val="bottom"/>
            <w:gridSpan w:val="2"/>
          </w:tcPr>
          <w:p>
            <w:pPr>
              <w:ind w:left="400"/>
              <w:spacing w:after="0"/>
              <w:rPr>
                <w:sz w:val="20"/>
                <w:szCs w:val="20"/>
                <w:color w:val="auto"/>
              </w:rPr>
            </w:pPr>
            <w:r>
              <w:rPr>
                <w:rFonts w:ascii="Arial" w:cs="Arial" w:eastAsia="Arial" w:hAnsi="Arial"/>
                <w:sz w:val="18"/>
                <w:szCs w:val="18"/>
                <w:color w:val="auto"/>
              </w:rPr>
              <w:t>Englewood, Colorado (lease)</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10,816</w:t>
            </w:r>
          </w:p>
        </w:tc>
        <w:tc>
          <w:tcPr>
            <w:tcW w:w="5100" w:type="dxa"/>
            <w:vAlign w:val="bottom"/>
          </w:tcPr>
          <w:p>
            <w:pPr>
              <w:ind w:left="300"/>
              <w:spacing w:after="0"/>
              <w:rPr>
                <w:sz w:val="20"/>
                <w:szCs w:val="20"/>
                <w:color w:val="auto"/>
              </w:rPr>
            </w:pPr>
            <w:r>
              <w:rPr>
                <w:rFonts w:ascii="Arial" w:cs="Arial" w:eastAsia="Arial" w:hAnsi="Arial"/>
                <w:sz w:val="18"/>
                <w:szCs w:val="18"/>
                <w:color w:val="auto"/>
              </w:rPr>
              <w:t>Office</w:t>
            </w:r>
          </w:p>
        </w:tc>
      </w:tr>
    </w:tbl>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own various undeveloped properties in British Columbia. 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81"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Leased land for our lodge properties in Canada refers to land leased from the Alberta government. We also lease land for our Karratha Village from the provincial government in Australia. Generally, our leases have an initial term of ten years and will expire between 2016 and 2026.</w:t>
      </w: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80" w:firstLine="189"/>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8" w:name="page49"/>
    <w:bookmarkEnd w:id="48"/>
    <w:p>
      <w:pPr>
        <w:jc w:val="center"/>
        <w:ind w:left="260"/>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Shares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common shares trade on the NYSE under the trading symbol “CVEO.” A “when-issued” trading market for our common shares on the NYSE began on May 19, 2014, and “regular-way” trading of our common shares began on June 2, 2014. Prior to May 19, 2014, there was no public market for our common shares. Set forth in the table below for the periods presented are the high and low sale prices for our common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left="90"/>
              <w:spacing w:after="0" w:line="191" w:lineRule="exact"/>
              <w:rPr>
                <w:sz w:val="20"/>
                <w:szCs w:val="20"/>
                <w:color w:val="auto"/>
              </w:rPr>
            </w:pPr>
            <w:r>
              <w:rPr>
                <w:rFonts w:ascii="Arial" w:cs="Arial" w:eastAsia="Arial" w:hAnsi="Arial"/>
                <w:sz w:val="18"/>
                <w:szCs w:val="18"/>
                <w:b w:val="1"/>
                <w:bCs w:val="1"/>
                <w:color w:val="auto"/>
                <w:w w:val="92"/>
              </w:rPr>
              <w:t>Dividend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Dividend</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Declared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Declared</w:t>
            </w:r>
          </w:p>
        </w:tc>
      </w:tr>
      <w:tr>
        <w:trPr>
          <w:trHeight w:val="234"/>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Low</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per Share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per Share</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2.25</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Second Quarter (1)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2.55</w:t>
            </w:r>
          </w:p>
        </w:tc>
        <w:tc>
          <w:tcPr>
            <w:tcW w:w="9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1.17</w:t>
            </w: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1.29</w:t>
            </w:r>
          </w:p>
        </w:tc>
        <w:tc>
          <w:tcPr>
            <w:tcW w:w="96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The high and low sale price for the second quarter of 2014 begins on June 2,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22, 2016, there were 17 holders of record of Civeo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Information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paid quarterly dividends in the amount of $0.13 per share during the third and fourth quarters of 2014. In late December 2014, we suspended our quarterly dividend in order to maintain our financial flexibility and best position our company for long-term success. Our management team and board of directors regularly evaluate our business, operations, cost structure, capital structure, capital return and capital allocation policies.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 by Registrant or its Affiliates in the Fourth Quarter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following tables present the selected historical consolidated financial information of Civeo and combined financial information of the accommodations business. The term “accommodations business” refers to Oil States’ historical accommodations segment reflected in its historical combined financial statements discussed herein and included in Item 8 of this annual report. The balance sheet data as of December 31, 2015 and 2014 and the statement of operations data for each of the years ended December 31, 2015, 2014 and 2013 are derived from our audited financial statements included in Item 8 of this annual report. The balance sheet data as of December 31, 2013, 2012 and 2011 and statement of operations data for the year ended December 31, 2012 and 2011 are derived from our audited combined financial statements not included in this annual report.</w:t>
      </w:r>
    </w:p>
    <w:p>
      <w:pPr>
        <w:spacing w:after="0" w:line="17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All financial information presented after our Spin-off from Oil States represents the consolidated results of operation and financial position of Civeo. Accordingly,</w:t>
      </w:r>
    </w:p>
    <w:p>
      <w:pPr>
        <w:spacing w:after="0" w:line="170" w:lineRule="exact"/>
        <w:rPr>
          <w:sz w:val="20"/>
          <w:szCs w:val="20"/>
          <w:color w:val="auto"/>
        </w:rPr>
      </w:pPr>
    </w:p>
    <w:p>
      <w:pPr>
        <w:ind w:left="980" w:right="20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consolidated statement of income data for the year ended December 31, 2015 consists entirely of the consolidated results of Civeo. Our consolidated statement of income data for the year ended December 31, 2014 consists of (i) the combined results of the Oil States accommodations business for the five months ended May 30, 2014 and (ii) the consolidated results of Civeo for the seven months ended December 31, 2014. Our consolidated statements of operations data for the years ended December 31, 2013, 2012 and 2011 consist entirely of the combined results of the Oil States accommodations business.</w:t>
      </w:r>
    </w:p>
    <w:p>
      <w:pPr>
        <w:spacing w:after="0" w:line="188" w:lineRule="exact"/>
        <w:rPr>
          <w:rFonts w:ascii="Arial" w:cs="Arial" w:eastAsia="Arial" w:hAnsi="Arial"/>
          <w:sz w:val="18"/>
          <w:szCs w:val="18"/>
          <w:color w:val="auto"/>
        </w:rPr>
      </w:pPr>
    </w:p>
    <w:p>
      <w:pPr>
        <w:ind w:left="980" w:right="88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consolidated balance sheet data at December 31, 2015 and 2014 consists entirely of the consolidated balances of Civeo, while at December 31, 2013, 2012 and 2011, it consists entirely of the combined balances of the Oil States accommodations business.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139" w:gutter="0" w:footer="0" w:header="0"/>
        </w:sectPr>
      </w:pPr>
    </w:p>
    <w:bookmarkStart w:id="49" w:name="page50"/>
    <w:bookmarkEnd w:id="49"/>
    <w:p>
      <w:pPr>
        <w:ind w:right="40" w:firstLine="324"/>
        <w:spacing w:after="0" w:line="257" w:lineRule="auto"/>
        <w:rPr>
          <w:sz w:val="20"/>
          <w:szCs w:val="20"/>
          <w:color w:val="auto"/>
        </w:rPr>
      </w:pPr>
      <w:r>
        <w:rPr>
          <w:rFonts w:ascii="Arial" w:cs="Arial" w:eastAsia="Arial" w:hAnsi="Arial"/>
          <w:sz w:val="18"/>
          <w:szCs w:val="18"/>
          <w:color w:val="auto"/>
        </w:rPr>
        <w:t>The historical financial information presented below should be read in conjunction with our consolidated financial statements and accompanying notes in Item 8 and “Management’s Discussion and Analysis of Financial Condition and Results of Operations” in Item 7 of this annual report. The financial information may not be indicative of our future performance and does not necessarily reflect what the financial position and results of operations would have been had we operated as a separate, stand-alone entity during the periods presented, including changes that have occurred in our operations as a result of our Spin-off from Oil States.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8"/>
                <w:szCs w:val="18"/>
                <w:b w:val="1"/>
                <w:bCs w:val="1"/>
                <w:color w:val="auto"/>
              </w:rPr>
              <w:t>For the year ended 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w w:val="95"/>
              </w:rPr>
              <w:t>(In thousands, except per share data)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517,963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942,891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1,041,104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1,108,875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(142,891)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259,456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242,159</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Civeo or the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as applicable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(131,759)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(189,043)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181,876</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244,721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168,505</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Diluted net income (loss) per share attributable to Civeo or the</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4620" w:type="dxa"/>
            <w:vAlign w:val="bottom"/>
            <w:shd w:val="clear" w:color="auto" w:fill="CCEEFF"/>
          </w:tcPr>
          <w:p>
            <w:pPr>
              <w:ind w:left="180"/>
              <w:spacing w:after="0" w:line="193" w:lineRule="exact"/>
              <w:rPr>
                <w:sz w:val="20"/>
                <w:szCs w:val="20"/>
                <w:color w:val="auto"/>
              </w:rPr>
            </w:pPr>
            <w:r>
              <w:rPr>
                <w:rFonts w:ascii="Arial" w:cs="Arial" w:eastAsia="Arial" w:hAnsi="Arial"/>
                <w:sz w:val="18"/>
                <w:szCs w:val="18"/>
                <w:color w:val="auto"/>
                <w:w w:val="94"/>
              </w:rPr>
              <w:t>Accommodations Business of Oil States International, Inc.,</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4"/>
        </w:trPr>
        <w:tc>
          <w:tcPr>
            <w:tcW w:w="4620" w:type="dxa"/>
            <w:vAlign w:val="bottom"/>
            <w:shd w:val="clear" w:color="auto" w:fill="CCEEFF"/>
          </w:tcPr>
          <w:p>
            <w:pPr>
              <w:ind w:left="180"/>
              <w:spacing w:after="0" w:line="253" w:lineRule="exact"/>
              <w:rPr>
                <w:sz w:val="20"/>
                <w:szCs w:val="20"/>
                <w:color w:val="auto"/>
              </w:rPr>
            </w:pPr>
            <w:r>
              <w:rPr>
                <w:rFonts w:ascii="Arial" w:cs="Arial" w:eastAsia="Arial" w:hAnsi="Arial"/>
                <w:sz w:val="18"/>
                <w:szCs w:val="18"/>
                <w:color w:val="auto"/>
              </w:rPr>
              <w:t xml:space="preserve">as applicable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As of 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9"/>
              </w:rPr>
              <w:t>(In thousands, except per share data)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1,071,212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1,829,161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2,123,237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2,132,925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1,799,894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335,171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350,530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383,862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755,625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123,497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126,972</w:t>
            </w: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Total Civeo shareholders’ equity or Oil States net investment,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applicable</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563,245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1,591,034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1,410,397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1,122,189</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340" w:right="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May 30, 2014, 106,538,044 shares of our common stock were distributed to Oil States stockholders in connection with the Spin-Off. For comparative purposes, and to provide a more meaningful calculation of weighted-average shares outstanding in our diluted net income (loss) per share calculation, we have assumed these shares were outstanding as of the beginning of each period prior to the separation presented in the calculation of weighted-average shares. In addition, we have assumed the dilutive securities outstanding at May 30, 2014 were also outstanding for each of the periods presented prior to the Spin-Off.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50" w:name="page51"/>
    <w:bookmarkEnd w:id="50"/>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You should read the following discussion and analysis together with our consolidated financial statements and the notes to those statements in Item 8 of this annual report.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8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May 5, 2014, the board of directors of Oil States International, Inc. (Oil States) approved the separation of its Accommodations Segment (Accommodations) into a standalone, publicly traded Delaware corporation, which we refer to herein as Civeo US. In accordance with the Separation and Distribution Agreement, the two companies were separated by Oil States distributing to its stockholders all 106,538,044 shares of common stock of Civeo US it held after the market closed on May 30, 2014 (the Spin-Off). Each Oil States stockholder received two shares of Civeo US common stock for every one share of Oil States stock held at the close of business on the record date of May 21, 2014. In conjunction with the Spin-Off, Oil States received a private letter ruling from the Internal Revenue Service to the effect that, based on certain facts, assumptions, representations and undertakings set forth in the ruling, for U.S. federal income tax purposes, Oil States’ distribution of Civeo US common stock was not taxable to Oil States or U.S. holders of Oil States common stock. Following the Spin-Off, Oil States retained no ownership interest in Civeo US, and each company now has separate public ownership, boards of directors and management. On June 2, 2014, Civeo US stock began trading the “regular-way” on the New York Stock Exchange (NYSE) under the “CVEO” stock symbol. Pursuant to the Separation and Distribution Agreement with Oil States, on May 28, 2014, we made a special cash distribution to Oil States of $750 million.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Redomiciling to Canada</w:t>
      </w:r>
    </w:p>
    <w:p>
      <w:pPr>
        <w:spacing w:after="0" w:line="28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July 17, 2015, we completed our change in place of incorporation from Delaware to British Columbia, Canada (the Redomicile Transaction). In the Redomicile Transaction, Civeo Corporation, a British Columbia, Canada limited company formerly named Civeo Canadian Holdings ULC (Civeo Canada), became the publicly traded parent company of the Civeo group of companies, and Civeo US, our former publicly traded Delaware parent became a wholly owned subsidiary of Civeo Canada.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in the Redomicile Transaction.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qualified for a self-directed redomiciling.</w:t>
      </w:r>
    </w:p>
    <w:p>
      <w:pPr>
        <w:spacing w:after="0" w:line="18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incurred costs related to the Redomicile Transaction totaling $7.0 million and $2.6 million for the years ended December 31, 2015 and 2014, respectively. In addition, we incurred costs related to the Amended Credit Facility totaling $5.5 million for the year ended December 31, 2015, of which $4.8 million has been capitalized as debt issuance costs and the remaining $0.7 million is included in interest expense.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Description of the Business</w:t>
      </w:r>
    </w:p>
    <w:p>
      <w:pPr>
        <w:spacing w:after="0" w:line="2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one of the largest integrated providers of longer-term and temporary remote site accommodations, logistics and facility management services to the natural resource industry. Our scalable modular facilities provide long-term and temporary workforce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 prior to the Spin-Off mean the Accommodations business of Oil States. For time periods after the Spin-Off, but prior to July 17, 2015, these terms refer to Civeo US and its consolidated subsidiaries. For time periods after July 17, 2015, these terms refer to Civeo Canada and its consolidated subsidiaries.</w:t>
      </w:r>
    </w:p>
    <w:p>
      <w:pPr>
        <w:spacing w:after="0" w:line="18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U.S. (U.S. GAAP). The combined financial statements include certain assets and liabilities that have historically been held at the Oil States corporate level, but are specifically identifiable or otherwise attributable to us.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(loss), cash flows and changes in shareholders’ equity / net investment for the year ended December 31, 2015 consist entirely of the consolidated results of Civeo.</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(loss), cash flows and changes in shareholders’ equity / net investment for the year ended December 31, 2014 consist of (i) the combined results of the Oil States’ Accommodations business for the five months ended May 30, 2014 and (ii) the consolidated results of Civeo for the seven months ended December 31, 2014.</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consolidated statements of operations, comprehensive income (loss), cash flows and changes in shareholders’ equity / net investment for the year ended December 31, 2013 consist entirely of the combined results of the Oil States’ Accommodations business.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consolidated balance sheets at December 31, 2015 and December 31, 2014 consist entirely of the consolidated balances of Civeo.</w:t>
      </w:r>
    </w:p>
    <w:p>
      <w:pPr>
        <w:spacing w:after="0" w:line="237"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2" w:name="page53"/>
    <w:bookmarkEnd w:id="52"/>
    <w:p>
      <w:pPr>
        <w:ind w:firstLine="324"/>
        <w:spacing w:after="0" w:line="287" w:lineRule="auto"/>
        <w:rPr>
          <w:sz w:val="20"/>
          <w:szCs w:val="20"/>
          <w:color w:val="auto"/>
        </w:rPr>
      </w:pPr>
      <w:r>
        <w:rPr>
          <w:rFonts w:ascii="Arial" w:cs="Arial" w:eastAsia="Arial" w:hAnsi="Arial"/>
          <w:sz w:val="16"/>
          <w:szCs w:val="16"/>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we perform these functions using our own resources or purchase services. Until February 28, 2015, however, some of these functions were provided by Oil States under a transition services agreement. Please see Note 17 – Related Party Transactions to the notes to consolidated financial statements in Item 8 of this annual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83"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We provide workforce accommodations to the natural resource industry in Canada, Australia and the United States.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and mining facilities. Industry capital spending programs are generally based on the outlook for commodity prices, economic growth and estimates of resource production. As a result, demand for our products and services is largely sensitive to expected commodity prices, principally related to crude oil, metallurgical (met) coal and natural gas.</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in the U.S. Gulf Coast. Depending on the extent of pipeline capacity availability, the WCS Differential has varied.</w:t>
      </w:r>
    </w:p>
    <w:p>
      <w:pPr>
        <w:spacing w:after="0" w:line="15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the fourth quarter of 2015 and continuing into 2016, global oil prices dropped to their lowest level in over ten years due to concerns over global oil demand, the economic growth rate in China, the overall economic health of Europe and price cutting by major oil producing countries, such as Saudi Arabia. Increasing global supply, including increased U.S. shale oil production, has also negatively impacted pricing. With falling Brent Crude and WTI oil prices, WCS has also fallen. WCS prices in the fourth quarter of 2015 averaged $27.82 per barrel compared to $57.75 in the fourth quarter of 2014. The WCS Differential narrowed from $16.00 per barrel at the end of the fourth quarter of 2014 to $13.25 per barrel by the end of the fourth quarter of 2015. As of February 19, 2016, the WTI price was $29.64 and the WCS price was $19.20 resulting in a WCS Differential of $10.44.</w:t>
      </w:r>
    </w:p>
    <w:p>
      <w:pPr>
        <w:spacing w:after="0" w:line="17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There remains a significant risk that prices in the oil sands could continue to deteriorate or remain at current depressed levels for an extended period of time, and the discount between WCS crude prices and WTI crude prices could widen. The continuation of these depressed price levels has negatively impacted exploration, development and production activity by Canadian operators and, therefore, demand for our services in 2016. Our Canadian oil sands customers could continue to delay additional investments in their oil sands assets as well.</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3" w:name="page54"/>
    <w:bookmarkEnd w:id="53"/>
    <w:p>
      <w:pPr>
        <w:ind w:firstLine="324"/>
        <w:spacing w:after="0" w:line="286" w:lineRule="auto"/>
        <w:rPr>
          <w:sz w:val="20"/>
          <w:szCs w:val="20"/>
          <w:color w:val="auto"/>
        </w:rPr>
      </w:pPr>
      <w:r>
        <w:rPr>
          <w:rFonts w:ascii="Arial" w:cs="Arial" w:eastAsia="Arial" w:hAnsi="Arial"/>
          <w:sz w:val="16"/>
          <w:szCs w:val="16"/>
          <w:color w:val="auto"/>
        </w:rPr>
        <w:t>In Australia, we have 9,296 total rooms in our ten villages, of which 7,392 rooms in five villages serve the Bowen Basin. Our Australian villages in the Bowen Basin primarily serve met coal mines in that region. Met coal pricing and growth in production in the Bowen Basin region is influenced by levels of global steel production. Global steel production has decreased 2.8% during 2015 compared to the same period in 2014. Furthermore, Chinese steel production decreased 2.3% during 2015, and accordingly, Chinese demand for imported steel inputs, such as met coal and iron ore, has continued to decrease during</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2015 compared to prior periods. Because of this, coupled with the fact that Australian met coal output has decreased 1% during 2015 compared to 2014, met coal prices have decreased materially from over $160 per metric tonne at the beginning of 2013 to approximately $89.00 per metric ton for the fourth quarter of 2015. As of February 19, 2016, contract met coal prices were approximately $81.00 per metric ton. We expect the lower first quarter 2016 contract price to continue to negatively impact occupancy at our Bowen Basin villages into 2016.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Long-term demand for steel will be driven by increased steel consumption per capita in developing economies, such as China and India, whose current consumption per capita is a fraction of developed countries.</w:t>
      </w:r>
    </w:p>
    <w:p>
      <w:pPr>
        <w:spacing w:after="0" w:line="22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Natural gas and WTI crude oil prices, discussed above, have an impact on the demand for our U.S. accommodations. Prices for natural gas in the U.S. averaged $2.63 per mcf in 2015, a 38% decrease over the average price in 2014. U.S. natural gas production has continued to outpace demand recently, which has caused prices to continue to be weak relative to historical prices. These weaker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300" w:type="dxa"/>
        <w:tblCellMar>
          <w:top w:w="0" w:type="dxa"/>
          <w:left w:w="0" w:type="dxa"/>
          <w:bottom w:w="0" w:type="dxa"/>
          <w:right w:w="0" w:type="dxa"/>
        </w:tblCellMar>
      </w:tblPr>
      <w:tr>
        <w:trPr>
          <w:trHeight w:val="345"/>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3"/>
              </w:rPr>
              <w:t>Henry</w:t>
            </w:r>
          </w:p>
        </w:tc>
        <w:tc>
          <w:tcPr>
            <w:tcW w:w="10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WTI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WCS</w:t>
            </w: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Hard</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Hub</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Coking Coal</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Natural</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Crude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Crude</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(Met Coal)</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Gas</w:t>
            </w:r>
          </w:p>
        </w:tc>
      </w:tr>
      <w:tr>
        <w:trPr>
          <w:trHeight w:val="234"/>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(per bbl)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(per bbl)</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(per tonne)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(per mcf)</w:t>
            </w:r>
          </w:p>
        </w:tc>
        <w:tc>
          <w:tcPr>
            <w:tcW w:w="100" w:type="dxa"/>
            <w:vAlign w:val="bottom"/>
          </w:tcPr>
          <w:p>
            <w:pPr>
              <w:spacing w:after="0"/>
              <w:rPr>
                <w:sz w:val="20"/>
                <w:szCs w:val="20"/>
                <w:color w:val="auto"/>
              </w:rPr>
            </w:pPr>
          </w:p>
        </w:tc>
      </w:tr>
      <w:tr>
        <w:trPr>
          <w:trHeight w:val="210"/>
        </w:trPr>
        <w:tc>
          <w:tcPr>
            <w:tcW w:w="39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First Quarter through 2/19/16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90"/>
              </w:rPr>
              <w:t>12/31/2015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89.00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92"/>
              </w:rPr>
              <w:t>6/30/2015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109.50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90"/>
              </w:rPr>
              <w:t>12/31/2014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119.00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92"/>
              </w:rPr>
              <w:t>6/30/2014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83.78</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77.76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90"/>
              </w:rPr>
              <w:t>12/31/2013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152.00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92"/>
              </w:rPr>
              <w:t>6/30/2013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172.00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r>
      <w:tr>
        <w:trPr>
          <w:trHeight w:val="218"/>
        </w:trPr>
        <w:tc>
          <w:tcPr>
            <w:tcW w:w="3900" w:type="dxa"/>
            <w:vAlign w:val="bottom"/>
          </w:tcPr>
          <w:p>
            <w:pPr>
              <w:jc w:val="center"/>
              <w:spacing w:after="0"/>
              <w:rPr>
                <w:sz w:val="20"/>
                <w:szCs w:val="20"/>
                <w:color w:val="auto"/>
              </w:rPr>
            </w:pPr>
            <w:r>
              <w:rPr>
                <w:rFonts w:ascii="Arial" w:cs="Arial" w:eastAsia="Arial" w:hAnsi="Arial"/>
                <w:sz w:val="18"/>
                <w:szCs w:val="18"/>
                <w:color w:val="auto"/>
                <w:w w:val="90"/>
              </w:rPr>
              <w:t>12/31/2012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bl>
    <w:p>
      <w:pPr>
        <w:spacing w:after="0"/>
        <w:rPr>
          <w:sz w:val="20"/>
          <w:szCs w:val="20"/>
          <w:color w:val="auto"/>
        </w:rPr>
      </w:pPr>
      <w:r>
        <w:rPr>
          <w:rFonts w:ascii="Arial" w:cs="Arial" w:eastAsia="Arial" w:hAnsi="Arial"/>
          <w:sz w:val="18"/>
          <w:szCs w:val="18"/>
          <w:color w:val="auto"/>
        </w:rPr>
        <w:t>__________</w:t>
      </w:r>
    </w:p>
    <w:p>
      <w:pPr>
        <w:spacing w:after="0" w:line="7" w:lineRule="exact"/>
        <w:rPr>
          <w:sz w:val="20"/>
          <w:szCs w:val="20"/>
          <w:color w:val="auto"/>
        </w:rPr>
      </w:pPr>
    </w:p>
    <w:p>
      <w:pPr>
        <w:ind w:left="340" w:right="320" w:hanging="332"/>
        <w:spacing w:after="0" w:line="26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Seaborne hard coking coal contract price from Bloomberg.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the U.S., Canada, Australia and other markets.</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covering lodging and meals that is based on the duration of their needs which can range from several weeks to several years.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54" w:name="page55"/>
    <w:bookmarkEnd w:id="54"/>
    <w:p>
      <w:pPr>
        <w:ind w:right="320" w:firstLine="324"/>
        <w:spacing w:after="0" w:line="279" w:lineRule="auto"/>
        <w:rPr>
          <w:sz w:val="20"/>
          <w:szCs w:val="20"/>
          <w:color w:val="auto"/>
        </w:rPr>
      </w:pPr>
      <w:r>
        <w:rPr>
          <w:rFonts w:ascii="Arial" w:cs="Arial" w:eastAsia="Arial" w:hAnsi="Arial"/>
          <w:sz w:val="17"/>
          <w:szCs w:val="17"/>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Announcements of certain new and expanded oil sands projects can create the opportunity to extend existing accommodations contracts and incremental contracts for us in Canada. There have been few new or expanded projects announced in recent months.</w:t>
      </w:r>
    </w:p>
    <w:p>
      <w:pPr>
        <w:spacing w:after="0" w:line="17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With the current commodity price environment and expected demand, concerns about take-away capacity out of the oil sands region and continued high costs including labor costs, the current outlook for oil sands activity has continued to deteriorate throughout 2015. Further, project delays and cancellations have continued throughout 2015. Although we are currently the primary third-party accommodations provider for the two major construction projects in the oil sands region, the Fort Hills project and the Kearl Project, outlook for additional major oil sands construction projects is limited. Oil sands operators are looking to reduce their costs and capital spending, limiting the demand for accommodations like we provide. As a result, we experienced materially lower revenues and earnings from our Canadian operations for the year ended December 31, 2015 and expect this trend to continue into 2016.</w:t>
      </w:r>
    </w:p>
    <w:p>
      <w:pPr>
        <w:spacing w:after="0" w:line="16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We began expansion of our room count in Kitimat, British Columbia during the second half of 2015 to support potential LNG projects on the west coast of British Columbia. We were recently awarded a contract with LNG Canada for the provision of open lodge rooms and associated services. To support this new contract, we have developed a new accommodations facility, named Sitka Lodge, which includes private washrooms, recreational facilities and other amenities. This new lodge initially has 436 rooms with the potential to expand to serve future accommodations demand in the region.</w:t>
      </w:r>
    </w:p>
    <w:p>
      <w:pPr>
        <w:spacing w:after="0" w:line="15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or cease production from higher cost mines and delay or materially reduce their growth plans. This has negatively affected our ability to expand our room count and has led to a decrease in occupancy levels. Despite the repeal of carbon and mining taxes, continued concerns about China’s economy, which significantly influences the global demand for steel, and therefore, met coal, the outlook for met coal demand continues to be negative. As a result, our Australian business has continued to experience lower occupancy levels throughout 2015, and this trend should continue into 2016.</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oil and coal prices remain at current levels, or continue to decline, the resulting impact has and may continue to negatively affect the value of our long-lived assets. Impairment expense of $122.9 million was recorded in 2015, of which $79.7 million was associated with long-lived assets and the remaining $43.2 million was associated with goodwill. Impairment expense of $290.5 million was recorded in 2014, of which $87.8 million was associated with long-lived assets and the remaining $202.7 million was associated with goodwill.</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Exchange rates between the U.S. dollar and the Canadian dollar and between the U.S. dollar and the Australian dollar influence our U.S. dollar reported financial results. Our business has historically derived the vast majority of its revenues and operating income in Canada and Australia. These revenues and profits are translated into U.S. dollars for U.S. GAAP financial reporting purposes. The Canadian dollar was valued at an average exchange rate of U.S. $0.78 for 2015 compared to U.S. $0.91 for 2014, a decrease of approximately 14%. The Canadian dollar was valued at an exchange rate of $0.72 on December 31, 2015 and $0.86 on December 31, 2014. The Australian dollar was valued at an average exchange rate of U.S. $0.75 for 2015 compared to U.S. $0.90 for 2014, a decrease of approximately 17%. The Australian dollar was valued at an exchange rate of $0.73 on December 31, 2015 and $0.82 on December 31, 2014. This weakening of the Canadian and Australian dollars has and may continue to have a proportionately negative impact on the translation of earnings generated from our Canadian and Australian subsidiaries and, therefore, our financial results.</w:t>
      </w:r>
    </w:p>
    <w:p>
      <w:pPr>
        <w:spacing w:after="0" w:line="220"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 xml:space="preserve">We continue to monitor the global economy, the demand for crude oil, met coal and natural gas and the resultant impact on the capital spending plans of our customers in order to plan our business. We currently expect that our 2016 capital expenditures will total approximately $30 million, compared to 2015 capital expenditures of $62 million. Please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below for further discussion of 2016 and 2015 capital expenditures.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years ended December 31, 2015 and 2014 is based on a comparison with the corresponding period of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Year Ended December 31, 2015 Compared to Year Ended December 31, 2014</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 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Canada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344,249</w:t>
            </w:r>
          </w:p>
        </w:tc>
        <w:tc>
          <w:tcPr>
            <w:tcW w:w="12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661,416</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(317,167)</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(77,315)</w:t>
            </w:r>
          </w:p>
        </w:tc>
        <w:tc>
          <w:tcPr>
            <w:tcW w:w="0" w:type="dxa"/>
            <w:vAlign w:val="bottom"/>
          </w:tcPr>
          <w:p>
            <w:pPr>
              <w:spacing w:after="0"/>
              <w:rPr>
                <w:sz w:val="1"/>
                <w:szCs w:val="1"/>
                <w:color w:val="auto"/>
              </w:rPr>
            </w:pPr>
          </w:p>
        </w:tc>
      </w:tr>
      <w:tr>
        <w:trPr>
          <w:trHeight w:val="230"/>
        </w:trPr>
        <w:tc>
          <w:tcPr>
            <w:tcW w:w="576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68,196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(30,446)</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517,963</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942,891</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 and services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8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402,182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(171,469)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Australia</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89,507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(28,922)</w:t>
            </w:r>
          </w:p>
        </w:tc>
        <w:tc>
          <w:tcPr>
            <w:tcW w:w="0" w:type="dxa"/>
            <w:vAlign w:val="bottom"/>
          </w:tcPr>
          <w:p>
            <w:pPr>
              <w:spacing w:after="0"/>
              <w:rPr>
                <w:sz w:val="1"/>
                <w:szCs w:val="1"/>
                <w:color w:val="auto"/>
              </w:rPr>
            </w:pPr>
          </w:p>
        </w:tc>
      </w:tr>
      <w:tr>
        <w:trPr>
          <w:trHeight w:val="230"/>
        </w:trPr>
        <w:tc>
          <w:tcPr>
            <w:tcW w:w="5760" w:type="dxa"/>
            <w:vAlign w:val="bottom"/>
          </w:tcPr>
          <w:p>
            <w:pPr>
              <w:ind w:left="480"/>
              <w:spacing w:after="0"/>
              <w:rPr>
                <w:sz w:val="20"/>
                <w:szCs w:val="20"/>
                <w:color w:val="auto"/>
              </w:rPr>
            </w:pPr>
            <w:r>
              <w:rPr>
                <w:rFonts w:ascii="Arial" w:cs="Arial" w:eastAsia="Arial" w:hAnsi="Arial"/>
                <w:sz w:val="18"/>
                <w:szCs w:val="18"/>
                <w:color w:val="auto"/>
              </w:rPr>
              <w:t>United States and other</w:t>
            </w: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53,232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(16,917)</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cost of sales and services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327,613</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544,921</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68,441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70,345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Spin-off and formation costs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152,990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174,970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(21,980)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(167,582)</w:t>
            </w:r>
          </w:p>
        </w:tc>
        <w:tc>
          <w:tcPr>
            <w:tcW w:w="0" w:type="dxa"/>
            <w:vAlign w:val="bottom"/>
          </w:tcPr>
          <w:p>
            <w:pPr>
              <w:spacing w:after="0"/>
              <w:rPr>
                <w:sz w:val="1"/>
                <w:szCs w:val="1"/>
                <w:color w:val="auto"/>
              </w:rPr>
            </w:pPr>
          </w:p>
        </w:tc>
      </w:tr>
      <w:tr>
        <w:trPr>
          <w:trHeight w:val="230"/>
        </w:trPr>
        <w:tc>
          <w:tcPr>
            <w:tcW w:w="5760" w:type="dxa"/>
            <w:vAlign w:val="bottom"/>
          </w:tcPr>
          <w:p>
            <w:pPr>
              <w:ind w:left="320"/>
              <w:spacing w:after="0"/>
              <w:rPr>
                <w:sz w:val="20"/>
                <w:szCs w:val="20"/>
                <w:color w:val="auto"/>
              </w:rPr>
            </w:pPr>
            <w:r>
              <w:rPr>
                <w:rFonts w:ascii="Arial" w:cs="Arial" w:eastAsia="Arial" w:hAnsi="Arial"/>
                <w:sz w:val="18"/>
                <w:szCs w:val="18"/>
                <w:color w:val="auto"/>
              </w:rPr>
              <w:t>Other operating expense (income)</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662,966</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1,085,782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(422,816)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60" w:type="dxa"/>
            <w:vAlign w:val="bottom"/>
          </w:tcPr>
          <w:p>
            <w:pPr>
              <w:ind w:left="160"/>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(145,003)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(142,891)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Interest expense and income, net</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(20,916)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tcPr>
          <w:p>
            <w:pPr>
              <w:ind w:left="16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(163,753)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(156,283)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162"/>
        </w:trPr>
        <w:tc>
          <w:tcPr>
            <w:tcW w:w="57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Income tax benefit (provision)</w:t>
            </w:r>
          </w:p>
        </w:tc>
        <w:tc>
          <w:tcPr>
            <w:tcW w:w="3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33,089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64,468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76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gridSpan w:val="2"/>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gridSpan w:val="2"/>
            <w:shd w:val="clear" w:color="auto" w:fill="CCEEFF"/>
          </w:tcPr>
          <w:p>
            <w:pPr>
              <w:jc w:val="right"/>
              <w:ind w:right="120"/>
              <w:spacing w:after="0" w:line="68" w:lineRule="exact"/>
              <w:rPr>
                <w:sz w:val="20"/>
                <w:szCs w:val="20"/>
                <w:color w:val="auto"/>
              </w:rPr>
            </w:pPr>
            <w:r>
              <w:rPr>
                <w:rFonts w:ascii="Arial" w:cs="Arial" w:eastAsia="Arial" w:hAnsi="Arial"/>
                <w:sz w:val="7"/>
                <w:szCs w:val="7"/>
                <w:color w:val="auto"/>
              </w:rPr>
              <w:t>(31,379</w:t>
            </w:r>
          </w:p>
        </w:tc>
        <w:tc>
          <w:tcPr>
            <w:tcW w:w="6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right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7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(130,664)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(187,662)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50"/>
        </w:trPr>
        <w:tc>
          <w:tcPr>
            <w:tcW w:w="57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loss attributable to Civeo</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(131,759)</w:t>
            </w:r>
          </w:p>
        </w:tc>
        <w:tc>
          <w:tcPr>
            <w:tcW w:w="3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(189,043)</w:t>
            </w:r>
          </w:p>
        </w:tc>
        <w:tc>
          <w:tcPr>
            <w:tcW w:w="3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57,284</w:t>
            </w: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reported net loss attributable to Civeo for the year ended December 31, 2015 of $131.8 million, or $1.24 per diluted share. As further discussed below, net loss included the following items:</w:t>
      </w:r>
    </w:p>
    <w:p>
      <w:pPr>
        <w:spacing w:after="0" w:line="224" w:lineRule="exact"/>
        <w:rPr>
          <w:sz w:val="20"/>
          <w:szCs w:val="20"/>
          <w:color w:val="auto"/>
        </w:rPr>
      </w:pPr>
    </w:p>
    <w:p>
      <w:pPr>
        <w:ind w:left="980" w:right="280" w:hanging="324"/>
        <w:spacing w:after="0" w:line="25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$80.7 million pre-tax loss ($56.0 million after-tax, or $0.52 per diluted share) resulting from the impairment of fixed assets and intangible assets, included in Impairment expense below;</w:t>
      </w:r>
    </w:p>
    <w:p>
      <w:pPr>
        <w:spacing w:after="0" w:line="1" w:lineRule="exact"/>
        <w:rPr>
          <w:rFonts w:ascii="Arial" w:cs="Arial" w:eastAsia="Arial" w:hAnsi="Arial"/>
          <w:sz w:val="18"/>
          <w:szCs w:val="18"/>
          <w:color w:val="auto"/>
        </w:rPr>
      </w:pPr>
    </w:p>
    <w:p>
      <w:pPr>
        <w:ind w:left="980" w:right="44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$43.2 million pre-tax loss ($43.2 million after-tax, or $0.40 per diluted share) resulting from the impairment of goodwill in our Canadian reporting unit, included in Impairment expense below;</w:t>
      </w:r>
    </w:p>
    <w:p>
      <w:pPr>
        <w:ind w:left="98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$7.0 million pre-tax loss ($4.6 million after-tax, or $0.05 per diluted share) from costs incurred in connection with the Redomicile Transaction, included in Selling, general and administrative (SG&amp;A) expense below; and</w:t>
      </w:r>
    </w:p>
    <w:p>
      <w:pPr>
        <w:ind w:left="980" w:right="480" w:hanging="324"/>
        <w:spacing w:after="0" w:line="261"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$1.5 million pre-tax loss ($1.5 million after-tax, or $0.01 per diluted share) from the write off of debt issuance costs, included in Interest expense and income, net below.</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6" w:name="page57"/>
    <w:bookmarkEnd w:id="56"/>
    <w:p>
      <w:pPr>
        <w:ind w:right="500" w:firstLine="324"/>
        <w:spacing w:after="0" w:line="277" w:lineRule="auto"/>
        <w:rPr>
          <w:sz w:val="20"/>
          <w:szCs w:val="20"/>
          <w:color w:val="auto"/>
        </w:rPr>
      </w:pPr>
      <w:r>
        <w:rPr>
          <w:rFonts w:ascii="Arial" w:cs="Arial" w:eastAsia="Arial" w:hAnsi="Arial"/>
          <w:sz w:val="18"/>
          <w:szCs w:val="18"/>
          <w:color w:val="auto"/>
        </w:rPr>
        <w:t>We reported net loss attributable to Civeo for the year ended December 31, 2014 of $189.0 million, or $1.77 per diluted share. As further discussed below, net loss included the following items:</w:t>
      </w:r>
    </w:p>
    <w:p>
      <w:pPr>
        <w:spacing w:after="0" w:line="170" w:lineRule="exact"/>
        <w:rPr>
          <w:sz w:val="20"/>
          <w:szCs w:val="20"/>
          <w:color w:val="auto"/>
        </w:rPr>
      </w:pPr>
    </w:p>
    <w:p>
      <w:pPr>
        <w:ind w:left="980" w:hanging="324"/>
        <w:spacing w:after="0" w:line="258"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$202.7 million pre-tax loss ($201.2 million after-tax, or $1.89 per diluted share) from goodwill impairments, included in Impairment expense below;</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$75.6 million pre-tax loss ($50.9 million after-tax, or $0.48 per diluted share) from fixed asset impairments, included in Impairment expense below;</w:t>
      </w:r>
    </w:p>
    <w:p>
      <w:pPr>
        <w:jc w:val="both"/>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$34.9 million tax expense ($0.33 per diluted share) from the establishment of a deferred tax liability related to a portion of our undistributed foreign earnings which we no longer intend to indefinitely reinvest and a valuation allowance related to deferred tax assets related to capital losses that are not expected to be realized, included in Income tax provision below;</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$12.2 million pre-tax loss ($8.4 million after-tax, or $0.08 per diluted share) from intangible asset impairments, included in Impairment expense below,</w:t>
      </w:r>
    </w:p>
    <w:p>
      <w:pPr>
        <w:ind w:left="980" w:right="2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$7.8 million pre-tax loss ($5.1 million after-tax, or $0.05 per diluted share) from transition costs and debt extinguishment costs incurred in connection with the Spin-Off from Oil States, included Spin-Off and formation costs and Interest expense below;</w:t>
      </w:r>
    </w:p>
    <w:p>
      <w:pPr>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$4.1 million pre-tax loss ($3.1 million after-tax, or $0.03 per diluted share) from severance costs associated with the termination of an executive, included in SG&amp;A expenses below; and</w:t>
      </w:r>
    </w:p>
    <w:p>
      <w:pPr>
        <w:ind w:left="98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$2.6 million pre-tax loss ($1.7 million after-tax, or $0.02 per diluted share) from costs associated with the proposed migration to Canada, included in SG&amp;A expenses below.</w:t>
      </w:r>
    </w:p>
    <w:p>
      <w:pPr>
        <w:spacing w:after="0" w:line="180" w:lineRule="exact"/>
        <w:rPr>
          <w:sz w:val="20"/>
          <w:szCs w:val="20"/>
          <w:color w:val="auto"/>
        </w:rPr>
      </w:pPr>
    </w:p>
    <w:p>
      <w:pPr>
        <w:jc w:val="both"/>
        <w:ind w:right="60" w:firstLine="324"/>
        <w:spacing w:after="0" w:line="347"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decreased $424.9 million, or 45%, in 2015 compared to 2014. This decline was largely driven by decreases in Canada</w:t>
      </w:r>
      <w:r>
        <w:rPr>
          <w:rFonts w:ascii="Arial" w:cs="Arial" w:eastAsia="Arial" w:hAnsi="Arial"/>
          <w:sz w:val="16"/>
          <w:szCs w:val="16"/>
          <w:b w:val="1"/>
          <w:bCs w:val="1"/>
          <w:color w:val="auto"/>
        </w:rPr>
        <w:t xml:space="preserve"> </w:t>
      </w:r>
      <w:r>
        <w:rPr>
          <w:rFonts w:ascii="Arial" w:cs="Arial" w:eastAsia="Arial" w:hAnsi="Arial"/>
          <w:sz w:val="16"/>
          <w:szCs w:val="16"/>
          <w:color w:val="auto"/>
        </w:rPr>
        <w:t>and Australia, due to lower occupancy, as well as weakening Canadian and Australian dollars. Please see further description in the segment discussion below.</w:t>
      </w:r>
    </w:p>
    <w:p>
      <w:pPr>
        <w:spacing w:after="0" w:line="116"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$217.3 million, or 40%, in 2015 compared to 2014 primarily due to decreases in</w:t>
      </w:r>
      <w:r>
        <w:rPr>
          <w:rFonts w:ascii="Arial" w:cs="Arial" w:eastAsia="Arial" w:hAnsi="Arial"/>
          <w:sz w:val="18"/>
          <w:szCs w:val="18"/>
          <w:b w:val="1"/>
          <w:bCs w:val="1"/>
          <w:color w:val="auto"/>
        </w:rPr>
        <w:t xml:space="preserve"> </w:t>
      </w:r>
      <w:r>
        <w:rPr>
          <w:rFonts w:ascii="Arial" w:cs="Arial" w:eastAsia="Arial" w:hAnsi="Arial"/>
          <w:sz w:val="18"/>
          <w:szCs w:val="18"/>
          <w:color w:val="auto"/>
        </w:rPr>
        <w:t>occupancy in both Canada and Australia, as well as the weakening Canadian and Australian dollars. Please see further description in the segment discussion below.</w:t>
      </w:r>
    </w:p>
    <w:p>
      <w:pPr>
        <w:spacing w:after="0" w:line="176"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decreased $1.9 million, or 3%, in 2015 compared to 2014. Increased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being a publicly traded company for a full year and costs associated with the Redomicile Transaction of $7.0 million were more than offset by lower employee costs as well as the impact of the weakening Canadian and Australian dollars.</w:t>
      </w:r>
    </w:p>
    <w:p>
      <w:pPr>
        <w:spacing w:after="0" w:line="176"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$4.3 million relate to transition costs incurred during 2014 associated with becoming a</w:t>
      </w:r>
      <w:r>
        <w:rPr>
          <w:rFonts w:ascii="Arial" w:cs="Arial" w:eastAsia="Arial" w:hAnsi="Arial"/>
          <w:sz w:val="18"/>
          <w:szCs w:val="18"/>
          <w:b w:val="1"/>
          <w:bCs w:val="1"/>
          <w:color w:val="auto"/>
        </w:rPr>
        <w:t xml:space="preserve"> </w:t>
      </w:r>
      <w:r>
        <w:rPr>
          <w:rFonts w:ascii="Arial" w:cs="Arial" w:eastAsia="Arial" w:hAnsi="Arial"/>
          <w:sz w:val="18"/>
          <w:szCs w:val="18"/>
          <w:color w:val="auto"/>
        </w:rPr>
        <w:t>stand-alone company.</w:t>
      </w:r>
    </w:p>
    <w:p>
      <w:pPr>
        <w:spacing w:after="0" w:line="162"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decreased $22.0 million, or 13%, in 2015 compared to 2014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due to reduced depreciation expense resulting from impairments recorded in 2014 and 2015, as well as the impact of the weakening Canadian and Australian dollars. These items were partially offset by capital expenditures made during the last twelve months largely related to investments in our Canadian segment.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$122.9 million in 2015 included the following items:</w:t>
      </w:r>
    </w:p>
    <w:p>
      <w:pPr>
        <w:spacing w:after="0" w:line="229"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Goodwill impairment losses of $43.2 million in our Canadian reporting unit;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Pre-tax impairment losses of $33.5 million related to long-lived assets in our Australian segment;</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Pre-tax impairment losses of $23.0 million associated with long-lived assets in our Canadian segment including $11.9 million related to assets that should have been impaired in the fourth quarter of 2014. We determined that the error was not material to our financial statements for the year ended December 31, 2014 and therefore corrected the error in the third quarter of 2015;</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Pre-tax impairment losses of $20.5 million associated with long-lived assets in our U.S. segment;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Pre-tax impairment loss of $2.7 million in 2015 related to a decision to sell our U.S. manufacturing facility.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Impairment expense of $290.5 million in 2014 included the following items:</w:t>
      </w:r>
    </w:p>
    <w:p>
      <w:pPr>
        <w:spacing w:after="0" w:line="225" w:lineRule="exact"/>
        <w:rPr>
          <w:sz w:val="20"/>
          <w:szCs w:val="20"/>
          <w:color w:val="auto"/>
        </w:rPr>
      </w:pPr>
    </w:p>
    <w:p>
      <w:pPr>
        <w:ind w:left="980" w:right="20" w:hanging="324"/>
        <w:spacing w:after="0" w:line="25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Goodwill impairment losses of $202.7 million, of which $16.6 million related to our U.S. segment and $186.1 million related to our Australian segment;</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Pre-tax impairment losses associated with long-lived assets of $76.2 million, of which $59.0 million related to our U.S. segment and $17.2 million related to our Canadian segment. Of the $59.0 million impairment related to our U.S. segment, $55.8 million reduced the value of our fixed assets and $3.2 million reduced the value of our amortizable intangible assets;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$9.0 million impairment of an intangible asset in Australia; and</w:t>
      </w:r>
    </w:p>
    <w:p>
      <w:pPr>
        <w:spacing w:after="0" w:line="9" w:lineRule="exact"/>
        <w:rPr>
          <w:rFonts w:ascii="Arial" w:cs="Arial" w:eastAsia="Arial" w:hAnsi="Arial"/>
          <w:sz w:val="18"/>
          <w:szCs w:val="18"/>
          <w:color w:val="auto"/>
        </w:rPr>
      </w:pPr>
    </w:p>
    <w:p>
      <w:pPr>
        <w:ind w:left="980" w:right="860" w:hanging="324"/>
        <w:spacing w:after="0" w:line="261"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impairment totaling $2.6 million on assets that are in the custody of non-paying customers in Mexico, and for which the return or reimbursement is unlikely.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7"/>
          <w:szCs w:val="17"/>
          <w:color w:val="auto"/>
        </w:rPr>
        <w:t>Please see Note 3 – Impairment Charges to the notes to consolidated financial statements in Item 8 of this annual report for further discussion.</w:t>
      </w:r>
    </w:p>
    <w:p>
      <w:pPr>
        <w:spacing w:after="0" w:line="233"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b w:val="1"/>
          <w:bCs w:val="1"/>
          <w:color w:val="auto"/>
        </w:rPr>
        <w:t xml:space="preserve">Other Operating Expense (Income). </w:t>
      </w:r>
      <w:r>
        <w:rPr>
          <w:rFonts w:ascii="Arial" w:cs="Arial" w:eastAsia="Arial" w:hAnsi="Arial"/>
          <w:sz w:val="18"/>
          <w:szCs w:val="18"/>
          <w:color w:val="auto"/>
        </w:rPr>
        <w:t>Other operating expense (income) changed from an expense of $0.7 million in 2014 to income of $9.0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The 2015 income is primarily due to foreign currency gains on the remeasurement of U.S. dollar denominated cash in Canadian bank accounts, as a result of the strengthening of the U.S. dollar.</w:t>
      </w:r>
    </w:p>
    <w:p>
      <w:pPr>
        <w:spacing w:after="0" w:line="176"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increased $2.1 million, or 2%, in 2015 compared to 2014 primarily due to lower occupancy levels in</w:t>
      </w:r>
      <w:r>
        <w:rPr>
          <w:rFonts w:ascii="Arial" w:cs="Arial" w:eastAsia="Arial" w:hAnsi="Arial"/>
          <w:sz w:val="18"/>
          <w:szCs w:val="18"/>
          <w:b w:val="1"/>
          <w:bCs w:val="1"/>
          <w:color w:val="auto"/>
        </w:rPr>
        <w:t xml:space="preserve"> </w:t>
      </w:r>
      <w:r>
        <w:rPr>
          <w:rFonts w:ascii="Arial" w:cs="Arial" w:eastAsia="Arial" w:hAnsi="Arial"/>
          <w:sz w:val="18"/>
          <w:szCs w:val="18"/>
          <w:color w:val="auto"/>
        </w:rPr>
        <w:t>Canada and Australia, as well as the weakening Canadian and Australian dollars, partially offset by lower impairments of goodwill and long-lived assets in 2015 compared to 2014.</w:t>
      </w:r>
    </w:p>
    <w:p>
      <w:pPr>
        <w:spacing w:after="0" w:line="176"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b w:val="1"/>
          <w:bCs w:val="1"/>
          <w:color w:val="auto"/>
        </w:rPr>
        <w:t xml:space="preserve">Interest Expense and Interest Income, net. </w:t>
      </w:r>
      <w:r>
        <w:rPr>
          <w:rFonts w:ascii="Arial" w:cs="Arial" w:eastAsia="Arial" w:hAnsi="Arial"/>
          <w:sz w:val="16"/>
          <w:szCs w:val="16"/>
          <w:color w:val="auto"/>
        </w:rPr>
        <w:t>Net interest expense, including interest expense and income to/from affiliates, increased by $1.1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5%, in 2015 compared to 2014 primarily due to increased interest expense associated with the new credit facility in 2015 and the 2015 write-off of $1.5 million of debt issuance costs associated with the Amended Credit Facility, partially offset by reduced interest expense in 2015 associated with the affiliate debt, which was eliminated as of the Spin-Off as well as the 2014 write-off of $3.5 million of debt issuance costs associated with the credit agreement that was terminated in conjunction with the Spin-Off. In addition, interest income decreased due to lower average cash balances in 2015 as compared to 2014.</w:t>
      </w:r>
    </w:p>
    <w:p>
      <w:pPr>
        <w:spacing w:after="0" w:line="208" w:lineRule="exact"/>
        <w:rPr>
          <w:sz w:val="20"/>
          <w:szCs w:val="20"/>
          <w:color w:val="auto"/>
        </w:rPr>
      </w:pPr>
    </w:p>
    <w:p>
      <w:pPr>
        <w:ind w:right="180" w:firstLine="324"/>
        <w:spacing w:after="0" w:line="258" w:lineRule="auto"/>
        <w:rPr>
          <w:sz w:val="20"/>
          <w:szCs w:val="20"/>
          <w:color w:val="auto"/>
        </w:rPr>
      </w:pPr>
      <w:r>
        <w:rPr>
          <w:rFonts w:ascii="Arial" w:cs="Arial" w:eastAsia="Arial" w:hAnsi="Arial"/>
          <w:sz w:val="18"/>
          <w:szCs w:val="18"/>
          <w:b w:val="1"/>
          <w:bCs w:val="1"/>
          <w:color w:val="auto"/>
        </w:rPr>
        <w:t xml:space="preserve">Income Tax Benefit (Provision). </w:t>
      </w:r>
      <w:r>
        <w:rPr>
          <w:rFonts w:ascii="Arial" w:cs="Arial" w:eastAsia="Arial" w:hAnsi="Arial"/>
          <w:sz w:val="18"/>
          <w:szCs w:val="18"/>
          <w:color w:val="auto"/>
        </w:rPr>
        <w:t>Our income tax benefit for the year ended December 31, 2015 totaled $33.1 million, or 20.2% of pre-tax loss,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income tax expense of $31.4 million, or 20.1% of pre-tax loss, for the year ended December 31, 2014. In 2015, our income tax provision and effective tax rate was impacted by the effect of non-deductible goodwill charges, dividend income generated as part of a global restructuring, foreign tax credits, the reversal of deferred tax liabilities recorded on a portion of our unremitted earnings of approximately $25.3 million and a valuation allowance of $11.2 million established against net deferred tax assets in the U.S. and Australia, .</w:t>
      </w:r>
    </w:p>
    <w:p>
      <w:pPr>
        <w:spacing w:after="0" w:line="24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Previously, our effective tax rates were lower than U.S. statutory rates because of lower foreign income tax rates. However, in 2014, our income tax provision and effective tax rate was impacted by the effect of non-deductible goodwill impairment charges, a valuation allowance of approximately $51.4 million established against deferred tax assets in Australia that are related to capital losses and not expected to be realized and a deferred tax liability of $25.3 million related to a portion of our undistributed foreign earnings which we no longer intend to continue to indefinitely reinvest.</w:t>
      </w:r>
    </w:p>
    <w:p>
      <w:pPr>
        <w:spacing w:after="0" w:line="167"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 xml:space="preserve">Other Comprehensive Loss. </w:t>
      </w:r>
      <w:r>
        <w:rPr>
          <w:rFonts w:ascii="Arial" w:cs="Arial" w:eastAsia="Arial" w:hAnsi="Arial"/>
          <w:sz w:val="18"/>
          <w:szCs w:val="18"/>
          <w:color w:val="auto"/>
        </w:rPr>
        <w:t>Other comprehensive loss increased $29.7 million in 2015 compared to 2014 primarily as a result of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adjustments due to changes in the Canadian and Australian dollar exchange rates compared to the U.S. dollar. The Canadian dollar exchange rate compared to the U.S. dollar decreased 16% in 2015 compared to an 8% decrease in 2014. The Australian dollar exchange rate compared to the U.S. dollar decreased 11% in 2015 compared to an 8% decrease in 2014.</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8" w:name="page59"/>
    <w:bookmarkEnd w:id="58"/>
    <w:tbl>
      <w:tblPr>
        <w:tblLayout w:type="fixed"/>
        <w:tblInd w:w="34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Lodge revenue (1)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267,486</w:t>
            </w:r>
          </w:p>
        </w:tc>
        <w:tc>
          <w:tcPr>
            <w:tcW w:w="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497,216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(229,730)</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Mobile, open camp and product revenue</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164,200</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(87,437)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344,249</w:t>
            </w:r>
          </w:p>
        </w:tc>
        <w:tc>
          <w:tcPr>
            <w:tcW w:w="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661,416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(317,167)</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230,713</w:t>
            </w:r>
          </w:p>
        </w:tc>
        <w:tc>
          <w:tcPr>
            <w:tcW w:w="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402,182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(171,469)</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13,435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12,557</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11,007</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Occupancy in lodges (5)</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vMerge w:val="continue"/>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0.783</w:t>
            </w:r>
          </w:p>
        </w:tc>
        <w:tc>
          <w:tcPr>
            <w:tcW w:w="160" w:type="dxa"/>
            <w:vAlign w:val="bottom"/>
          </w:tcPr>
          <w:p>
            <w:pPr>
              <w:spacing w:after="0"/>
              <w:rPr>
                <w:sz w:val="20"/>
                <w:szCs w:val="20"/>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0.906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Average available rooms includes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Rentable rooms excludes rooms that are utilized for our personnel and out of 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2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Canadian segment reported revenues in 2015 that were $317.2 million, or 48%, lower than 2014. The weakening of the average exchange rates for the Canadian dollar relative to the U.S. dollar by 14% in 2015 compared to 2014 resulted in a $51.9 million year over year reduction in revenues. In addition, excluding the impact of the weaker Canadian exchange rates, the segment experienced a 38% decline in lodge revenues primarily due to reduced occupancy and lower room rates, partially offset by the opening of the McClelland Lake Lodge, which commenced operations in the summer of 2014. Mobile, open camp and product revenue decreased due to a reduced number of large projects during 2015, as compared to 2014. Excluding the impact of weaker Canadian exchange rates, product sales were essentially flat year over year.</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Canadian segment cost of sales and services decreased $171.5 million, or 43%, in 2015 compared to 2014 due to lower occupancy, as well as the weakening of the average exchange rates.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39% in 2014 to 33% in 2015 primarily due to lower contracted room rates and occupancy in Canada.</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59" w:name="page60"/>
    <w:bookmarkEnd w:id="59"/>
    <w:tbl>
      <w:tblPr>
        <w:tblLayout w:type="fixed"/>
        <w:tblInd w:w="34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gridSpan w:val="2"/>
            <w:vMerge w:val="restart"/>
          </w:tcPr>
          <w:p>
            <w:pPr>
              <w:ind w:left="1280"/>
              <w:spacing w:after="0"/>
              <w:rPr>
                <w:sz w:val="20"/>
                <w:szCs w:val="20"/>
                <w:color w:val="auto"/>
              </w:rPr>
            </w:pPr>
            <w:r>
              <w:rPr>
                <w:rFonts w:ascii="Arial" w:cs="Arial" w:eastAsia="Arial" w:hAnsi="Arial"/>
                <w:sz w:val="18"/>
                <w:szCs w:val="18"/>
                <w:color w:val="auto"/>
              </w:rPr>
              <w:t>Revenues ($ in thousands)</w:t>
            </w: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Village revenue (1)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135,964</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213,279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(77,315)</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60,585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89,507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(28,922)</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9,271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0.752</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829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revenue related to rooms as well as the fees associated with catering, laundry and other services including facilities management.</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available rooms includes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Rentable rooms excludes rooms that are utilized for our personnel and out of 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Australian segment reported revenues in 2015 that were $77.3 million, or 36%, lower than 2014. The weakening of the average exchange rates for Australian dollars relative to the U.S. dollar by 17% in 2015 compared to 2014 resulted in a $26.5 million year-over-year reduction in revenues. Excluding the impact of the weaker Australian exchange rates, the segment experienced a 19% decline in revenues due to lower occupancy levels in 2015 compared to 2014, primarily as a result of the continued slowdown in mining activity.</w:t>
      </w:r>
    </w:p>
    <w:p>
      <w:pPr>
        <w:spacing w:after="0" w:line="24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Australian segment cost of sales decreased $28.9 million, or 32%, in 2015 compared to 2014. The decrease was driven by the weakening of the Australian dollar as well as lower occupancy levels.</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Australian segment gross margin as a percentage of revenues decreased to 55% in 2015 from 58% in 2014. This was primarily driven by reduced take or pay revenues on expired contracts compared to 2014.</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37,750</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(30,446)</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36,315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(16,917)</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U.S. segment reported revenues in 2015 that were $30.4 million, or 45%, lower than 2014. The reduction was primarily due to lower U.S. drilling activity in the Bakken, Rockies and Texas markets and decreased sales in our offshore business.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ind w:right="320" w:firstLine="324"/>
        <w:spacing w:after="0" w:line="277" w:lineRule="auto"/>
        <w:rPr>
          <w:sz w:val="20"/>
          <w:szCs w:val="20"/>
          <w:color w:val="auto"/>
        </w:rPr>
      </w:pPr>
      <w:r>
        <w:rPr>
          <w:rFonts w:ascii="Arial" w:cs="Arial" w:eastAsia="Arial" w:hAnsi="Arial"/>
          <w:sz w:val="18"/>
          <w:szCs w:val="18"/>
          <w:color w:val="auto"/>
        </w:rPr>
        <w:t>Our U.S. cost of sales decreased $16.9 million, or 32%, in 2015 compared to 2014. The decrease was driven by overall lower activity levels, partially offset by a $1.1 million write-down of inventory at our U.S. manufacturing facility.</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U.S. segment gross margin as a percentage of revenues decreased from 22% in 2014 to 4% in 2015 primarily due to the $1.1 million inventory write-down, as well as overall lower activity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of Operations – Year Ended December 31, 2014 Compared to Year Ended December 31, 2013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YEAR ENDED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Canada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661,416</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710,538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(49,122)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255,457</w:t>
            </w: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(42,178)</w:t>
            </w:r>
          </w:p>
        </w:tc>
        <w:tc>
          <w:tcPr>
            <w:tcW w:w="0" w:type="dxa"/>
            <w:vAlign w:val="bottom"/>
          </w:tcPr>
          <w:p>
            <w:pPr>
              <w:spacing w:after="0"/>
              <w:rPr>
                <w:sz w:val="1"/>
                <w:szCs w:val="1"/>
                <w:color w:val="auto"/>
              </w:rPr>
            </w:pPr>
          </w:p>
        </w:tc>
      </w:tr>
      <w:tr>
        <w:trPr>
          <w:trHeight w:val="230"/>
        </w:trPr>
        <w:tc>
          <w:tcPr>
            <w:tcW w:w="512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75,109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942,891</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1,041,104</w:t>
            </w: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(98,213)</w:t>
            </w:r>
          </w:p>
        </w:tc>
        <w:tc>
          <w:tcPr>
            <w:tcW w:w="0" w:type="dxa"/>
            <w:vAlign w:val="bottom"/>
          </w:tcPr>
          <w:p>
            <w:pPr>
              <w:spacing w:after="0"/>
              <w:rPr>
                <w:sz w:val="1"/>
                <w:szCs w:val="1"/>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 and services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80"/>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402,182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398,998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Australia</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96,121</w:t>
            </w: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United States and other</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54,496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cost of sales and services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544,921</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549,615</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69,590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Spin-off and formation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174,970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167,213</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290,508</w:t>
            </w:r>
          </w:p>
        </w:tc>
        <w:tc>
          <w:tcPr>
            <w:tcW w:w="0" w:type="dxa"/>
            <w:vAlign w:val="bottom"/>
          </w:tcPr>
          <w:p>
            <w:pPr>
              <w:spacing w:after="0"/>
              <w:rPr>
                <w:sz w:val="1"/>
                <w:szCs w:val="1"/>
                <w:color w:val="auto"/>
              </w:rPr>
            </w:pPr>
          </w:p>
        </w:tc>
      </w:tr>
      <w:tr>
        <w:trPr>
          <w:trHeight w:val="162"/>
        </w:trPr>
        <w:tc>
          <w:tcPr>
            <w:tcW w:w="5120" w:type="dxa"/>
            <w:vAlign w:val="bottom"/>
            <w:vMerge w:val="restart"/>
          </w:tcPr>
          <w:p>
            <w:pPr>
              <w:ind w:left="320"/>
              <w:spacing w:after="0"/>
              <w:rPr>
                <w:sz w:val="20"/>
                <w:szCs w:val="20"/>
                <w:color w:val="auto"/>
              </w:rPr>
            </w:pPr>
            <w:r>
              <w:rPr>
                <w:rFonts w:ascii="Arial" w:cs="Arial" w:eastAsia="Arial" w:hAnsi="Arial"/>
                <w:sz w:val="18"/>
                <w:szCs w:val="18"/>
                <w:color w:val="auto"/>
              </w:rPr>
              <w:t>Other operating expense (income)</w:t>
            </w:r>
          </w:p>
        </w:tc>
        <w:tc>
          <w:tcPr>
            <w:tcW w:w="260" w:type="dxa"/>
            <w:vAlign w:val="bottom"/>
          </w:tcPr>
          <w:p>
            <w:pPr>
              <w:spacing w:after="0"/>
              <w:rPr>
                <w:sz w:val="14"/>
                <w:szCs w:val="14"/>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line="16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68"/>
        </w:trPr>
        <w:tc>
          <w:tcPr>
            <w:tcW w:w="512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gridSpan w:val="2"/>
          </w:tcPr>
          <w:p>
            <w:pPr>
              <w:jc w:val="right"/>
              <w:ind w:right="160"/>
              <w:spacing w:after="0" w:line="68" w:lineRule="exact"/>
              <w:rPr>
                <w:sz w:val="20"/>
                <w:szCs w:val="20"/>
                <w:color w:val="auto"/>
              </w:rPr>
            </w:pPr>
            <w:r>
              <w:rPr>
                <w:rFonts w:ascii="Arial" w:cs="Arial" w:eastAsia="Arial" w:hAnsi="Arial"/>
                <w:sz w:val="7"/>
                <w:szCs w:val="7"/>
                <w:color w:val="auto"/>
              </w:rPr>
              <w:t>(4,770</w:t>
            </w: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1,085,782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781,648</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304,134</w:t>
            </w:r>
          </w:p>
        </w:tc>
        <w:tc>
          <w:tcPr>
            <w:tcW w:w="0" w:type="dxa"/>
            <w:vAlign w:val="bottom"/>
          </w:tcPr>
          <w:p>
            <w:pPr>
              <w:spacing w:after="0"/>
              <w:rPr>
                <w:sz w:val="1"/>
                <w:szCs w:val="1"/>
                <w:color w:val="auto"/>
              </w:rPr>
            </w:pPr>
          </w:p>
        </w:tc>
      </w:tr>
      <w:tr>
        <w:trPr>
          <w:trHeight w:val="210"/>
        </w:trPr>
        <w:tc>
          <w:tcPr>
            <w:tcW w:w="512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(142,891)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259,456</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(402,347)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rPr>
              <w:t>Interest expense and income, net</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(20,916)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(23,837)</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3,749</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0"/>
        </w:trPr>
        <w:tc>
          <w:tcPr>
            <w:tcW w:w="512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(156,283)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239,368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(395,651)</w:t>
            </w:r>
          </w:p>
        </w:tc>
        <w:tc>
          <w:tcPr>
            <w:tcW w:w="0" w:type="dxa"/>
            <w:vAlign w:val="bottom"/>
          </w:tcPr>
          <w:p>
            <w:pPr>
              <w:spacing w:after="0"/>
              <w:rPr>
                <w:sz w:val="1"/>
                <w:szCs w:val="1"/>
                <w:color w:val="auto"/>
              </w:rPr>
            </w:pPr>
          </w:p>
        </w:tc>
      </w:tr>
      <w:tr>
        <w:trPr>
          <w:trHeight w:val="162"/>
        </w:trPr>
        <w:tc>
          <w:tcPr>
            <w:tcW w:w="51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Income tax benefit (provision)</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0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24,677</w:t>
            </w:r>
          </w:p>
        </w:tc>
        <w:tc>
          <w:tcPr>
            <w:tcW w:w="0" w:type="dxa"/>
            <w:vAlign w:val="bottom"/>
          </w:tcPr>
          <w:p>
            <w:pPr>
              <w:spacing w:after="0"/>
              <w:rPr>
                <w:sz w:val="1"/>
                <w:szCs w:val="1"/>
                <w:color w:val="auto"/>
              </w:rPr>
            </w:pPr>
          </w:p>
        </w:tc>
      </w:tr>
      <w:tr>
        <w:trPr>
          <w:trHeight w:val="68"/>
        </w:trPr>
        <w:tc>
          <w:tcPr>
            <w:tcW w:w="512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gridSpan w:val="2"/>
            <w:shd w:val="clear" w:color="auto" w:fill="CCEEFF"/>
          </w:tcPr>
          <w:p>
            <w:pPr>
              <w:jc w:val="right"/>
              <w:ind w:right="80"/>
              <w:spacing w:after="0" w:line="68" w:lineRule="exact"/>
              <w:rPr>
                <w:sz w:val="20"/>
                <w:szCs w:val="20"/>
                <w:color w:val="auto"/>
              </w:rPr>
            </w:pPr>
            <w:r>
              <w:rPr>
                <w:rFonts w:ascii="Arial" w:cs="Arial" w:eastAsia="Arial" w:hAnsi="Arial"/>
                <w:sz w:val="7"/>
                <w:szCs w:val="7"/>
                <w:color w:val="auto"/>
              </w:rPr>
              <w:t>(31,379</w:t>
            </w: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gridSpan w:val="2"/>
            <w:shd w:val="clear" w:color="auto" w:fill="CCEEFF"/>
          </w:tcPr>
          <w:p>
            <w:pPr>
              <w:jc w:val="right"/>
              <w:ind w:right="160"/>
              <w:spacing w:after="0" w:line="68" w:lineRule="exact"/>
              <w:rPr>
                <w:sz w:val="20"/>
                <w:szCs w:val="20"/>
                <w:color w:val="auto"/>
              </w:rPr>
            </w:pPr>
            <w:r>
              <w:rPr>
                <w:rFonts w:ascii="Arial" w:cs="Arial" w:eastAsia="Arial" w:hAnsi="Arial"/>
                <w:sz w:val="7"/>
                <w:szCs w:val="7"/>
                <w:color w:val="auto"/>
              </w:rPr>
              <w:t>(56,056</w:t>
            </w:r>
          </w:p>
        </w:tc>
        <w:tc>
          <w:tcPr>
            <w:tcW w:w="20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(187,662)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183,312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(370,974)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w:t>
            </w:r>
          </w:p>
        </w:tc>
        <w:tc>
          <w:tcPr>
            <w:tcW w:w="2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Pr>
          <w:p>
            <w:pPr>
              <w:ind w:left="160"/>
              <w:spacing w:after="0"/>
              <w:rPr>
                <w:sz w:val="20"/>
                <w:szCs w:val="20"/>
                <w:color w:val="auto"/>
              </w:rPr>
            </w:pPr>
            <w:r>
              <w:rPr>
                <w:rFonts w:ascii="Arial" w:cs="Arial" w:eastAsia="Arial" w:hAnsi="Arial"/>
                <w:sz w:val="18"/>
                <w:szCs w:val="18"/>
                <w:color w:val="auto"/>
              </w:rPr>
              <w:t>Net income (loss) attributable to Civeo</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(189,043)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181,876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(370,919)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reported net loss attributable to Civeo for the year ended December 31, 2014 of $189.0 million, or $1.77 per diluted share. As further discussed below, net loss included the following items:</w:t>
      </w:r>
    </w:p>
    <w:p>
      <w:pPr>
        <w:spacing w:after="0" w:line="170" w:lineRule="exact"/>
        <w:rPr>
          <w:sz w:val="20"/>
          <w:szCs w:val="20"/>
          <w:color w:val="auto"/>
        </w:rPr>
      </w:pPr>
    </w:p>
    <w:p>
      <w:pPr>
        <w:ind w:left="980" w:hanging="324"/>
        <w:spacing w:after="0" w:line="25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$202.7 million pre-tax loss ($201.2 million after-tax, or $1.89 per diluted share) from goodwill impairments, included in Impairment expense below;</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$75.6 million pre-tax loss ($50.9 million after-tax, or $0.48 per diluted share) from fixed asset impairments, included in Impairment expense below;</w:t>
      </w:r>
    </w:p>
    <w:p>
      <w:pPr>
        <w:jc w:val="both"/>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$34.9 million tax expense ($0.33 per diluted share) from the establishment of a deferred tax liability related to a portion of our undistributed foreign earnings which we no longer intend to indefinitely reinvest and a valuation allowance related to deferred tax assets related to capital losses that are not expected to be realized, included in Income tax provision below;</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$12.2 million pre-tax loss ($8.4 million after-tax, or $0.08 per diluted share) from intangible asset impairments, included in Impairment expense below,</w:t>
      </w:r>
    </w:p>
    <w:p>
      <w:pPr>
        <w:ind w:left="980" w:right="2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$7.8 million pre-tax loss ($5.1 million after-tax, or $0.05 per diluted share) from transition costs and debt extinguishment costs incurred in connection with the Spin-Off from Oil States, included Spin-Off and formation costs and Interest expense below;</w:t>
      </w:r>
    </w:p>
    <w:p>
      <w:pPr>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$4.1 million pre-tax loss ($3.1 million after-tax, or $0.03 per diluted share) from severance costs associated with the termination of an executive, included in SG&amp;A expenses below; and</w:t>
      </w:r>
    </w:p>
    <w:p>
      <w:pPr>
        <w:ind w:left="980" w:hanging="324"/>
        <w:spacing w:after="0" w:line="261"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$2.6 million pre-tax loss ($1.7 million after-tax, or $0.02 per diluted share) from costs associated with the proposed migration to Canada, included in SG&amp;A expenses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jc w:val="both"/>
        <w:ind w:right="80" w:firstLine="324"/>
        <w:spacing w:after="0" w:line="312" w:lineRule="auto"/>
        <w:rPr>
          <w:sz w:val="20"/>
          <w:szCs w:val="20"/>
          <w:color w:val="auto"/>
        </w:rPr>
      </w:pPr>
      <w:r>
        <w:rPr>
          <w:rFonts w:ascii="Arial" w:cs="Arial" w:eastAsia="Arial" w:hAnsi="Arial"/>
          <w:sz w:val="16"/>
          <w:szCs w:val="16"/>
          <w:color w:val="auto"/>
        </w:rPr>
        <w:t>These results compare to net income attributable to Civeo for the year ended December 31, 2013 of $181.9 million, or $1.70 per diluted share, including a pre-tax gain of $4.0 million ($2.6 million after-tax), or $0.02 per diluted share after-tax from a decrease to a liability associated with contingent acquisition consideration. 2013 net income also included $1.2 million, or $0.01 per diluted share after-tax, of losses incurred on extinguishment of debt.</w:t>
      </w:r>
    </w:p>
    <w:p>
      <w:pPr>
        <w:spacing w:after="0" w:line="143"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$98.2 million, or 9%, in 2014 compared to 2013. This decline was largely driven by the weakening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and Australian dollars and decreased occupancy and room rates in both our Canada and Australia segments, as further described in the segment discussions below.</w:t>
      </w:r>
    </w:p>
    <w:p>
      <w:pPr>
        <w:spacing w:after="0" w:line="176" w:lineRule="exact"/>
        <w:rPr>
          <w:sz w:val="20"/>
          <w:szCs w:val="20"/>
          <w:color w:val="auto"/>
        </w:rPr>
      </w:pPr>
    </w:p>
    <w:p>
      <w:pPr>
        <w:ind w:right="380" w:firstLine="324"/>
        <w:spacing w:after="0" w:line="347" w:lineRule="auto"/>
        <w:rPr>
          <w:sz w:val="20"/>
          <w:szCs w:val="20"/>
          <w:color w:val="auto"/>
        </w:rPr>
      </w:pPr>
      <w:r>
        <w:rPr>
          <w:rFonts w:ascii="Arial" w:cs="Arial" w:eastAsia="Arial" w:hAnsi="Arial"/>
          <w:sz w:val="16"/>
          <w:szCs w:val="16"/>
          <w:b w:val="1"/>
          <w:bCs w:val="1"/>
          <w:color w:val="auto"/>
        </w:rPr>
        <w:t xml:space="preserve">Cost of Sales and Services. </w:t>
      </w:r>
      <w:r>
        <w:rPr>
          <w:rFonts w:ascii="Arial" w:cs="Arial" w:eastAsia="Arial" w:hAnsi="Arial"/>
          <w:sz w:val="16"/>
          <w:szCs w:val="16"/>
          <w:color w:val="auto"/>
        </w:rPr>
        <w:t>Our consolidated cost of sales decreased $4.7 million, or 1%, in 2014 compared to 2013 primarily due to increases in</w:t>
      </w:r>
      <w:r>
        <w:rPr>
          <w:rFonts w:ascii="Arial" w:cs="Arial" w:eastAsia="Arial" w:hAnsi="Arial"/>
          <w:sz w:val="16"/>
          <w:szCs w:val="16"/>
          <w:b w:val="1"/>
          <w:bCs w:val="1"/>
          <w:color w:val="auto"/>
        </w:rPr>
        <w:t xml:space="preserve"> </w:t>
      </w:r>
      <w:r>
        <w:rPr>
          <w:rFonts w:ascii="Arial" w:cs="Arial" w:eastAsia="Arial" w:hAnsi="Arial"/>
          <w:sz w:val="16"/>
          <w:szCs w:val="16"/>
          <w:color w:val="auto"/>
        </w:rPr>
        <w:t>average available rooms and product costs in Canada, offset by decreased occupancy in Australia, as further described in the segment discussions below.</w:t>
      </w:r>
    </w:p>
    <w:p>
      <w:pPr>
        <w:spacing w:after="0" w:line="11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$0.8 million, or 1%, in 2014 compared to 2013 primarily due to increases to</w:t>
      </w:r>
      <w:r>
        <w:rPr>
          <w:rFonts w:ascii="Arial" w:cs="Arial" w:eastAsia="Arial" w:hAnsi="Arial"/>
          <w:sz w:val="17"/>
          <w:szCs w:val="17"/>
          <w:b w:val="1"/>
          <w:bCs w:val="1"/>
          <w:color w:val="auto"/>
        </w:rPr>
        <w:t xml:space="preserve"> </w:t>
      </w:r>
      <w:r>
        <w:rPr>
          <w:rFonts w:ascii="Arial" w:cs="Arial" w:eastAsia="Arial" w:hAnsi="Arial"/>
          <w:sz w:val="17"/>
          <w:szCs w:val="17"/>
          <w:color w:val="auto"/>
        </w:rPr>
        <w:t>SG&amp;A due to an increase of approximately $8.1 million related to costs associated with being a publicly traded company, $4.1 million in severance costs and $2.6 million in redomiciling costs. These items were offset favorably due to foreign exchange rates of approximately $3.5 million, a $2.0 million refund of surplus medical premiums from our Canadian medical benefits provider based on lower experience ratings, a recovery of previously reserved receivables of approximately $1.4 million, reduced bonus accruals for 2014 compared to 2013 and lower compensation expense associated with phantom share awards. Because of the decline in our stock price during the last three months of 2014, and because we remeasure these awards at each reporting date, we recognized $1.9 million of expense on the phantom shares in 2014 compared to $3.9 million in 2013.</w:t>
      </w:r>
    </w:p>
    <w:p>
      <w:pPr>
        <w:spacing w:after="0" w:line="172"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$4.3 million relate to transition costs incurred during 2014 associated with becoming a</w:t>
      </w:r>
      <w:r>
        <w:rPr>
          <w:rFonts w:ascii="Arial" w:cs="Arial" w:eastAsia="Arial" w:hAnsi="Arial"/>
          <w:sz w:val="18"/>
          <w:szCs w:val="18"/>
          <w:b w:val="1"/>
          <w:bCs w:val="1"/>
          <w:color w:val="auto"/>
        </w:rPr>
        <w:t xml:space="preserve"> </w:t>
      </w:r>
      <w:r>
        <w:rPr>
          <w:rFonts w:ascii="Arial" w:cs="Arial" w:eastAsia="Arial" w:hAnsi="Arial"/>
          <w:sz w:val="18"/>
          <w:szCs w:val="18"/>
          <w:color w:val="auto"/>
        </w:rPr>
        <w:t>stand-alone company.</w:t>
      </w:r>
    </w:p>
    <w:p>
      <w:pPr>
        <w:spacing w:after="0" w:line="162"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increased $7.8 million, or 5%, in 2014 compared to 2013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capital expenditures made during the last twelve months largely related to investments in our Canadian segment.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Pre-tax impairment expense of $290.5 million in 2014 included the following items:</w:t>
      </w:r>
    </w:p>
    <w:p>
      <w:pPr>
        <w:spacing w:after="0" w:line="229" w:lineRule="exact"/>
        <w:rPr>
          <w:sz w:val="20"/>
          <w:szCs w:val="20"/>
          <w:color w:val="auto"/>
        </w:rPr>
      </w:pPr>
    </w:p>
    <w:p>
      <w:pPr>
        <w:ind w:left="980" w:right="100" w:hanging="324"/>
        <w:spacing w:after="0" w:line="25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Goodwill impairment losses of $202.7 million, of which $16.6 million related to our U.S. segment and $186.1 million related to our Australian segment.</w:t>
      </w:r>
    </w:p>
    <w:p>
      <w:pPr>
        <w:spacing w:after="0" w:line="1"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Pre-tax impairment losses associated with long-lived assets of $76.2 million, of which $59.0 million related to our U.S. segment and $17.2 million related to our Canadian segment. Of the $59.0 million impairment related to our U.S. segment, $55.8 million reduced the value of our fixed assets and $3.2 million reduced the value of our amortizable intangible assets.</w:t>
      </w:r>
    </w:p>
    <w:p>
      <w:pPr>
        <w:spacing w:after="0" w:line="1" w:lineRule="exact"/>
        <w:rPr>
          <w:rFonts w:ascii="Arial" w:cs="Arial" w:eastAsia="Arial" w:hAnsi="Arial"/>
          <w:sz w:val="18"/>
          <w:szCs w:val="18"/>
          <w:color w:val="auto"/>
        </w:rPr>
      </w:pPr>
    </w:p>
    <w:p>
      <w:pPr>
        <w:ind w:left="980" w:right="300" w:hanging="324"/>
        <w:spacing w:after="0" w:line="281"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$9.0 million impairment of an intangible asset in Australia. Due to the Spin-Off, and the resulting rebranding of our Australian operations from The MAC to Civeo, it was determined that the fair value of an intangible asset associated with The MAC brand was nil.</w:t>
      </w:r>
    </w:p>
    <w:p>
      <w:pPr>
        <w:spacing w:after="0" w:line="1" w:lineRule="exact"/>
        <w:rPr>
          <w:rFonts w:ascii="Arial" w:cs="Arial" w:eastAsia="Arial" w:hAnsi="Arial"/>
          <w:sz w:val="16"/>
          <w:szCs w:val="16"/>
          <w:color w:val="auto"/>
        </w:rPr>
      </w:pPr>
    </w:p>
    <w:p>
      <w:pPr>
        <w:ind w:left="980" w:right="820" w:hanging="324"/>
        <w:spacing w:after="0" w:line="261"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impairment totaling $2.6 million on assets that are in the custody of non-paying customers in Mexico, and for which the return or reimbursement is unlikely.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Please see Note 3 – Impairment Charges to the notes to consolidated financial statements in Item 8 of this annual report for further discussion.</w:t>
      </w:r>
    </w:p>
    <w:p>
      <w:pPr>
        <w:spacing w:after="0" w:line="233"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Consolidated operating income decreased $402.3 million, or 155.1%, in 2014 compared to 2013 primarily due to the impairments</w:t>
      </w:r>
      <w:r>
        <w:rPr>
          <w:rFonts w:ascii="Arial" w:cs="Arial" w:eastAsia="Arial" w:hAnsi="Arial"/>
          <w:sz w:val="18"/>
          <w:szCs w:val="18"/>
          <w:b w:val="1"/>
          <w:bCs w:val="1"/>
          <w:color w:val="auto"/>
        </w:rPr>
        <w:t xml:space="preserve"> </w:t>
      </w:r>
      <w:r>
        <w:rPr>
          <w:rFonts w:ascii="Arial" w:cs="Arial" w:eastAsia="Arial" w:hAnsi="Arial"/>
          <w:sz w:val="18"/>
          <w:szCs w:val="18"/>
          <w:color w:val="auto"/>
        </w:rPr>
        <w:t>noted above, as well as lower contracted rates in Canada, lower occupancy levels in Australia and lower utilization in the U.S., partially offset by the increase in average available rooms in Canada.</w:t>
      </w:r>
    </w:p>
    <w:p>
      <w:pPr>
        <w:spacing w:after="0" w:line="176"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including interest expense and income to/from affiliates, decreased by $2.9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12%, in 2014 compared to 2013 primarily due to seven months of interest associated with the new credit facility in 2014, compared to interest expense associated with the affiliate debt for all of 2013. This decrease is partially offset due to the write-off of $3.5 million debt issuance costs associated with the credit agreement that was terminated in conjunction with the Spin-Off. Additionally, interest income was higher in 2014 as a result of higher cash balances during 2014 compared to 2013.</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2" w:name="page63"/>
    <w:bookmarkEnd w:id="62"/>
    <w:p>
      <w:pPr>
        <w:ind w:right="60" w:firstLine="324"/>
        <w:spacing w:after="0" w:line="256" w:lineRule="auto"/>
        <w:rPr>
          <w:sz w:val="20"/>
          <w:szCs w:val="20"/>
          <w:color w:val="auto"/>
        </w:rPr>
      </w:pPr>
      <w:r>
        <w:rPr>
          <w:rFonts w:ascii="Arial" w:cs="Arial" w:eastAsia="Arial" w:hAnsi="Arial"/>
          <w:sz w:val="18"/>
          <w:szCs w:val="18"/>
          <w:b w:val="1"/>
          <w:bCs w:val="1"/>
          <w:color w:val="auto"/>
        </w:rPr>
        <w:t xml:space="preserve">Income Tax Provision. </w:t>
      </w:r>
      <w:r>
        <w:rPr>
          <w:rFonts w:ascii="Arial" w:cs="Arial" w:eastAsia="Arial" w:hAnsi="Arial"/>
          <w:sz w:val="18"/>
          <w:szCs w:val="18"/>
          <w:color w:val="auto"/>
        </w:rPr>
        <w:t>Our income tax expense for the year ended December 31, 2014 totaled $31.4 million, or 20.1% of pre-tax loss,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expense of $56.1 million, or 23.4% of pre-tax income, for the year ended December 31, 2013. Generally, our effective tax rates are lower than U.S. statutory rates because of lower foreign income tax rates. However, in 2014, our income tax provision and effective tax rate was impacted by the effect of non-deductible goodwill impairment charges, a valuation allowance of approximately $51.4 million established against deferred tax assets in Australia that are related to capital losses and not expected to be realized and a deferred tax liability of $25.3 million related to a portion of our undistributed foreign earnings which we no longer intend to continue to indefinitely reinvest.</w:t>
      </w:r>
    </w:p>
    <w:p>
      <w:pPr>
        <w:spacing w:after="0" w:line="188"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decreased $29.0 million in 2014 compared to 2013 primarily as a result of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translation adjustments due to changes in the Canadian and Australian dollar exchange rates compared to the U.S. dollar. The Canadian dollar exchange rate compared to the U.S. dollar decreased 8% in 2014 compared to a 6% decrease in 2013. The Australian dollar exchange rate compared to the U.S. dollar decreased 8% in 2014 compared to a 14% decrease in 2013.</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Lodge revenue (1)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497,216</w:t>
            </w:r>
          </w:p>
        </w:tc>
        <w:tc>
          <w:tcPr>
            <w:tcW w:w="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548,743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(51,527)</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Mobile, open camp and product revenue</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161,795</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661,416</w:t>
            </w:r>
          </w:p>
        </w:tc>
        <w:tc>
          <w:tcPr>
            <w:tcW w:w="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710,538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(49,122)</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402,182</w:t>
            </w:r>
          </w:p>
        </w:tc>
        <w:tc>
          <w:tcPr>
            <w:tcW w:w="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398,998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12,557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11,541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10,152</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Occupancy in lodges (5)</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vMerge w:val="continue"/>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0.906</w:t>
            </w:r>
          </w:p>
        </w:tc>
        <w:tc>
          <w:tcPr>
            <w:tcW w:w="160" w:type="dxa"/>
            <w:vAlign w:val="bottom"/>
          </w:tcPr>
          <w:p>
            <w:pPr>
              <w:spacing w:after="0"/>
              <w:rPr>
                <w:sz w:val="20"/>
                <w:szCs w:val="20"/>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0.971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5829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39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Includes revenue related to rooms as well as the fees associated with catering, laundry and other services including facilities management.</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Average available rooms includes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Rentable rooms excludes rooms that are utilized for our personnel and out of 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2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Canadian segment reported revenues in 2014 that were $49.1 million, or 7%, lower than 2013. The weakening of the Canadian dollar relative to the U.S. dollar by 6.7% in 2014 compared to 2013 resulted in a $48.0 million year-over-year reduction in revenues. In addition, excluding the impact of the weaker Canadian exchange rates, the segment experienced a 3% decline in lodge revenues primarily due to a 8% reduction in occupancy partially offset by relatively flat room rates. Revenues were also reduced by approximately $4.9 million due to a contract amendment. Lodge revenues in 2014 were positively affected by a 9% increase year-over-year in average available rooms, due largely to the opening of the McClelland Lake Lodge in June 2014. Excluding the impact of weaker Canadian exchange rates, mobile, open camp and contract camp revenue was essentially flat year over year. Finally, product sales in 2014 were significantly higher than in 2013 due to several significant sales. Overall, Canadian product sales were $23.0 million for 2014 compared to $10.3 million for 2013.</w:t>
      </w:r>
    </w:p>
    <w:p>
      <w:pPr>
        <w:spacing w:after="0" w:line="19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Canadian segment cost of sales and services increased $3.2 million, or 1% in 2014 compared to 2013. The increase was driven by the increase in available rooms discussed above, as well as an increase in costs associated with product sales. This was slightly offset by a decrease in cost of sales and services related to lower occupancy. Although revenue decreased due to lower room rates, a corresponding decrease did not occur in costs of sales and services, as occupancy levels decreased to a lesser extent. However, the weakening of the average exchange rates resulted in a $29.1 million reduction in cost of sales.</w:t>
      </w:r>
    </w:p>
    <w:p>
      <w:pPr>
        <w:spacing w:after="0" w:line="18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Canadian segment gross margin as a percentage of revenues decreased from 43.8% in 2013 to 39.2% in 2014 primarily due to lower contracted room rates and occupancy in Canada. In addition, Canadian product sales generated gross margin of $0.8 million and $3.0 million for 2014 and 2013, respectively.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tbl>
      <w:tblPr>
        <w:tblLayout w:type="fixed"/>
        <w:tblInd w:w="34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Village revenue (1)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213,279</w:t>
            </w:r>
          </w:p>
        </w:tc>
        <w:tc>
          <w:tcPr>
            <w:tcW w:w="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255,457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(42,178)</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sales ($ in thousands)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89,507</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96,121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Average available village rooms (2)</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8,925</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Rentable rooms for villages (3)</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8,843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Average daily rate for villages (4)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Occupancy in villages (5)</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vMerge w:val="continue"/>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Australian dollar to U.S. dollar</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0.902</w:t>
            </w:r>
          </w:p>
        </w:tc>
        <w:tc>
          <w:tcPr>
            <w:tcW w:w="160" w:type="dxa"/>
            <w:vAlign w:val="bottom"/>
          </w:tcPr>
          <w:p>
            <w:pPr>
              <w:spacing w:after="0"/>
              <w:rPr>
                <w:sz w:val="20"/>
                <w:szCs w:val="20"/>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0.965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5829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39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Average available rooms includes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Rentable rooms excludes rooms that are utilized for our personnel and out of 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2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Australian segment reported revenues in 2014 that were $42.2 million, or 16.5%, lower than 2013. The weakening of the average exchange rates for Australian dollars relative to the U.S. dollar by 6.5% in 2014 compared to 2013 resulted in a $15.8 million year-over-year reduction in revenues. Village revenues in 2014 were also negatively impacted by lower occupancy levels compared to 2013, primarily as a result of lower met coal prices and the resultant slowdown in mining activity partially offset by the contributions of the Boggabri Village, which commenced operations late in the third quarter of 2013.</w:t>
      </w:r>
    </w:p>
    <w:p>
      <w:pPr>
        <w:spacing w:after="0" w:line="15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Our Australian segment cost of sales decreased $6.6 million, or 6.9%, in 2014 compared to 2013. The decrease was driven almost entirely by the weakening of the Australian dollar. Although lower occupancy levels were experienced in many of our villages, this was offset by full year costs of the Boggabri Village, which commenced operations late in the third quarter 2013. Additionally, cost of sales was negatively impacted by increased repair and maintenance costs associated with a water treatment facility as well as higher development expenses.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Australian segment gross margin as a percentage of revenues declined from 62.4% in 2013 to 58% in 2014. This decrease was due to the continued slowdown in mining activity, driving lower occupancy levels.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64" w:name="page65"/>
    <w:bookmarkEnd w:id="64"/>
    <w:tbl>
      <w:tblPr>
        <w:tblLayout w:type="fixed"/>
        <w:tblInd w:w="340" w:type="dxa"/>
        <w:tblCellMar>
          <w:top w:w="0" w:type="dxa"/>
          <w:left w:w="0" w:type="dxa"/>
          <w:bottom w:w="0" w:type="dxa"/>
          <w:right w:w="0" w:type="dxa"/>
        </w:tblCellMar>
      </w:tblPr>
      <w:tr>
        <w:trPr>
          <w:trHeight w:val="230"/>
        </w:trPr>
        <w:tc>
          <w:tcPr>
            <w:tcW w:w="4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68,196</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53,232</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U.S. segment reported revenues in 2014 of $68.2 million, which were $6.9 million, or 9.2%, lower than 2013. Our offshore fabrication sales were down approximately $5.8 million, due to a significant project recognized in 2013 that was not repeated in 2014. Wellsite services and offshore rentals revenues were also down approximately $0.7 million and $1.1 million, respectively, due to reduced activity. These items were partially offset by an increase to mobile camp revenues of approximately $1.1 million resulting from the addition of two new lodges, which began operating in July and December 2013,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U.S. cost of sales decreased $1.3 million, or 2.3%, in 2014 compared to 2013. The decrease was driven by the reduced activity levels noted above.</w:t>
      </w:r>
    </w:p>
    <w:p>
      <w:pPr>
        <w:spacing w:after="0" w:line="24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U.S. segment gross margin as a percentage of revenues decreased from 27.4% in 2013 to 21.9% in 2014 primarily due to margin decreases in wellsite services and offshore.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primary liquidity needs are to fund capital expenditures, which in the past have included expanding and improving our accommodations, developing new lodges and villages and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and borrowings under our credit facility. The following table summarizes our consolidated liquidity position as of December 31, 2015 and 2014:</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December 31, 2015</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December 31, 2014</w:t>
            </w:r>
          </w:p>
        </w:tc>
      </w:tr>
      <w:tr>
        <w:trPr>
          <w:trHeight w:val="210"/>
        </w:trPr>
        <w:tc>
          <w:tcPr>
            <w:tcW w:w="57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Lender commitments </w:t>
            </w:r>
            <w:r>
              <w:rPr>
                <w:rFonts w:ascii="Arial" w:cs="Arial" w:eastAsia="Arial" w:hAnsi="Arial"/>
                <w:sz w:val="24"/>
                <w:szCs w:val="24"/>
                <w:color w:val="auto"/>
                <w:vertAlign w:val="superscript"/>
              </w:rPr>
              <w:t>(1)</w:t>
            </w:r>
          </w:p>
        </w:tc>
        <w:tc>
          <w:tcPr>
            <w:tcW w:w="500" w:type="dxa"/>
            <w:vAlign w:val="bottom"/>
            <w:tcBorders>
              <w:top w:val="single" w:sz="8" w:color="auto"/>
            </w:tcBorders>
            <w:shd w:val="clear" w:color="auto" w:fill="CCEEFF"/>
          </w:tcPr>
          <w:p>
            <w:pPr>
              <w:jc w:val="right"/>
              <w:ind w:right="3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Reductions in availability </w:t>
            </w:r>
            <w:r>
              <w:rPr>
                <w:rFonts w:ascii="Arial" w:cs="Arial" w:eastAsia="Arial" w:hAnsi="Arial"/>
                <w:sz w:val="25"/>
                <w:szCs w:val="25"/>
                <w:color w:val="auto"/>
                <w:vertAlign w:val="superscript"/>
              </w:rPr>
              <w:t>(2)</w:t>
            </w:r>
          </w:p>
        </w:tc>
        <w:tc>
          <w:tcPr>
            <w:tcW w:w="5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(121,690)</w:t>
            </w: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(222,191)</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revolver capacity</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(52,020)</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5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(5,070)</w:t>
            </w: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(5,851)</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196,220</w:t>
            </w: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421,958</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7,837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263,314</w:t>
            </w:r>
          </w:p>
        </w:tc>
      </w:tr>
      <w:tr>
        <w:trPr>
          <w:trHeight w:val="25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50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204,057</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685,272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829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right="20" w:hanging="324"/>
        <w:spacing w:after="0" w:line="256"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also have an A$5 million bank guarantee facility. We had bank guarantees of A$1.3 million and A$1.7 million under this facility outstanding as of December 31, 2015 and 2014, respectively. In connection with the February 2016 amendment to the Amended Credit Facility, lender commitments were reduced to $350 million.</w:t>
      </w:r>
    </w:p>
    <w:p>
      <w:pPr>
        <w:ind w:left="980" w:right="420" w:hanging="324"/>
        <w:spacing w:after="0" w:line="290"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of December 31, 2015 and 2014, $121.7 million and $222.2 million, respectively, of our borrowing capacity under our Amended Credit Facility could not be utilized in order to maintain compliance with the financial covenants in our Amended Credit Facility.</w:t>
      </w:r>
    </w:p>
    <w:p>
      <w:pPr>
        <w:spacing w:after="0" w:line="378"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Cash totaling $186.1 million was provided by operations during 2015 compared to $291.1 million provided by operations during 2014 and $337.4 million during 2013. The decrease in operating cash flow in 2015 compared to 2014 was primarily due to lower revenue resulting from occupancy levels in lodges and villages. The decrease in operating cash flow in 2014 compared to 2013 was primarily due to weaker Canadian and Australian dollars relative to the U.S. dollar and lower occupancy levels in lodges and villages, partially offset by lower cash used by working capital. During 2015 and 2014, $67.1 million and $5.2 million, respectively, was provided by working capital. The increase in 2015 compared to 2014 was primarily the result of decreased accounts receivable balances. During the year ended December 31, 2013, changes in working capital used $27.6 million of cash flow.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right="100" w:firstLine="972"/>
        <w:spacing w:after="0" w:line="255" w:lineRule="auto"/>
        <w:rPr>
          <w:sz w:val="20"/>
          <w:szCs w:val="20"/>
          <w:color w:val="auto"/>
        </w:rPr>
      </w:pPr>
      <w:r>
        <w:rPr>
          <w:rFonts w:ascii="Arial" w:cs="Arial" w:eastAsia="Arial" w:hAnsi="Arial"/>
          <w:sz w:val="18"/>
          <w:szCs w:val="18"/>
          <w:color w:val="auto"/>
        </w:rPr>
        <w:t>Cash was used in investing activities during 2015, 2014 and 2013 in the amounts of $49.8 million, $239.1 million and $284.2 million respectively. Capital expenditures totaled $62.5 million, $251.2 million and $291.7 million respectively. Capital expenditures in each year consisted principally of construction and installation of assets for our lodges and villages primarily in support of Canadian oil sands projects, including the McClelland Lake Lodge in the Athabasca oil sands region in 2014, and Australian mining production and development projects. The significant decrease in capital expenditures in 2015 compared to 2014 is primarily a result of the construction of the McClelland Lake Lodge, which was largely completed in 2014. No comparable project was under construction in 2015.</w:t>
      </w:r>
    </w:p>
    <w:p>
      <w:pPr>
        <w:spacing w:after="0" w:line="193"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We expect our capital expenditures for 2016 to be approximately $30 million, which excludes any expenditures for unannounced and uncommitted projects, the spending for which is contingent on obtaining customer contracts. Whether planned expenditures will actually be spent in 2016 depends on industry conditions, project approvals and schedules, customer room commitments and project and construction timing. We expect to fund these capital expenditures with available cash, internally generated funds and borrowings under our Amended Credit Facility.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9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 We have also classified the expenditures between expansionary and maintenance spending.</w:t>
      </w:r>
    </w:p>
    <w:p>
      <w:pPr>
        <w:spacing w:after="0" w:line="15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Based on management’s judgment of capital spending classifications, we believe the following table represents the components of capital expenditures for the years ended December 31, 2015, 2014 and 2013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8"/>
              </w:rPr>
              <w:t>Year Ended December 31,</w:t>
            </w: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Expansion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Maint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Expansion</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Maint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Expansion</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Maint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Lodge/village</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Land banking</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auto"/>
              </w:rPr>
              <w:t>Mobile/open</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camp</w:t>
            </w: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0"/>
        </w:trPr>
        <w:tc>
          <w:tcPr>
            <w:tcW w:w="1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46.8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r>
      <w:tr>
        <w:trPr>
          <w:trHeight w:val="20"/>
        </w:trPr>
        <w:tc>
          <w:tcPr>
            <w:tcW w:w="1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Development spending in 2015 was primarily related to the construction of our Sitka lodge in British Columbia and our Mariana Lake lodge in Alberta. Development spending in 2014 was primarily related to the construction of our McClelland Lake lodge in the northern Athabasca oil sands region of Canada. Development spending in 2013 was primarily related to the expansion of the Beaver River and Conklin lodges, and completion of the initial rooms at our Anzac lodge in Canada. In 2013, we also completed the initial phase of construction at Boggabri village in Australia. In addition, we commenced construction of our McClelland Lake lodge in the northern Athabasca oil sands region of Canada.</w:t>
      </w:r>
    </w:p>
    <w:p>
      <w:pPr>
        <w:spacing w:after="0" w:line="188"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Open and mobile camp spending in 2014 was primarily related to additions to our Canadian mobile camp assets as well as spending on our Antler River open camp in Melita, Manitoba. Open and mobile camp spending in 2013 was primarily related to additions to our Canadian mobile camp assets as well as spending on our Boundary open camp in Estevan, Saskatchewan and open camp locations in Killdeer, North Dakota and Pecos, Texas.</w:t>
      </w:r>
    </w:p>
    <w:p>
      <w:pPr>
        <w:spacing w:after="0" w:line="1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Net cash of $349.6 million was used in financing activities during 2015, primarily due to repayments of term loan borrowings of $729.4 million offset by borrowings of term loans of $325 million and net revolver borrowings of $59.1 million. Net cash of $16.2 million was provided by financing activities during 2014, in part due to contributions from Oil States of $28.3 million. Borrowings of $775.0 million under our new term loan facility funded the cash distribution of $750.0 million to Oil States on May 28, 2014. Net cash of $30.3 million was provided by financing activities during 2013, primarily due to contributions from Oil States and partially offset by the repayment of all amounts outstanding under our previous Canadian term loan and repayments under our previous Australian credit facility.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p>
      <w:pPr>
        <w:ind w:right="40" w:firstLine="324"/>
        <w:spacing w:after="0" w:line="287" w:lineRule="auto"/>
        <w:rPr>
          <w:sz w:val="20"/>
          <w:szCs w:val="20"/>
          <w:color w:val="auto"/>
        </w:rPr>
      </w:pPr>
      <w:r>
        <w:rPr>
          <w:rFonts w:ascii="Arial" w:cs="Arial" w:eastAsia="Arial" w:hAnsi="Arial"/>
          <w:sz w:val="16"/>
          <w:szCs w:val="16"/>
          <w:color w:val="auto"/>
        </w:rPr>
        <w:t>We believe that cash on hand and cash flow from operations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22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Credit Facility and Long Term Debt. </w:t>
      </w:r>
      <w:r>
        <w:rPr>
          <w:rFonts w:ascii="Arial" w:cs="Arial" w:eastAsia="Arial" w:hAnsi="Arial"/>
          <w:sz w:val="18"/>
          <w:szCs w:val="18"/>
          <w:color w:val="auto"/>
        </w:rPr>
        <w:t>We historically relied on Oil States for financial support and cash management. Following the Spin-Off, our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and sources of liquidity changed. In connection with the Spin-Off, on May 28, 2014, we entered into a $650.0 million, 5-year revolving credit facility and a 5-year U.S. term loan facility totaling $775.0 million (collectively, the Credit Facility) for an aggregate borrowing capacity of $1.4 billion. On July 17, 2015, we amended the Credit Facility (First Amendment) to, among other things:</w:t>
      </w:r>
    </w:p>
    <w:p>
      <w:pPr>
        <w:spacing w:after="0" w:line="184" w:lineRule="exact"/>
        <w:rPr>
          <w:sz w:val="20"/>
          <w:szCs w:val="20"/>
          <w:color w:val="auto"/>
        </w:rPr>
      </w:pPr>
    </w:p>
    <w:p>
      <w:pPr>
        <w:ind w:left="660" w:right="24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Permit us to redomicile to Canada, make associated corporate restructurings and make certain changes to the collateral and guarantees, covenants, events of default and related definitions to reflect the Redomicile Transaction and the new credit facilities referred to below;</w:t>
      </w:r>
    </w:p>
    <w:p>
      <w:pPr>
        <w:spacing w:after="0" w:line="146" w:lineRule="exact"/>
        <w:rPr>
          <w:rFonts w:ascii="Arial" w:cs="Arial" w:eastAsia="Arial" w:hAnsi="Arial"/>
          <w:sz w:val="17"/>
          <w:szCs w:val="17"/>
          <w:color w:val="auto"/>
        </w:rPr>
      </w:pPr>
    </w:p>
    <w:p>
      <w:pPr>
        <w:ind w:left="660" w:right="140" w:hanging="328"/>
        <w:spacing w:after="0" w:line="31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Allow for the incurrence of new credit facilities under the Credit Facility, including (i) a new revolving credit facility in a maximum principal amount of US$125 million available to be borrowed by Civeo Canada after the effectiveness of the First Amendment (July 17, 2015) and (ii) a new term loan facility in the amount of US$325 million to be borrowed by Civeo Canada on the date of the effectiveness of the First Amendment;</w:t>
      </w:r>
    </w:p>
    <w:p>
      <w:pPr>
        <w:spacing w:after="0" w:line="146"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for the partial prepayment of the existing U.S. term loan under the Credit Facility in the aggregate principal amount of US$725 million and the reduction of the aggregate U.S. revolving credit facility to a maximum principal amount of US$50 million;</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the interest rate margin by 0.25% within existing levels of total leverage and add two additional levels to the total leverage-based grid such that the interest rates for the loans range from LIBOR +2.0% to LIBOR +4.0% and increase the undrawn commitment fee to range from 0.45% to 0.90% based on total leverage;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certain changes to the maximum leverage ratio financial covenant;</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certain changes to the application of prepayments and amortization schedules to reflect the new term loan facility and the prepayment of the U.S. term loans;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18, 2016, the Second Amendment (Second Amendment) to the Credit Facility (together with all amendments, the Amended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became effective, which allowed us the following:</w:t>
      </w:r>
    </w:p>
    <w:p>
      <w:pPr>
        <w:spacing w:after="0" w:line="211" w:lineRule="exact"/>
        <w:rPr>
          <w:sz w:val="20"/>
          <w:szCs w:val="20"/>
          <w:color w:val="auto"/>
        </w:rPr>
      </w:pPr>
    </w:p>
    <w:p>
      <w:pPr>
        <w:ind w:left="660" w:right="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Join Civeo Management LLC, an indirect wholly owned subsidiary of the Company, as a co-borrower under the US$50 million U.S. revolving credit facility under the Amended Credit Facility;</w:t>
      </w:r>
    </w:p>
    <w:p>
      <w:pPr>
        <w:spacing w:after="0" w:line="170"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for the partial prepayment of the U.S. term loan under the Amended Credit Facility in the aggregate principal amount of US$25 million and the reduction by US$25 million of the aggregate revolving loan commitments under the Canadian revolving credit facility under the Amended Credit Facility, which was incurred in connection with the First Amendment to the Credit Facility, to a maximum principal amount of US$100 million;</w:t>
      </w:r>
    </w:p>
    <w:p>
      <w:pPr>
        <w:spacing w:after="0" w:line="146" w:lineRule="exact"/>
        <w:rPr>
          <w:rFonts w:ascii="Arial" w:cs="Arial" w:eastAsia="Arial" w:hAnsi="Arial"/>
          <w:sz w:val="16"/>
          <w:szCs w:val="16"/>
          <w:color w:val="auto"/>
        </w:rPr>
      </w:pPr>
    </w:p>
    <w:p>
      <w:pPr>
        <w:ind w:left="660" w:right="140" w:hanging="328"/>
        <w:spacing w:after="0" w:line="31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 the interest rate margin by 0.25% when the leverage ratio is less than 1.50x (by deleting the lowest level in the leverage-based grid) and adding two additional levels to the total leverage-based grid such that the interest rates for the loans range from LIBOR +2.25% to LIBOR +5.00%, and increase the undrawn commitment fee from a range of 0.45% to 0.90% to a range of 0.51% to 1.13% based on total leverage;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7" w:name="page68"/>
    <w:bookmarkEnd w:id="67"/>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certain changes to the maximum leverage ratio financial covenant, as follows:</w:t>
      </w:r>
    </w:p>
    <w:p>
      <w:pPr>
        <w:spacing w:after="0" w:line="262" w:lineRule="exact"/>
        <w:rPr>
          <w:sz w:val="20"/>
          <w:szCs w:val="20"/>
          <w:color w:val="auto"/>
        </w:rPr>
      </w:pPr>
    </w:p>
    <w:tbl>
      <w:tblPr>
        <w:tblLayout w:type="fixed"/>
        <w:tblInd w:w="2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gridSpan w:val="3"/>
            <w:vMerge w:val="restart"/>
          </w:tcPr>
          <w:p>
            <w:pPr>
              <w:ind w:left="1360"/>
              <w:spacing w:after="0"/>
              <w:rPr>
                <w:sz w:val="20"/>
                <w:szCs w:val="20"/>
                <w:color w:val="auto"/>
              </w:rPr>
            </w:pPr>
            <w:r>
              <w:rPr>
                <w:rFonts w:ascii="Arial" w:cs="Arial" w:eastAsia="Arial" w:hAnsi="Arial"/>
                <w:sz w:val="18"/>
                <w:szCs w:val="18"/>
                <w:b w:val="1"/>
                <w:bCs w:val="1"/>
                <w:color w:val="auto"/>
              </w:rPr>
              <w:t>Period Ended</w:t>
            </w:r>
          </w:p>
        </w:tc>
        <w:tc>
          <w:tcPr>
            <w:tcW w:w="3120" w:type="dxa"/>
            <w:vAlign w:val="bottom"/>
            <w:gridSpan w:val="3"/>
          </w:tcPr>
          <w:p>
            <w:pPr>
              <w:ind w:left="820"/>
              <w:spacing w:after="0"/>
              <w:rPr>
                <w:sz w:val="20"/>
                <w:szCs w:val="20"/>
                <w:color w:val="auto"/>
              </w:rPr>
            </w:pPr>
            <w:r>
              <w:rPr>
                <w:rFonts w:ascii="Arial" w:cs="Arial" w:eastAsia="Arial" w:hAnsi="Arial"/>
                <w:sz w:val="18"/>
                <w:szCs w:val="18"/>
                <w:b w:val="1"/>
                <w:bCs w:val="1"/>
                <w:color w:val="auto"/>
              </w:rPr>
              <w:t>Maximum Leverage Ratio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gridSpan w:val="3"/>
            <w:vMerge w:val="continue"/>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4.00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4.25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2016</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2"/>
              </w:rPr>
              <w:t>5.25: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2016</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5.50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5.50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2017</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2017</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2017</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5.00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5.00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2018</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4.75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2018</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3.75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2018 &amp; thereafter</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3.50 : 1.00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right="40" w:hanging="328"/>
        <w:spacing w:after="0" w:line="276"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Add a provision for a mandatory prepayment of the revolving credit facilities under the Amended Credit Facility in the event the Company and its subsidiaries hold an aggregate amount of cash exceeding US$40 million for a period of more than three consecutive business days, such mandatory prepayment to be made within two business days in an amount equal to the lesser of (a) an amount sufficient to reduce the aggregate amount of cash and permitted investments on hand at the Company and its subsidiaries to less than US$40 million or (b) an amount sufficient to repay all of the outstanding commitments under the revolving credit facilities under the Amended Credit Facility; and</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Credit Facility.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capacity available under the Amended Credit Facility compared to the Credit Facility (in thousands):</w:t>
      </w:r>
    </w:p>
    <w:p>
      <w:pPr>
        <w:spacing w:after="0" w:line="27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First Amendment</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 the Credit</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Amended Credit</w:t>
            </w:r>
          </w:p>
        </w:tc>
      </w:t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Credit Facility</w:t>
            </w:r>
          </w:p>
        </w:tc>
        <w:tc>
          <w:tcPr>
            <w:tcW w:w="18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Facility</w:t>
            </w:r>
          </w:p>
        </w:tc>
        <w:tc>
          <w:tcPr>
            <w:tcW w:w="780" w:type="dxa"/>
            <w:vAlign w:val="bottom"/>
          </w:tcPr>
          <w:p>
            <w:pPr>
              <w:spacing w:after="0"/>
              <w:rPr>
                <w:sz w:val="20"/>
                <w:szCs w:val="20"/>
                <w:color w:val="auto"/>
              </w:rPr>
            </w:pPr>
            <w:r>
              <w:rPr>
                <w:rFonts w:ascii="Arial" w:cs="Arial" w:eastAsia="Arial" w:hAnsi="Arial"/>
                <w:sz w:val="18"/>
                <w:szCs w:val="18"/>
                <w:b w:val="1"/>
                <w:bCs w:val="1"/>
                <w:color w:val="auto"/>
              </w:rPr>
              <w:t>Facility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U.S. 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20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24,375</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term loan</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Total term loans outstanding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20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349,375</w:t>
            </w:r>
          </w:p>
        </w:tc>
      </w:tr>
      <w:tr>
        <w:trPr>
          <w:trHeight w:val="20"/>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capacity under revolving credit facilities: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Canadian revolving credit facility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100,000</w:t>
            </w:r>
          </w:p>
        </w:tc>
        <w:tc>
          <w:tcPr>
            <w:tcW w:w="7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Canadian revolving credit facility</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Australian revolving credit facility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100,000</w:t>
            </w:r>
          </w:p>
        </w:tc>
        <w:tc>
          <w:tcPr>
            <w:tcW w:w="7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capacity under revolving credit facilities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5.00%, or a base rate plus 1.25% to 4.00%, in each case based on a ratio of our total leverage to EBITDA (as defined in the Amended Credit Facility). Canadian dollar amounts outstanding under the Amended Credit Facility bear interest at a variable rate equal to CDOR plus a margin of 2.25% to 5.00%, or a base rate plus a margin of 1.25% to 4.00%, in each case based on a ratio of our consolidated total leverage to EBITDA (as defined in the Amended Credit Facility). Australian dollar amounts outstanding under the Amended Credit Facility bear interest at a variable rate equal to BBSY plus a margin of 2.25% to 5.00%, based on a ratio of our consolidated total leverage to EBITDA (as defined in the Amended Credit Facility).</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a maximum leverage ratio, defined as the ratio of total debt to consolidated EBITDA, of no greater than 4.0 to 1.0 (as of December 31, 2015). As noted above, the permitted level of the maximum leverage ratio changes over time. Each of the factors considered in the calculations of these ratios are defined in the Amended Credit Facility. EBITDA and consolidated interest, as defined, exclude goodwill and asset impairments, debt discount amortization and other non-cash charges. We were in compliance with these covenants as of December 31, 2015.</w:t>
      </w:r>
    </w:p>
    <w:p>
      <w:pPr>
        <w:spacing w:after="0" w:line="17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Borrowings under the Amended Credit Facility are secured by a pledge of substantially all of our assets and the assets of our subsidiaries. Obligations under the Amended Credit Facility are guaranteed by our significant subsidiaries.</w:t>
      </w:r>
    </w:p>
    <w:p>
      <w:pPr>
        <w:spacing w:after="0" w:line="22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We paid quarterly dividends in the amount of $0.13 per share during the third and fourth quarters of 2014. In late December 2014, we</w:t>
      </w:r>
      <w:r>
        <w:rPr>
          <w:rFonts w:ascii="Arial" w:cs="Arial" w:eastAsia="Arial" w:hAnsi="Arial"/>
          <w:sz w:val="17"/>
          <w:szCs w:val="17"/>
          <w:b w:val="1"/>
          <w:bCs w:val="1"/>
          <w:color w:val="auto"/>
        </w:rPr>
        <w:t xml:space="preserve"> </w:t>
      </w:r>
      <w:r>
        <w:rPr>
          <w:rFonts w:ascii="Arial" w:cs="Arial" w:eastAsia="Arial" w:hAnsi="Arial"/>
          <w:sz w:val="17"/>
          <w:szCs w:val="17"/>
          <w:color w:val="auto"/>
        </w:rPr>
        <w:t>suspended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Amended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ectPr>
          <w:pgSz w:w="11900" w:h="16838" w:orient="portrait"/>
          <w:cols w:equalWidth="0" w:num="1">
            <w:col w:w="11380"/>
          </w:cols>
          <w:pgMar w:left="240" w:top="611" w:right="279" w:bottom="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results of operations have not been materially impacted by inflation in the past three fiscal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summarizes our contractual obligations at December 31, 2015, and the effect such obligations are expected to have on our liquidity and cash flow over the next five years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Less Than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Than 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1 – 3 Years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3 – 5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debt, including capital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401,560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348,466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line="216" w:lineRule="exact"/>
              <w:rPr>
                <w:sz w:val="20"/>
                <w:szCs w:val="20"/>
                <w:color w:val="auto"/>
              </w:rPr>
            </w:pPr>
            <w:r>
              <w:rPr>
                <w:rFonts w:ascii="Arial" w:cs="Arial" w:eastAsia="Arial" w:hAnsi="Arial"/>
                <w:sz w:val="16"/>
                <w:szCs w:val="16"/>
                <w:color w:val="auto"/>
              </w:rPr>
              <w:t>Interest payments</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25,628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Non-cancelable operating lease obligations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7,636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 – expected cash payments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530,027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48,276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75,933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362,742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4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payments due under the Amended Credit Facility, which matures on May 28, 2019; based on a weighted average interest rate of 2.7% to 3.7% for the twelve month period ended December 31, 2015.</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debt obligations at December 31, 2015 are included in our consolidated balance sheet, which is a part of our consolidated financial statements in Item 8 of this annual report. We have not entered into any material leases subsequent to December 31, 2015.</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at December 31, 2015, we are unable to make reasonably reliable estimates of the period of cash settlement with the respective taxing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consolidated financial statements in Item 8 of this annual report have been prepared in accordance with U.S.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0" w:name="page71"/>
    <w:bookmarkEnd w:id="70"/>
    <w:p>
      <w:pPr>
        <w:ind w:left="340"/>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contract claims and obligations and asset retirement obligations.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Tangible and Intangible Assets, including Goodwill</w:t>
      </w:r>
    </w:p>
    <w:p>
      <w:pPr>
        <w:spacing w:after="0" w:line="2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the purchase price paid for acquired businesses over the allocated fair value of the related net assets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impairments, if applicable. In connection with the preparation of our financial statements for the three months ended September 30, 2015, we performed a goodwill impairment test as of September 30, 2015, and we reduced the value of our goodwill to zero. Please see Note 3 – Impairment Charges to the notes to consolidated financial statements in Item 8 of this annual report for further discussion of goodwill impairments recorded in the years ended December 31, 2015 and 2014.</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previously had goodwill. We recognize an impairment loss for any amount by which the carrying amount of a reporting unit’s goodwill exceeds the reporting unit’s implied fair value (IFV) of goodwill. We conduct our annual impairment test as of November 30 of each year.</w:t>
      </w:r>
    </w:p>
    <w:p>
      <w:pPr>
        <w:spacing w:after="0" w:line="19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assessment consisted of a two-step impairment test. In the first step, we compared each reporting unit’s carrying amount, including goodwill, to the IFV of the reporting unit. If the carrying amount of the reporting unit exceeded its fair value, goodwill was considered impaired, and a second step was performed to determine the amount of impairment, if any.</w:t>
      </w:r>
    </w:p>
    <w:p>
      <w:pPr>
        <w:spacing w:after="0" w:line="23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7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In 2014, we chose to bypass the qualitative assessment and proceed directly to the first step of the impairment test. 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1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This valuation approach utilizes publicly traded comparable companies’ enterprise values, as compared to their recent and forecasted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before interest, taxes and depreciation (EBITDA) information. We have historically used an average EBITDA multiple ranging from approximately 6.5x to approximately 9.5x depending on the reporting unit. We use EBITDA because it is a widely used key indicator of the cash generating capacity of companies in our industry.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1" w:name="page72"/>
    <w:bookmarkEnd w:id="71"/>
    <w:p>
      <w:pPr>
        <w:ind w:right="40" w:firstLine="324"/>
        <w:spacing w:after="0" w:line="297" w:lineRule="auto"/>
        <w:rPr>
          <w:sz w:val="20"/>
          <w:szCs w:val="20"/>
          <w:color w:val="auto"/>
        </w:rPr>
      </w:pPr>
      <w:r>
        <w:rPr>
          <w:rFonts w:ascii="Arial" w:cs="Arial" w:eastAsia="Arial" w:hAnsi="Arial"/>
          <w:sz w:val="16"/>
          <w:szCs w:val="16"/>
          <w:i w:val="1"/>
          <w:iCs w:val="1"/>
          <w:color w:val="auto"/>
        </w:rPr>
        <w:t xml:space="preserve">Income Approach </w:t>
      </w:r>
      <w:r>
        <w:rPr>
          <w:rFonts w:ascii="Arial" w:cs="Arial" w:eastAsia="Arial" w:hAnsi="Arial"/>
          <w:sz w:val="16"/>
          <w:szCs w:val="16"/>
          <w:color w:val="auto"/>
        </w:rPr>
        <w:t>- This valuation approach derives a present value of the reporting unit’s projected future annual cash flows over the next five years. We</w:t>
      </w:r>
      <w:r>
        <w:rPr>
          <w:rFonts w:ascii="Arial" w:cs="Arial" w:eastAsia="Arial" w:hAnsi="Arial"/>
          <w:sz w:val="16"/>
          <w:szCs w:val="16"/>
          <w:i w:val="1"/>
          <w:iCs w:val="1"/>
          <w:color w:val="auto"/>
        </w:rPr>
        <w:t xml:space="preserve"> </w:t>
      </w:r>
      <w:r>
        <w:rPr>
          <w:rFonts w:ascii="Arial" w:cs="Arial" w:eastAsia="Arial" w:hAnsi="Arial"/>
          <w:sz w:val="16"/>
          <w:szCs w:val="16"/>
          <w:color w:val="auto"/>
        </w:rPr>
        <w:t>use a variety of underlying 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w:t>
      </w:r>
    </w:p>
    <w:p>
      <w:pPr>
        <w:spacing w:after="0" w:line="21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22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b w:val="1"/>
          <w:bCs w:val="1"/>
          <w:i w:val="1"/>
          <w:iCs w:val="1"/>
          <w:color w:val="auto"/>
        </w:rPr>
        <w:t xml:space="preserve">Definite-Lived Tangible and Intangible Assets. </w:t>
      </w:r>
      <w:r>
        <w:rPr>
          <w:rFonts w:ascii="Arial" w:cs="Arial" w:eastAsia="Arial" w:hAnsi="Arial"/>
          <w:sz w:val="16"/>
          <w:szCs w:val="16"/>
          <w:color w:val="auto"/>
        </w:rPr>
        <w:t>The recoverability of the carrying values of tangible and intangible assets is assessed at an asset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which represents the lowest level for which identifiable cash flows are largely independent of the cash flows of other assets and liabilities. Whenever, in management’s judgment, events or changes in circumstances indicate that the carrying value of such asset groups may not be recoverable based on estimated future cash flows, an asset impairment evaluation is performed. Indicators of impairment might include persistent negative economic trends affecting the markets we serve, recurring losses or lowered expectations of future cash flows expected to be generated by our assets.</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In performing this analysis, the first step is to compare each asset group’s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w:t>
      </w:r>
      <w:r>
        <w:rPr>
          <w:rFonts w:ascii="Arial" w:cs="Arial" w:eastAsia="Arial" w:hAnsi="Arial"/>
          <w:sz w:val="18"/>
          <w:szCs w:val="18"/>
          <w:i w:val="1"/>
          <w:iCs w:val="1"/>
          <w:color w:val="auto"/>
        </w:rPr>
        <w:t>Goodwill</w:t>
      </w:r>
      <w:r>
        <w:rPr>
          <w:rFonts w:ascii="Arial" w:cs="Arial" w:eastAsia="Arial" w:hAnsi="Arial"/>
          <w:sz w:val="18"/>
          <w:szCs w:val="18"/>
          <w:color w:val="auto"/>
        </w:rPr>
        <w:t>, above.</w:t>
      </w:r>
    </w:p>
    <w:p>
      <w:pPr>
        <w:spacing w:after="0" w:line="18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If, based on the assessment, the carrying values of any of our asset groups are determined to not be recoverable, we proceed to the second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188"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Please see Note 3 – Impairment Charges to the notes to consolidated financial statements in Item 8 of this annual report for further discussion of impairments of definite-lived tangible and intangible assets recorded in the years ended December 31, 2015 and 2014.</w:t>
      </w:r>
    </w:p>
    <w:p>
      <w:pPr>
        <w:spacing w:after="0" w:line="14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Indefinite-Lived Intangible Assets. </w:t>
      </w:r>
      <w:r>
        <w:rPr>
          <w:rFonts w:ascii="Arial" w:cs="Arial" w:eastAsia="Arial" w:hAnsi="Arial"/>
          <w:sz w:val="18"/>
          <w:szCs w:val="18"/>
          <w:color w:val="auto"/>
        </w:rPr>
        <w:t>We are required to evaluate our indefinite-lived intangible assets for impairment annually and when an event occurs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ind w:right="680" w:firstLine="324"/>
        <w:spacing w:after="0" w:line="277" w:lineRule="auto"/>
        <w:rPr>
          <w:sz w:val="20"/>
          <w:szCs w:val="20"/>
          <w:color w:val="auto"/>
        </w:rPr>
      </w:pPr>
      <w:r>
        <w:rPr>
          <w:rFonts w:ascii="Arial" w:cs="Arial" w:eastAsia="Arial" w:hAnsi="Arial"/>
          <w:sz w:val="18"/>
          <w:szCs w:val="18"/>
          <w:color w:val="auto"/>
        </w:rPr>
        <w:t>Please see Note 3 – Impairment Charges to the notes to consolidated financial statements in Item 8 of this annual report for further discussion of impairments of indefinite-lived intangible assets recorded in the years ended December 31, 2015 and 2014.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Revenues are recognized based on a periodic (usually daily) room rate or when the services are rendered. Revenues are recognized in the period in which services are provided pursuant to the terms of our contractual relationships with our customers. In some contracts, the rate or committed room numbers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w:t>
      </w:r>
    </w:p>
    <w:p>
      <w:pPr>
        <w:spacing w:after="0" w:line="2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are determined.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exclude taxes assessed based on revenues such as sales or value added taxes.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determination of the collectability of amounts due from customer accounts requires us to make judgments regarding future events and trends. Allowances for doubtful accounts are determined based on a continuous process of assessing our accounts receivable on an individual customer basis, taking into account current market conditions and trends. This process consists of a thorough review of historical collection experience, current aging status of the customer accounts, and financial condition of our customers. Based on a review of these factors, we will establish or adjust allowances for specific customers. A substantial portion of our revenues come from oil companies in the Canadian oil sands and Australian mining companies. If worldwide commodity prices continue to deteriorate, the creditworthiness of our customers could also deteriorate, they may be unable to pay these receivables, and additional allowances could be required. At December 31, 2015 and 2014, our allowance for bad debts totaled $1.1 million and $4.0 million, or 1.8% and 2.4% of gross accounts receivable,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Estimation of Useful Lives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reevaluate the remaining useful lives and salvage values of our assets when certain events occur that directly impact the useful lives and salvage values, including changes in operating condition, functional capability and market and economic factors. We believe our estimates of useful lives are appropriate.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historic share-based compensation is based on participating in Civeo’s 2014 Equity Participation Plan and, prior to the Spin-Off, the Oil States 2001 Equity Participation Plan (collectively, the Plans). Our disclosures reflect only our employees’ participation in the Plans. We are required to estimate the fair value of share compensation made pursuant to awards under the Plans. An initial estimate of the fair value of each option award or restricted share award determines the amount of share compensation expense we will recognize in the future. For stock option awards prior to the Spin-Off, to estimate the value of the awards under the Plan, Oil States selected a fair value calculation model. Oil States chose the Black Scholes Merton “closed form” model to value stock options awarded under the Plan. Oil States chose this model because option awards were made under straightforward vesting terms, option prices and option lives. Utilizing the Black Scholes Merton model required Oil States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share-based compensation expense recognition. We have not made any option awards subsequent to the Spin-Off, but, in the event that we make future awards, we expect to utilize a similar valuation methodology. We will continually monitor our actual experience and change assumptions for future awards as we consider appropriate.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6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When our earnings from foreign subsidiaries are considered to be indefinitely reinvested, no provision for Canadian income taxes is made for these earnings. If any of the subsidiaries have a distribution of earnings in the form of dividends or otherwise, we would be subject to both Canadian income taxes (subject to an adjustment for foreign tax credits) and withholding taxes payable to the various foreign countries. During the fourth quarter of 2014, we reevaluated our intent to indefinitely reinvest earnings of our U.S. foreign subsidiary companies, and recognized a deferred tax liability of $25.3 million as of December 31, 2014 related to a portion of our undistributed foreign earnings. During the third quarter of 2015, following our redomiciliation to Canada, it was determined that the existing deferred tax liability recorded was no longer required. We reversed the taxes and recorded a tax benefit of approximately $25.3 million during the year ended December 31, 2015. We do not expect to provide Canadian income taxes on future foreign earnings.</w:t>
      </w:r>
    </w:p>
    <w:p>
      <w:pPr>
        <w:spacing w:after="0" w:line="16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We record a valuation allowance in each reporting period when management believes that it is more likely than not that any deferred tax asset created will not be realized. Management will continue to evaluate the appropriateness of the valuation allowance in the future based upon our operating results. Please see Note 12 – Income Taxes to the notes to consolidated financial statements in Item 8 of this annual report for further discussion.</w:t>
      </w:r>
    </w:p>
    <w:p>
      <w:pPr>
        <w:spacing w:after="0" w:line="14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93"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For periods prior to the Spin-Off, our results were included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4" w:name="page75"/>
    <w:bookmarkEnd w:id="74"/>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 Please see Note 2 – Summary of Significant Accounting Policies – Recent Accounting Pronouncements to the notes to consolidated financial statements in Item 8 of this annual report for further discussion.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December 31, 2015, we had floating-rate obligations totaling $401.6 million outstanding under our credit facilities. These floating-rate obligations expose us to the risk of increased interest expense in the event of increases in short-term interest rates. If floating interest rates increase by 1%, our consolidated interest expense would increase by a total of approximately $4.0 million annually based on our floating-rate debt obligations as of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C$0.2 billion and A$0.5 billion, respectively, at December 31, 2015. We use a sensitivity analysis model to measure the impact of a 10% adverse movement of foreign currency exchange rates against the U.S. dollar. A hypothetical 10% adverse change in the value of the Canadian dollar and Australian dollar relative to the U.S. dollar as of December 31, 2015 would result in translation adjustments of approximately $24 million and $55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w:t>
      </w:r>
    </w:p>
    <w:p>
      <w:pPr>
        <w:spacing w:after="0" w:line="265"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Our Consolidated Financial Statements and supplementary data appear on pages 81 through 120 of this Annual Report on Form 10-K and are incorporated by reference into this Item 8. Selected quarterly financial data is set forth in Note 19 – Quarterly Financial Information (Unaudited) to our Consolidated Financial Statements, which is incorporated herein by reference.</w:t>
      </w:r>
    </w:p>
    <w:p>
      <w:pPr>
        <w:spacing w:after="0" w:line="231" w:lineRule="exact"/>
        <w:rPr>
          <w:sz w:val="20"/>
          <w:szCs w:val="20"/>
          <w:color w:val="auto"/>
        </w:rPr>
      </w:pPr>
    </w:p>
    <w:p>
      <w:pPr>
        <w:ind w:right="4000"/>
        <w:spacing w:after="0" w:line="282" w:lineRule="auto"/>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9.</w:t>
      </w:r>
    </w:p>
    <w:p>
      <w:pPr>
        <w:spacing w:after="0" w:line="166"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There were no changes in or disagreements on any matters of accounting principles or financial statement disclosure between us and our independent auditors during our two most recent fiscal years or any subsequent interim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Commission. Based upon that evaluation, our Chief Executive Officer and Chief Financial Officer concluded that our disclosure controls and procedures were effective as of December 31, 2015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(ii)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Management's annual report on internal control over financial reporting.</w:t>
      </w:r>
    </w:p>
    <w:p>
      <w:pPr>
        <w:spacing w:after="0" w:line="229" w:lineRule="exact"/>
        <w:rPr>
          <w:sz w:val="20"/>
          <w:szCs w:val="20"/>
          <w:color w:val="auto"/>
        </w:rPr>
      </w:pPr>
    </w:p>
    <w:p>
      <w:pPr>
        <w:ind w:right="100" w:firstLine="243"/>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79"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87"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an assessment of the effectiveness of our internal control over financial reporting as of December 31, 2015 was conducted. In making this assessment, management used the criteria set forth by the Committee of Sponsoring Organizations of the Treadway Commission (COSO) in Internal Control–Integrated Framework (2013 Framework). Based on our assessment we believe that, as of December 31, 2015, the Company's internal control over financial reporting is effective based on those criteria.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Attestation report of the registered public accounting firm.</w:t>
      </w:r>
    </w:p>
    <w:p>
      <w:pPr>
        <w:spacing w:after="0" w:line="229" w:lineRule="exact"/>
        <w:rPr>
          <w:sz w:val="20"/>
          <w:szCs w:val="20"/>
          <w:color w:val="auto"/>
        </w:rPr>
      </w:pPr>
    </w:p>
    <w:p>
      <w:pPr>
        <w:ind w:right="520" w:firstLine="243"/>
        <w:spacing w:after="0" w:line="277" w:lineRule="auto"/>
        <w:rPr>
          <w:sz w:val="20"/>
          <w:szCs w:val="20"/>
          <w:color w:val="auto"/>
        </w:rPr>
      </w:pPr>
      <w:r>
        <w:rPr>
          <w:rFonts w:ascii="Arial" w:cs="Arial" w:eastAsia="Arial" w:hAnsi="Arial"/>
          <w:sz w:val="18"/>
          <w:szCs w:val="18"/>
          <w:color w:val="auto"/>
        </w:rPr>
        <w:t>The attestation report of Ernst &amp; Young LLP, the Company's independent registered public accounting firm, on the Company's internal control over financial reporting is set forth in this annual report on page 83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22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Except as noted below, during the three months ended December 31, 2015, there were no changes in our internal controls (as defined in Rules 13a-15(f) and 15d-15(f) under the Exchange Act) which have materially affected, or are reasonably likely to materially affect, our internal controls.</w:t>
      </w:r>
    </w:p>
    <w:p>
      <w:pPr>
        <w:spacing w:after="0" w:line="147"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During the third quarter of 2015, we identified a material weakness in our internal controls over the assignment of depreciable lives to asset amounts recorded for asset retirement obligations. Our processes, procedures and controls related to the assignment of depreciable lives for asset retirement obligations were not effective to ensure that the asset amounts were accurately reflected in the financial statements. This control deficiency resulted in a correction of an immaterial error in the third quarter 2015 financial statements.</w:t>
      </w:r>
    </w:p>
    <w:p>
      <w:pPr>
        <w:spacing w:after="0" w:line="24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To remediate this material weakness, during the fourth quarter of 2015, we implemented the following controls: (i) further formalizing and documenting the procedures surrounding the assignment of depreciable lives to assets recorded for asset retirement obligations; (ii) expanding management’s review of the related process; and (iii) formalizing and documenting additional analysis to be performed on our asset retirement amounts. The implementation of these controls remediated the material weakness as of December 31,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Item 10 hereby is incorporated by reference to such information as set forth in the Company's Definitive Proxy Statement for the 2016 Annual General and Special Meeting of Shareholders.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Board of Directors of the Company (the Board)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Nominating and Corporate Governance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Copies of such documents will be sent to shareholders free of charge upon written request to the corporate secretary at the address shown on the cover page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The information required by Item 11 hereby is incorporated by reference to such information as set forth in the Company's Definitive Proxy Statement for the 2016 Annual General and Special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The information required by Item 12 hereby is incorporated by reference to such information as set forth in the Company's Definitive Proxy Statement for the 2016 Annual General and Special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The information required by Item 13 hereby is incorporated by reference to such information as set forth in the Company's Definitive Proxy Statement for the 2016 Annual General and Special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The information required by Item 14 hereby is incorporated by reference to such information as set forth in the Company's Definitive Proxy Statement for the 2016 Annual General and Special Meeting of Shareholders.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Statements, Financial Statement Schedules and Exhibits</w:t>
      </w:r>
    </w:p>
    <w:p>
      <w:pPr>
        <w:spacing w:after="0" w:line="279" w:lineRule="exact"/>
        <w:rPr>
          <w:rFonts w:ascii="Arial" w:cs="Arial" w:eastAsia="Arial" w:hAnsi="Arial"/>
          <w:sz w:val="18"/>
          <w:szCs w:val="18"/>
          <w:i w:val="1"/>
          <w:iCs w:val="1"/>
          <w:color w:val="auto"/>
        </w:rPr>
      </w:pPr>
    </w:p>
    <w:p>
      <w:pPr>
        <w:ind w:left="980" w:hanging="324"/>
        <w:spacing w:after="0"/>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Reference is made to the index set forth on page 81 of this Annual Report on Form 10-K.</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No schedules have been included herein because the information required to be submitted has been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 or the Notes thereto, or the required information is inapplicable.</w:t>
      </w:r>
    </w:p>
    <w:p>
      <w:pPr>
        <w:spacing w:after="0" w:line="170" w:lineRule="exact"/>
        <w:rPr>
          <w:rFonts w:ascii="Arial" w:cs="Arial" w:eastAsia="Arial" w:hAnsi="Arial"/>
          <w:sz w:val="18"/>
          <w:szCs w:val="18"/>
          <w:color w:val="auto"/>
        </w:rPr>
      </w:pPr>
    </w:p>
    <w:p>
      <w:pPr>
        <w:ind w:left="980" w:hanging="324"/>
        <w:spacing w:after="0" w:line="264" w:lineRule="auto"/>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Index of Exhibits: </w:t>
      </w:r>
      <w:r>
        <w:rPr>
          <w:rFonts w:ascii="Arial" w:cs="Arial" w:eastAsia="Arial" w:hAnsi="Arial"/>
          <w:sz w:val="18"/>
          <w:szCs w:val="18"/>
          <w:color w:val="auto"/>
        </w:rPr>
        <w:t>See Index of Exhibits, below, for a list of those exhibits filed herewith, which index also includes and identifies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or compensatory plans or arrangements required to be filed as exhibits to this Annual Report on Form 10-K by Item 601 of Regulation S-K.</w:t>
      </w:r>
    </w:p>
    <w:p>
      <w:pPr>
        <w:spacing w:after="0" w:line="181" w:lineRule="exact"/>
        <w:rPr>
          <w:rFonts w:ascii="Arial" w:cs="Arial" w:eastAsia="Arial" w:hAnsi="Arial"/>
          <w:sz w:val="18"/>
          <w:szCs w:val="18"/>
          <w:color w:val="auto"/>
        </w:rPr>
      </w:pPr>
    </w:p>
    <w:p>
      <w:pPr>
        <w:ind w:left="1080" w:hanging="489"/>
        <w:spacing w:after="0"/>
        <w:tabs>
          <w:tab w:leader="none" w:pos="1080" w:val="left"/>
        </w:tabs>
        <w:numPr>
          <w:ilvl w:val="1"/>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Index of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760" w:type="dxa"/>
            <w:vAlign w:val="bottom"/>
          </w:tcPr>
          <w:p>
            <w:pPr>
              <w:spacing w:after="0"/>
              <w:rPr>
                <w:sz w:val="17"/>
                <w:szCs w:val="17"/>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38"/>
        </w:trPr>
        <w:tc>
          <w:tcPr>
            <w:tcW w:w="1020" w:type="dxa"/>
            <w:vAlign w:val="bottom"/>
            <w:gridSpan w:val="2"/>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6"/>
              </w:rPr>
              <w:t>Agreement and Plan of Merger, dated as of April 6, 2015, among Civeo Corporation, Civeo Canadian Holdings ULC and Civeo US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4"/>
              </w:rPr>
              <w:t>Merger Co (incorporated by reference to Annex A of Civeo Corporation’s definitive proxy statement/prospectus on Schedule 14A filed</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rPr>
              <w:t>with the SEC on April 8, 2015).</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7"/>
              </w:rPr>
              <w:t>Separation and Distribution Agreement by and between Oil States International, Inc. and Civeo Corporation, dated May 27, 2014</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8"/>
              </w:rPr>
              <w:t>(incorporated herein by reference to Exhibit 2.1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3"/>
              </w:rPr>
              <w:t>Notice of Articles of Civeo Corporation (incorporated herein by reference to Exhibit 3.1 to the Current Report on Form 8-K12B (File No.</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rPr>
              <w:t>001-36246) filed on July 17, 2015).</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6"/>
              </w:rPr>
              <w:t>Articles of Civeo Corporation (incorporated herein by reference to Exhibit 3.2 to the Current Report on Form 8-K12B (File No. 001-</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rPr>
              <w:t>36246) filed on July 17, 2015).</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1"/>
              </w:rPr>
              <w:t>Form of Common Share Certificate (incorporated herein by reference to Exhibit 4.1 to the Current Report on Form 8-K12B (File No. 001-</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rPr>
              <w:t>36246) filed on July 17, 2015).</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6"/>
              </w:rPr>
              <w:t>Indemnification and Release Agreement by and between Oil States International, Inc. and Civeo Corporation, dated May 27, 2014</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7"/>
              </w:rPr>
              <w:t>(incorporated herein by reference to Exhibit 10.1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1"/>
              </w:rPr>
              <w:t>Tax Sharing Agreement by and between Oil States International, Inc. and Civeo Corporation, dated May 27, 2014 (incorporated herein by</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rPr>
              <w:t>reference to Exhibit 10.2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3"/>
              </w:rPr>
              <w:t>Employee Matters Agreement by and between Oil States International, Inc. and Civeo Corporation, dated May 27, 2014 (incorporated</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rPr>
              <w:t>herein by reference to Exhibit 10.3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3"/>
              </w:rPr>
              <w:t>Transition Services Agreement by and between Oil States International, Inc. and Civeo Corporation, dated May 27, 2014 (incorporated</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rPr>
              <w:t>herein by reference to Exhibit 10.4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1"/>
              </w:rPr>
              <w:t>Syndicated Facility Agreement, dated as of May 28, 2014, among Civeo Corporation, Civeo Canada Inc., Civeo Premium Camp Services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3"/>
              </w:rPr>
              <w:t>Ltd. And Civeo Australia Pty Limited, as Borrowers, the Lenders named therein, Royal Bank of Canada, as Administrative Agent, U.S.</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60" w:type="dxa"/>
            <w:vAlign w:val="bottom"/>
            <w:gridSpan w:val="3"/>
          </w:tcPr>
          <w:p>
            <w:pPr>
              <w:ind w:left="180"/>
              <w:spacing w:after="0"/>
              <w:rPr>
                <w:sz w:val="20"/>
                <w:szCs w:val="20"/>
                <w:color w:val="auto"/>
              </w:rPr>
            </w:pPr>
            <w:r>
              <w:rPr>
                <w:rFonts w:ascii="Arial" w:cs="Arial" w:eastAsia="Arial" w:hAnsi="Arial"/>
                <w:sz w:val="18"/>
                <w:szCs w:val="18"/>
                <w:color w:val="auto"/>
                <w:w w:val="98"/>
              </w:rPr>
              <w:t>Collateral Agent, Canadian Administrative Agent, Canadian Collateral Agent and an Issuing Bank, and RBC Europe Limited, as</w:t>
            </w:r>
          </w:p>
        </w:tc>
      </w:tr>
    </w:tbl>
    <w:p>
      <w:pPr>
        <w:ind w:left="1380"/>
        <w:spacing w:after="0" w:line="261" w:lineRule="auto"/>
        <w:rPr>
          <w:sz w:val="20"/>
          <w:szCs w:val="20"/>
          <w:color w:val="auto"/>
        </w:rPr>
      </w:pPr>
      <w:r>
        <w:rPr>
          <w:rFonts w:ascii="Arial" w:cs="Arial" w:eastAsia="Arial" w:hAnsi="Arial"/>
          <w:sz w:val="18"/>
          <w:szCs w:val="18"/>
          <w:color w:val="auto"/>
        </w:rPr>
        <w:t>Australian Administrative Agent, Australian Collateral Agent and an Issuing Bank (incorporated herein by reference to Exhibit 10.5 to the Current Report on Form 8-K (File No. 001-36246) filed on June 2, 2014).</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440"/>
              <w:spacing w:after="0"/>
              <w:rPr>
                <w:sz w:val="20"/>
                <w:szCs w:val="20"/>
                <w:color w:val="auto"/>
              </w:rPr>
            </w:pPr>
            <w:r>
              <w:rPr>
                <w:rFonts w:ascii="Arial" w:cs="Arial" w:eastAsia="Arial" w:hAnsi="Arial"/>
                <w:sz w:val="18"/>
                <w:szCs w:val="18"/>
                <w:color w:val="auto"/>
                <w:w w:val="94"/>
              </w:rPr>
              <w:t>Form of Indemnification Agreement (incorporated herein by reference to Exhibit 10.1 to the Current Report on Form 8-K12B (File No.</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001-36246) filed on July 17,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480" w:type="dxa"/>
            <w:vAlign w:val="bottom"/>
          </w:tcPr>
          <w:p>
            <w:pPr>
              <w:ind w:left="440"/>
              <w:spacing w:after="0"/>
              <w:rPr>
                <w:sz w:val="20"/>
                <w:szCs w:val="20"/>
                <w:color w:val="auto"/>
              </w:rPr>
            </w:pPr>
            <w:r>
              <w:rPr>
                <w:rFonts w:ascii="Arial" w:cs="Arial" w:eastAsia="Arial" w:hAnsi="Arial"/>
                <w:sz w:val="18"/>
                <w:szCs w:val="18"/>
                <w:color w:val="auto"/>
                <w:w w:val="90"/>
              </w:rPr>
              <w:t>Settlement Agreement and Release, dated as of June 26, 2014, by and between Civeo Corporation and Ronald Green (incorporated herein</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by reference to Exhibit 10.7 to the Quarterly Report on Form 10-Q (File No. 001-36246) filed on August 13,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2014 Equity Participation Plan of Civeo Corporation (incorporated herein by reference to Exhibit 10.2 to the Current Report on Form 8-</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480" w:type="dxa"/>
            <w:vAlign w:val="bottom"/>
          </w:tcPr>
          <w:p>
            <w:pPr>
              <w:ind w:left="440"/>
              <w:spacing w:after="0"/>
              <w:rPr>
                <w:sz w:val="20"/>
                <w:szCs w:val="20"/>
                <w:color w:val="auto"/>
              </w:rPr>
            </w:pPr>
            <w:r>
              <w:rPr>
                <w:rFonts w:ascii="Arial" w:cs="Arial" w:eastAsia="Arial" w:hAnsi="Arial"/>
                <w:sz w:val="18"/>
                <w:szCs w:val="18"/>
                <w:color w:val="auto"/>
                <w:w w:val="95"/>
              </w:rPr>
              <w:t>Form of Civeo Corporation Annual Incentive Compensation Plan (incorporated herein by reference to Exhibit 10.7 to the Registration</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Statement on Form 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Form of Canadian Long-Term Incentive Plan (incorporated herein by reference to Exhibit 10.8 to the Registration Statement on Form 10</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Form of Employee Non-Qualified Stock Option Agreement under the 2014 Equity Participation Plan of Civeo Corporation (incorporated</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herein by reference to Exhibit 10.9 to the Registration Statement on Form 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Form of Restricted Stock Agreement under the 2014 Equity Participation Plan of Civeo Corporation (incorporated herein by reference to</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Exhibit 10.10 to the Registration Statement on Form 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480" w:type="dxa"/>
            <w:vAlign w:val="bottom"/>
          </w:tcPr>
          <w:p>
            <w:pPr>
              <w:ind w:left="440"/>
              <w:spacing w:after="0"/>
              <w:rPr>
                <w:sz w:val="20"/>
                <w:szCs w:val="20"/>
                <w:color w:val="auto"/>
              </w:rPr>
            </w:pPr>
            <w:r>
              <w:rPr>
                <w:rFonts w:ascii="Arial" w:cs="Arial" w:eastAsia="Arial" w:hAnsi="Arial"/>
                <w:sz w:val="18"/>
                <w:szCs w:val="18"/>
                <w:color w:val="auto"/>
                <w:w w:val="96"/>
              </w:rPr>
              <w:t>Form of Non-Employee Director Restricted Stock Agreement (incorporated herein by reference to Exhibit 10.11 to the Registration</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Statement on Form 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Form of Deferred Stock Agreement (Australia) (incorporated herein by reference to Exhibit 10.12 to the Registration Statement on Form</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Form of Deferred Stock Agreement (Canada) (incorporated herein by reference to Exhibit 10.13 to the Registration Statement on Form 10</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Form of Executive Agreement of Bradley J. Dodson (incorporated herein by reference to Exhibit 10.14 to the Registration Statement on</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Form 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10480" w:type="dxa"/>
            <w:vAlign w:val="bottom"/>
          </w:tcPr>
          <w:p>
            <w:pPr>
              <w:ind w:left="440"/>
              <w:spacing w:after="0"/>
              <w:rPr>
                <w:sz w:val="20"/>
                <w:szCs w:val="20"/>
                <w:color w:val="auto"/>
              </w:rPr>
            </w:pPr>
            <w:r>
              <w:rPr>
                <w:rFonts w:ascii="Arial" w:cs="Arial" w:eastAsia="Arial" w:hAnsi="Arial"/>
                <w:sz w:val="18"/>
                <w:szCs w:val="18"/>
                <w:color w:val="auto"/>
                <w:w w:val="94"/>
              </w:rPr>
              <w:t>Form of Phantom Unit Agreement under the 2014 Equity Participation Plan of Civeo Corporation. (incorporated herein by reference to</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Exhibit 10.17 to the Annual Report on Form 10-K (File No. 001-36246) filed on March 13,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Executive Agreement between Civeo Corporation and Frank C. Steininger, dated May 4, 2015 (incorporated herein by reference to Exhibit</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10.1 to the Current Report on Form 8-K (File No. 001-36246) filed on May 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440"/>
              <w:spacing w:after="0"/>
              <w:rPr>
                <w:sz w:val="20"/>
                <w:szCs w:val="20"/>
                <w:color w:val="auto"/>
              </w:rPr>
            </w:pPr>
            <w:r>
              <w:rPr>
                <w:rFonts w:ascii="Arial" w:cs="Arial" w:eastAsia="Arial" w:hAnsi="Arial"/>
                <w:sz w:val="18"/>
                <w:szCs w:val="18"/>
                <w:color w:val="auto"/>
                <w:w w:val="90"/>
              </w:rPr>
              <w:t>Executive Services Agreement, dated May 30, 2012, between Peter McCann and The Mac Services Group Pty Ltd. (incorporated herein by</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reference to Exhibit 10.3 to the Current Report on Form 8-K12B (File No. 001-36246) filed on July 17,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440"/>
              <w:spacing w:after="0"/>
              <w:rPr>
                <w:sz w:val="20"/>
                <w:szCs w:val="20"/>
                <w:color w:val="auto"/>
              </w:rPr>
            </w:pPr>
            <w:r>
              <w:rPr>
                <w:rFonts w:ascii="Arial" w:cs="Arial" w:eastAsia="Arial" w:hAnsi="Arial"/>
                <w:sz w:val="18"/>
                <w:szCs w:val="18"/>
                <w:color w:val="auto"/>
                <w:w w:val="94"/>
              </w:rPr>
              <w:t>Dual Employment Agreement of Bradley J. Dodson (incorporated herein by reference to Exhibit 10.4 to the Current Report on Form 8-</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Dual Employment Agreement of Frank C. Steininger (incorporated herein by reference to Exhibit 10.5 to the Current Report on Form 8-</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Executive Agreement between Civeo Corporation and Peter McCann, dated August 17, 2015 (incorporated herein by reference to Exhibit</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10.1 to the Current Report on Form 8-K (File No. 001-36246) filed on August 27,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400"/>
              <w:spacing w:after="0"/>
              <w:rPr>
                <w:sz w:val="20"/>
                <w:szCs w:val="20"/>
                <w:color w:val="auto"/>
              </w:rPr>
            </w:pPr>
            <w:r>
              <w:rPr>
                <w:rFonts w:ascii="Arial" w:cs="Arial" w:eastAsia="Arial" w:hAnsi="Arial"/>
                <w:sz w:val="18"/>
                <w:szCs w:val="18"/>
                <w:color w:val="auto"/>
                <w:w w:val="94"/>
              </w:rPr>
              <w:t>Variation to Executive Services Agreement between Civeo Pty Ltd and Peter McCann, dated August 17, 2015 (incorporated herein by</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reference to Exhibit 10.2 to the Current Report on Form 8-K (File No. 001-36246) filed on August 27, 2015).</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400"/>
              <w:spacing w:after="0"/>
              <w:rPr>
                <w:sz w:val="20"/>
                <w:szCs w:val="20"/>
                <w:color w:val="auto"/>
              </w:rPr>
            </w:pPr>
            <w:r>
              <w:rPr>
                <w:rFonts w:ascii="Arial" w:cs="Arial" w:eastAsia="Arial" w:hAnsi="Arial"/>
                <w:sz w:val="18"/>
                <w:szCs w:val="18"/>
                <w:color w:val="auto"/>
                <w:w w:val="93"/>
              </w:rPr>
              <w:t>Dual Employment Agreement (Canada) of Allan Schoening, dated July 16, 2015 (incorporated herein by reference to Exhibit 10.8 to the</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Quarterly Report on Form 10-Q (File No. 001-36246) filed on November 3, 2015).</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10480" w:type="dxa"/>
            <w:vAlign w:val="bottom"/>
          </w:tcPr>
          <w:p>
            <w:pPr>
              <w:ind w:left="400"/>
              <w:spacing w:after="0"/>
              <w:rPr>
                <w:sz w:val="20"/>
                <w:szCs w:val="20"/>
                <w:color w:val="auto"/>
              </w:rPr>
            </w:pPr>
            <w:r>
              <w:rPr>
                <w:rFonts w:ascii="Arial" w:cs="Arial" w:eastAsia="Arial" w:hAnsi="Arial"/>
                <w:sz w:val="18"/>
                <w:szCs w:val="18"/>
                <w:color w:val="auto"/>
                <w:w w:val="92"/>
              </w:rPr>
              <w:t>Dual Employment Agreement (United States) of Allan Schoening, dated July 16, 2015 (incorporated herein by reference to Exhibit 10.9 to</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the Quarterly Report on Form 10-Q (File No. 001-36246) filed on November 3, 2015).</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400"/>
              <w:spacing w:after="0"/>
              <w:rPr>
                <w:sz w:val="20"/>
                <w:szCs w:val="20"/>
                <w:color w:val="auto"/>
              </w:rPr>
            </w:pPr>
            <w:r>
              <w:rPr>
                <w:rFonts w:ascii="Arial" w:cs="Arial" w:eastAsia="Arial" w:hAnsi="Arial"/>
                <w:sz w:val="18"/>
                <w:szCs w:val="18"/>
                <w:color w:val="auto"/>
                <w:w w:val="95"/>
              </w:rPr>
              <w:t>Executive Agreement between Civeo Corporation and Mike Ridley, effective May 4, 2015 (incorporated herein by reference to Exhibit</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10.10 to the Quarterly Report on Form 10-Q (File No. 001-36246) filed on November 3, 2015).</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10480" w:type="dxa"/>
            <w:vAlign w:val="bottom"/>
          </w:tcPr>
          <w:p>
            <w:pPr>
              <w:ind w:left="400"/>
              <w:spacing w:after="0"/>
              <w:rPr>
                <w:sz w:val="20"/>
                <w:szCs w:val="20"/>
                <w:color w:val="auto"/>
              </w:rPr>
            </w:pPr>
            <w:r>
              <w:rPr>
                <w:rFonts w:ascii="Arial" w:cs="Arial" w:eastAsia="Arial" w:hAnsi="Arial"/>
                <w:sz w:val="18"/>
                <w:szCs w:val="18"/>
                <w:color w:val="auto"/>
                <w:w w:val="92"/>
              </w:rPr>
              <w:t>Executive Change of Control Severance Agreement between Civeo Corporation and Allan Schoening, dated July 13, 2015 (incorporated</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herein by reference to Exhibit 10.11 to the Quarterly Report on Form 10-Q (File No. 001-36246) filed on November 3, 2015).</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400"/>
              <w:spacing w:after="0"/>
              <w:rPr>
                <w:sz w:val="20"/>
                <w:szCs w:val="20"/>
                <w:color w:val="auto"/>
              </w:rPr>
            </w:pPr>
            <w:r>
              <w:rPr>
                <w:rFonts w:ascii="Arial" w:cs="Arial" w:eastAsia="Arial" w:hAnsi="Arial"/>
                <w:sz w:val="18"/>
                <w:szCs w:val="18"/>
                <w:color w:val="auto"/>
                <w:w w:val="93"/>
              </w:rPr>
              <w:t>Executive Agreement between Civeo Corporation and Allan Schoening, dated December 15, 2014 (incorporated herein by reference to</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Exhibit 10.12 to the Quarterly Report on Form 10-Q (File No. 001-36246) filed on November 3, 2015).</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400"/>
              <w:spacing w:after="0"/>
              <w:rPr>
                <w:sz w:val="20"/>
                <w:szCs w:val="20"/>
                <w:color w:val="auto"/>
              </w:rPr>
            </w:pPr>
            <w:r>
              <w:rPr>
                <w:rFonts w:ascii="Arial" w:cs="Arial" w:eastAsia="Arial" w:hAnsi="Arial"/>
                <w:sz w:val="18"/>
                <w:szCs w:val="18"/>
                <w:color w:val="auto"/>
                <w:w w:val="97"/>
              </w:rPr>
              <w:t>First Amendment to Syndicated Facility Agreement, dated as of May 13, 2015, by and among Civeo Corporation, Civeo Canadian</w:t>
            </w:r>
          </w:p>
        </w:tc>
      </w:tr>
      <w:tr>
        <w:trPr>
          <w:trHeight w:val="216"/>
        </w:trPr>
        <w:tc>
          <w:tcPr>
            <w:tcW w:w="980" w:type="dxa"/>
            <w:vAlign w:val="bottom"/>
          </w:tcPr>
          <w:p>
            <w:pPr>
              <w:spacing w:after="0"/>
              <w:rPr>
                <w:sz w:val="18"/>
                <w:szCs w:val="18"/>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w w:val="97"/>
              </w:rPr>
              <w:t>Holdings ULC, Civeo Canada Inc., Civeo Premium Camp Services Ltd., and Civeo PTY Limited as Borrowers, the Lenders named</w:t>
            </w:r>
          </w:p>
        </w:tc>
      </w:tr>
      <w:tr>
        <w:trPr>
          <w:trHeight w:val="216"/>
        </w:trPr>
        <w:tc>
          <w:tcPr>
            <w:tcW w:w="980" w:type="dxa"/>
            <w:vAlign w:val="bottom"/>
          </w:tcPr>
          <w:p>
            <w:pPr>
              <w:spacing w:after="0"/>
              <w:rPr>
                <w:sz w:val="18"/>
                <w:szCs w:val="18"/>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w w:val="96"/>
              </w:rPr>
              <w:t>therein, Royal Bank of Canada, as Administrative Agent, U.S. Collateral Agent, Canadian Administrative Agent, Canadian Collateral</w:t>
            </w:r>
          </w:p>
        </w:tc>
      </w:tr>
      <w:tr>
        <w:trPr>
          <w:trHeight w:val="216"/>
        </w:trPr>
        <w:tc>
          <w:tcPr>
            <w:tcW w:w="980" w:type="dxa"/>
            <w:vAlign w:val="bottom"/>
          </w:tcPr>
          <w:p>
            <w:pPr>
              <w:spacing w:after="0"/>
              <w:rPr>
                <w:sz w:val="18"/>
                <w:szCs w:val="18"/>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w w:val="95"/>
              </w:rPr>
              <w:t>Agent and an Issuing Bank and RBC Europe Limited, as Australian Administrative Agent, Australian Collateral Agent and an Issuing</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w w:val="94"/>
              </w:rPr>
              <w:t>Bank (incorporated herein by reference to Exhibit 10.1 to the Current Report on Form 8-K (File No. 001-36246) filed on May 19, 2015).</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21.1*</w:t>
            </w:r>
          </w:p>
        </w:tc>
        <w:tc>
          <w:tcPr>
            <w:tcW w:w="10480" w:type="dxa"/>
            <w:vAlign w:val="bottom"/>
          </w:tcPr>
          <w:p>
            <w:pPr>
              <w:ind w:left="400"/>
              <w:spacing w:after="0"/>
              <w:rPr>
                <w:sz w:val="20"/>
                <w:szCs w:val="20"/>
                <w:color w:val="auto"/>
              </w:rPr>
            </w:pPr>
            <w:r>
              <w:rPr>
                <w:rFonts w:ascii="Arial" w:cs="Arial" w:eastAsia="Arial" w:hAnsi="Arial"/>
                <w:sz w:val="18"/>
                <w:szCs w:val="18"/>
                <w:color w:val="auto"/>
              </w:rPr>
              <w:t>List of Significant Subsidiaries of Civeo Corporation.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400"/>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 Certification of Chief Executive Officer of Civeo Corporation. pursuant to Rules 13a-14(a) or 15d-14(a) under the Securities Exchange</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Act of 1934.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 Certification of Chief Financial Officer of Civeo Corporation. pursuant to Rules 13a-14(a) or 15d-14(a) under the Securities Exchange Act</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of 1934.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200"/>
              <w:spacing w:after="0"/>
              <w:rPr>
                <w:sz w:val="20"/>
                <w:szCs w:val="20"/>
                <w:color w:val="auto"/>
              </w:rPr>
            </w:pPr>
            <w:r>
              <w:rPr>
                <w:rFonts w:ascii="Arial" w:cs="Arial" w:eastAsia="Arial" w:hAnsi="Arial"/>
                <w:sz w:val="18"/>
                <w:szCs w:val="18"/>
                <w:color w:val="auto"/>
                <w:w w:val="94"/>
              </w:rPr>
              <w:t>— Certification of Chief Executive Officer of Civeo Corporation. pursuant to Rules 13a-14(b) or 15d-14(b) under the Securities Exchange</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Act of 1934.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200"/>
              <w:spacing w:after="0"/>
              <w:rPr>
                <w:sz w:val="20"/>
                <w:szCs w:val="20"/>
                <w:color w:val="auto"/>
              </w:rPr>
            </w:pPr>
            <w:r>
              <w:rPr>
                <w:rFonts w:ascii="Arial" w:cs="Arial" w:eastAsia="Arial" w:hAnsi="Arial"/>
                <w:sz w:val="18"/>
                <w:szCs w:val="18"/>
                <w:color w:val="auto"/>
                <w:w w:val="92"/>
              </w:rPr>
              <w:t>— Certification of Chief Financial Officer of Civeo Corporation. pursuant to Rules 13a-14(b) or 15d-14(b) under the Securities Exchange Act</w:t>
            </w:r>
          </w:p>
        </w:tc>
      </w:tr>
      <w:tr>
        <w:trPr>
          <w:trHeight w:val="230"/>
        </w:trPr>
        <w:tc>
          <w:tcPr>
            <w:tcW w:w="980" w:type="dxa"/>
            <w:vAlign w:val="bottom"/>
          </w:tcPr>
          <w:p>
            <w:pPr>
              <w:spacing w:after="0"/>
              <w:rPr>
                <w:sz w:val="20"/>
                <w:szCs w:val="20"/>
                <w:color w:val="auto"/>
              </w:rPr>
            </w:pPr>
          </w:p>
        </w:tc>
        <w:tc>
          <w:tcPr>
            <w:tcW w:w="10480" w:type="dxa"/>
            <w:vAlign w:val="bottom"/>
          </w:tcPr>
          <w:p>
            <w:pPr>
              <w:ind w:left="400"/>
              <w:spacing w:after="0"/>
              <w:rPr>
                <w:sz w:val="20"/>
                <w:szCs w:val="20"/>
                <w:color w:val="auto"/>
              </w:rPr>
            </w:pPr>
            <w:r>
              <w:rPr>
                <w:rFonts w:ascii="Arial" w:cs="Arial" w:eastAsia="Arial" w:hAnsi="Arial"/>
                <w:sz w:val="18"/>
                <w:szCs w:val="18"/>
                <w:color w:val="auto"/>
              </w:rPr>
              <w:t>of 1934.</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00"/>
              <w:spacing w:after="0"/>
              <w:rPr>
                <w:sz w:val="20"/>
                <w:szCs w:val="20"/>
                <w:color w:val="auto"/>
              </w:rPr>
            </w:pPr>
            <w:r>
              <w:rPr>
                <w:rFonts w:ascii="Arial" w:cs="Arial" w:eastAsia="Arial" w:hAnsi="Arial"/>
                <w:sz w:val="18"/>
                <w:szCs w:val="18"/>
                <w:color w:val="auto"/>
              </w:rPr>
              <w:t>— XBRL Instance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0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00"/>
              <w:spacing w:after="0"/>
              <w:rPr>
                <w:sz w:val="20"/>
                <w:szCs w:val="20"/>
                <w:color w:val="auto"/>
              </w:rPr>
            </w:pPr>
            <w:r>
              <w:rPr>
                <w:rFonts w:ascii="Arial" w:cs="Arial" w:eastAsia="Arial" w:hAnsi="Arial"/>
                <w:sz w:val="18"/>
                <w:szCs w:val="18"/>
                <w:color w:val="auto"/>
              </w:rPr>
              <w:t>— XBRL Taxonomy Extension Label Linkbase Document</w:t>
            </w:r>
          </w:p>
        </w:tc>
      </w:tr>
      <w:tr>
        <w:trPr>
          <w:trHeight w:val="729"/>
        </w:trPr>
        <w:tc>
          <w:tcPr>
            <w:tcW w:w="980" w:type="dxa"/>
            <w:vAlign w:val="bottom"/>
          </w:tcPr>
          <w:p>
            <w:pPr>
              <w:spacing w:after="0"/>
              <w:rPr>
                <w:sz w:val="24"/>
                <w:szCs w:val="24"/>
                <w:color w:val="auto"/>
              </w:rPr>
            </w:pPr>
          </w:p>
        </w:tc>
        <w:tc>
          <w:tcPr>
            <w:tcW w:w="10480" w:type="dxa"/>
            <w:vAlign w:val="bottom"/>
          </w:tcPr>
          <w:p>
            <w:pPr>
              <w:ind w:left="4640"/>
              <w:spacing w:after="0"/>
              <w:rPr>
                <w:sz w:val="20"/>
                <w:szCs w:val="20"/>
                <w:color w:val="auto"/>
              </w:rPr>
            </w:pPr>
            <w:r>
              <w:rPr>
                <w:rFonts w:ascii="Arial" w:cs="Arial" w:eastAsia="Arial" w:hAnsi="Arial"/>
                <w:sz w:val="18"/>
                <w:szCs w:val="18"/>
                <w:color w:val="auto"/>
              </w:rPr>
              <w:t>77</w:t>
            </w:r>
          </w:p>
        </w:tc>
      </w:tr>
      <w:tr>
        <w:trPr>
          <w:trHeight w:val="105"/>
        </w:trPr>
        <w:tc>
          <w:tcPr>
            <w:tcW w:w="980" w:type="dxa"/>
            <w:vAlign w:val="bottom"/>
          </w:tcPr>
          <w:p>
            <w:pPr>
              <w:spacing w:after="0"/>
              <w:rPr>
                <w:sz w:val="9"/>
                <w:szCs w:val="9"/>
                <w:color w:val="auto"/>
              </w:rPr>
            </w:pPr>
          </w:p>
        </w:tc>
        <w:tc>
          <w:tcPr>
            <w:tcW w:w="10480" w:type="dxa"/>
            <w:vAlign w:val="bottom"/>
          </w:tcPr>
          <w:p>
            <w:pPr>
              <w:spacing w:after="0"/>
              <w:rPr>
                <w:sz w:val="9"/>
                <w:szCs w:val="9"/>
                <w:color w:val="auto"/>
              </w:rPr>
            </w:pPr>
          </w:p>
        </w:tc>
      </w:tr>
      <w:tr>
        <w:trPr>
          <w:trHeight w:val="61"/>
        </w:trPr>
        <w:tc>
          <w:tcPr>
            <w:tcW w:w="980" w:type="dxa"/>
            <w:vAlign w:val="bottom"/>
            <w:shd w:val="clear" w:color="auto" w:fill="808080"/>
          </w:tcPr>
          <w:p>
            <w:pPr>
              <w:spacing w:after="0"/>
              <w:rPr>
                <w:sz w:val="5"/>
                <w:szCs w:val="5"/>
                <w:color w:val="auto"/>
              </w:rPr>
            </w:pPr>
          </w:p>
        </w:tc>
        <w:tc>
          <w:tcPr>
            <w:tcW w:w="104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81" w:name="page82"/>
    <w:bookmarkEnd w:id="81"/>
    <w:p>
      <w:pPr>
        <w:spacing w:after="0"/>
        <w:tabs>
          <w:tab w:leader="none" w:pos="11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 XBRL Taxonomy Extension Presentation Linkbase Document</w:t>
      </w:r>
    </w:p>
    <w:p>
      <w:pPr>
        <w:spacing w:after="0" w:line="200" w:lineRule="exact"/>
        <w:rPr>
          <w:sz w:val="20"/>
          <w:szCs w:val="20"/>
          <w:color w:val="auto"/>
        </w:rPr>
      </w:pPr>
    </w:p>
    <w:p>
      <w:pPr>
        <w:spacing w:after="0" w:line="241"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right="6320" w:firstLine="8"/>
        <w:spacing w:after="0" w:line="492" w:lineRule="auto"/>
        <w:tabs>
          <w:tab w:leader="none" w:pos="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 Furnished herewith.</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 on February 26,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20" w:type="dxa"/>
            <w:vAlign w:val="bottom"/>
            <w:gridSpan w:val="5"/>
          </w:tcPr>
          <w:p>
            <w:pPr>
              <w:ind w:left="80"/>
              <w:spacing w:after="0"/>
              <w:rPr>
                <w:sz w:val="20"/>
                <w:szCs w:val="20"/>
                <w:color w:val="auto"/>
              </w:rPr>
            </w:pPr>
            <w:r>
              <w:rPr>
                <w:rFonts w:ascii="Arial" w:cs="Arial" w:eastAsia="Arial" w:hAnsi="Arial"/>
                <w:sz w:val="18"/>
                <w:szCs w:val="18"/>
                <w:color w:val="auto"/>
              </w:rPr>
              <w:t>CIVEO CORPORATION</w:t>
            </w:r>
          </w:p>
        </w:tc>
      </w:tr>
      <w:tr>
        <w:trPr>
          <w:trHeight w:val="432"/>
        </w:trPr>
        <w:tc>
          <w:tcPr>
            <w:tcW w:w="2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20" w:type="dxa"/>
            <w:vAlign w:val="bottom"/>
            <w:gridSpan w:val="5"/>
          </w:tcPr>
          <w:p>
            <w:pPr>
              <w:jc w:val="center"/>
              <w:ind w:right="3860"/>
              <w:spacing w:after="0"/>
              <w:rPr>
                <w:sz w:val="20"/>
                <w:szCs w:val="20"/>
                <w:color w:val="auto"/>
              </w:rPr>
            </w:pPr>
            <w:r>
              <w:rPr>
                <w:rFonts w:ascii="Arial" w:cs="Arial" w:eastAsia="Arial" w:hAnsi="Arial"/>
                <w:sz w:val="18"/>
                <w:szCs w:val="18"/>
                <w:color w:val="auto"/>
                <w:w w:val="96"/>
              </w:rPr>
              <w:t>By /s/ FRANK C. STEININGER</w:t>
            </w:r>
          </w:p>
        </w:tc>
      </w:tr>
      <w:tr>
        <w:trPr>
          <w:trHeight w:val="195"/>
        </w:trPr>
        <w:tc>
          <w:tcPr>
            <w:tcW w:w="2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tcBorders>
              <w:top w:val="single" w:sz="8" w:color="auto"/>
            </w:tcBorders>
            <w:gridSpan w:val="4"/>
          </w:tcPr>
          <w:p>
            <w:pPr>
              <w:jc w:val="center"/>
              <w:ind w:right="4240"/>
              <w:spacing w:after="0" w:line="195" w:lineRule="exact"/>
              <w:rPr>
                <w:sz w:val="20"/>
                <w:szCs w:val="20"/>
                <w:color w:val="auto"/>
              </w:rPr>
            </w:pPr>
            <w:r>
              <w:rPr>
                <w:rFonts w:ascii="Arial" w:cs="Arial" w:eastAsia="Arial" w:hAnsi="Arial"/>
                <w:sz w:val="18"/>
                <w:szCs w:val="18"/>
                <w:color w:val="auto"/>
                <w:w w:val="90"/>
              </w:rPr>
              <w:t>Frank C. Steininger</w:t>
            </w:r>
          </w:p>
        </w:tc>
      </w:tr>
      <w:tr>
        <w:trPr>
          <w:trHeight w:val="216"/>
        </w:trPr>
        <w:tc>
          <w:tcPr>
            <w:tcW w:w="2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80" w:type="dxa"/>
            <w:vAlign w:val="bottom"/>
            <w:gridSpan w:val="4"/>
          </w:tcPr>
          <w:p>
            <w:pPr>
              <w:ind w:left="220"/>
              <w:spacing w:after="0"/>
              <w:rPr>
                <w:sz w:val="20"/>
                <w:szCs w:val="20"/>
                <w:color w:val="auto"/>
              </w:rPr>
            </w:pPr>
            <w:r>
              <w:rPr>
                <w:rFonts w:ascii="Arial" w:cs="Arial" w:eastAsia="Arial" w:hAnsi="Arial"/>
                <w:sz w:val="18"/>
                <w:szCs w:val="18"/>
                <w:i w:val="1"/>
                <w:iCs w:val="1"/>
                <w:color w:val="auto"/>
              </w:rPr>
              <w:t>Senior Vice President, Chief Financial</w:t>
            </w:r>
          </w:p>
        </w:tc>
      </w:tr>
      <w:tr>
        <w:trPr>
          <w:trHeight w:val="230"/>
        </w:trPr>
        <w:tc>
          <w:tcPr>
            <w:tcW w:w="2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80" w:type="dxa"/>
            <w:vAlign w:val="bottom"/>
            <w:gridSpan w:val="4"/>
          </w:tcPr>
          <w:p>
            <w:pPr>
              <w:jc w:val="center"/>
              <w:ind w:right="4180"/>
              <w:spacing w:after="0"/>
              <w:rPr>
                <w:sz w:val="20"/>
                <w:szCs w:val="20"/>
                <w:color w:val="auto"/>
              </w:rPr>
            </w:pPr>
            <w:r>
              <w:rPr>
                <w:rFonts w:ascii="Arial" w:cs="Arial" w:eastAsia="Arial" w:hAnsi="Arial"/>
                <w:sz w:val="18"/>
                <w:szCs w:val="18"/>
                <w:i w:val="1"/>
                <w:iCs w:val="1"/>
                <w:color w:val="auto"/>
                <w:w w:val="92"/>
              </w:rPr>
              <w:t>Officer and Treasurer</w:t>
            </w:r>
          </w:p>
        </w:tc>
      </w:tr>
      <w:tr>
        <w:trPr>
          <w:trHeight w:val="392"/>
        </w:trPr>
        <w:tc>
          <w:tcPr>
            <w:tcW w:w="2320" w:type="dxa"/>
            <w:vAlign w:val="bottom"/>
          </w:tcPr>
          <w:p>
            <w:pPr>
              <w:spacing w:after="0"/>
              <w:rPr>
                <w:sz w:val="24"/>
                <w:szCs w:val="24"/>
                <w:color w:val="auto"/>
              </w:rPr>
            </w:pPr>
          </w:p>
        </w:tc>
        <w:tc>
          <w:tcPr>
            <w:tcW w:w="1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Signature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40" w:type="dxa"/>
            <w:vAlign w:val="bottom"/>
            <w:gridSpan w:val="3"/>
          </w:tcPr>
          <w:p>
            <w:pPr>
              <w:ind w:left="2900"/>
              <w:spacing w:after="0"/>
              <w:rPr>
                <w:sz w:val="20"/>
                <w:szCs w:val="20"/>
                <w:color w:val="auto"/>
              </w:rPr>
            </w:pPr>
            <w:r>
              <w:rPr>
                <w:rFonts w:ascii="Arial" w:cs="Arial" w:eastAsia="Arial" w:hAnsi="Arial"/>
                <w:sz w:val="18"/>
                <w:szCs w:val="18"/>
                <w:b w:val="1"/>
                <w:bCs w:val="1"/>
                <w:color w:val="auto"/>
              </w:rPr>
              <w:t>Title</w:t>
            </w:r>
          </w:p>
        </w:tc>
      </w:tr>
      <w:tr>
        <w:trPr>
          <w:trHeight w:val="20"/>
        </w:trPr>
        <w:tc>
          <w:tcPr>
            <w:tcW w:w="2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53"/>
        </w:trPr>
        <w:tc>
          <w:tcPr>
            <w:tcW w:w="4000" w:type="dxa"/>
            <w:vAlign w:val="bottom"/>
            <w:tcBorders>
              <w:bottom w:val="single" w:sz="8" w:color="auto"/>
            </w:tcBorders>
            <w:gridSpan w:val="3"/>
          </w:tcPr>
          <w:p>
            <w:pPr>
              <w:jc w:val="center"/>
              <w:ind w:left="1310"/>
              <w:spacing w:after="0"/>
              <w:rPr>
                <w:sz w:val="20"/>
                <w:szCs w:val="20"/>
                <w:color w:val="auto"/>
              </w:rPr>
            </w:pPr>
            <w:r>
              <w:rPr>
                <w:rFonts w:ascii="Arial" w:cs="Arial" w:eastAsia="Arial" w:hAnsi="Arial"/>
                <w:sz w:val="18"/>
                <w:szCs w:val="18"/>
                <w:color w:val="auto"/>
                <w:w w:val="94"/>
              </w:rPr>
              <w:t>/s/ DOUGLAS E. SWANSON</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r>
      <w:tr>
        <w:trPr>
          <w:trHeight w:val="224"/>
        </w:trPr>
        <w:tc>
          <w:tcPr>
            <w:tcW w:w="4000" w:type="dxa"/>
            <w:vAlign w:val="bottom"/>
            <w:gridSpan w:val="3"/>
          </w:tcPr>
          <w:p>
            <w:pPr>
              <w:jc w:val="center"/>
              <w:ind w:left="1290"/>
              <w:spacing w:after="0"/>
              <w:rPr>
                <w:sz w:val="20"/>
                <w:szCs w:val="20"/>
                <w:color w:val="auto"/>
              </w:rPr>
            </w:pPr>
            <w:r>
              <w:rPr>
                <w:rFonts w:ascii="Arial" w:cs="Arial" w:eastAsia="Arial" w:hAnsi="Arial"/>
                <w:sz w:val="18"/>
                <w:szCs w:val="18"/>
                <w:color w:val="auto"/>
                <w:w w:val="89"/>
              </w:rPr>
              <w:t>Douglas E. Swanson</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4000" w:type="dxa"/>
            <w:vAlign w:val="bottom"/>
            <w:tcBorders>
              <w:bottom w:val="single" w:sz="8" w:color="auto"/>
            </w:tcBorders>
            <w:gridSpan w:val="3"/>
          </w:tcPr>
          <w:p>
            <w:pPr>
              <w:jc w:val="center"/>
              <w:ind w:left="1290"/>
              <w:spacing w:after="0"/>
              <w:rPr>
                <w:sz w:val="20"/>
                <w:szCs w:val="20"/>
                <w:color w:val="auto"/>
              </w:rPr>
            </w:pPr>
            <w:r>
              <w:rPr>
                <w:rFonts w:ascii="Arial" w:cs="Arial" w:eastAsia="Arial" w:hAnsi="Arial"/>
                <w:sz w:val="18"/>
                <w:szCs w:val="18"/>
                <w:color w:val="auto"/>
                <w:w w:val="95"/>
              </w:rPr>
              <w:t>/s/ BRADLEY J. DODSON</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Director, President &amp; Chief Executive Officer</w:t>
            </w:r>
          </w:p>
        </w:tc>
      </w:tr>
      <w:tr>
        <w:trPr>
          <w:trHeight w:val="224"/>
        </w:trPr>
        <w:tc>
          <w:tcPr>
            <w:tcW w:w="400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Bradley J. Dodson</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4000" w:type="dxa"/>
            <w:vAlign w:val="bottom"/>
            <w:tcBorders>
              <w:bottom w:val="single" w:sz="8" w:color="auto"/>
            </w:tcBorders>
            <w:gridSpan w:val="3"/>
          </w:tcPr>
          <w:p>
            <w:pPr>
              <w:jc w:val="center"/>
              <w:ind w:left="1290"/>
              <w:spacing w:after="0"/>
              <w:rPr>
                <w:sz w:val="20"/>
                <w:szCs w:val="20"/>
                <w:color w:val="auto"/>
              </w:rPr>
            </w:pPr>
            <w:r>
              <w:rPr>
                <w:rFonts w:ascii="Arial" w:cs="Arial" w:eastAsia="Arial" w:hAnsi="Arial"/>
                <w:sz w:val="18"/>
                <w:szCs w:val="18"/>
                <w:color w:val="auto"/>
                <w:w w:val="95"/>
              </w:rPr>
              <w:t>/s/ FRANK C. STEININGER</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24"/>
        </w:trPr>
        <w:tc>
          <w:tcPr>
            <w:tcW w:w="400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Frank C. Steininger</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 and Accounting Officer)</w:t>
            </w:r>
          </w:p>
        </w:tc>
      </w:tr>
      <w:tr>
        <w:trPr>
          <w:trHeight w:val="418"/>
        </w:trPr>
        <w:tc>
          <w:tcPr>
            <w:tcW w:w="4000" w:type="dxa"/>
            <w:vAlign w:val="bottom"/>
            <w:tcBorders>
              <w:bottom w:val="single" w:sz="8" w:color="auto"/>
            </w:tcBorders>
            <w:gridSpan w:val="3"/>
          </w:tcPr>
          <w:p>
            <w:pPr>
              <w:jc w:val="center"/>
              <w:ind w:left="1310"/>
              <w:spacing w:after="0"/>
              <w:rPr>
                <w:sz w:val="20"/>
                <w:szCs w:val="20"/>
                <w:color w:val="auto"/>
              </w:rPr>
            </w:pPr>
            <w:r>
              <w:rPr>
                <w:rFonts w:ascii="Arial" w:cs="Arial" w:eastAsia="Arial" w:hAnsi="Arial"/>
                <w:sz w:val="18"/>
                <w:szCs w:val="18"/>
                <w:color w:val="auto"/>
                <w:w w:val="97"/>
              </w:rPr>
              <w:t>/s/ C. RONALD BLANKENSHIP</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gridSpan w:val="3"/>
          </w:tcPr>
          <w:p>
            <w:pPr>
              <w:jc w:val="center"/>
              <w:ind w:left="1310"/>
              <w:spacing w:after="0"/>
              <w:rPr>
                <w:sz w:val="20"/>
                <w:szCs w:val="20"/>
                <w:color w:val="auto"/>
              </w:rPr>
            </w:pPr>
            <w:r>
              <w:rPr>
                <w:rFonts w:ascii="Arial" w:cs="Arial" w:eastAsia="Arial" w:hAnsi="Arial"/>
                <w:sz w:val="18"/>
                <w:szCs w:val="18"/>
                <w:color w:val="auto"/>
                <w:w w:val="91"/>
              </w:rPr>
              <w:t>C. Ronald Blankenship</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4000" w:type="dxa"/>
            <w:vAlign w:val="bottom"/>
            <w:tcBorders>
              <w:bottom w:val="single" w:sz="8" w:color="auto"/>
            </w:tcBorders>
            <w:gridSpan w:val="3"/>
          </w:tcPr>
          <w:p>
            <w:pPr>
              <w:jc w:val="center"/>
              <w:ind w:left="1290"/>
              <w:spacing w:after="0"/>
              <w:rPr>
                <w:sz w:val="20"/>
                <w:szCs w:val="20"/>
                <w:color w:val="auto"/>
              </w:rPr>
            </w:pPr>
            <w:r>
              <w:rPr>
                <w:rFonts w:ascii="Arial" w:cs="Arial" w:eastAsia="Arial" w:hAnsi="Arial"/>
                <w:sz w:val="18"/>
                <w:szCs w:val="18"/>
                <w:color w:val="auto"/>
                <w:w w:val="98"/>
              </w:rPr>
              <w:t>/s/ MARTIN A. LAMBERT</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gridSpan w:val="3"/>
          </w:tcPr>
          <w:p>
            <w:pPr>
              <w:jc w:val="center"/>
              <w:ind w:left="1310"/>
              <w:spacing w:after="0"/>
              <w:rPr>
                <w:sz w:val="20"/>
                <w:szCs w:val="20"/>
                <w:color w:val="auto"/>
              </w:rPr>
            </w:pPr>
            <w:r>
              <w:rPr>
                <w:rFonts w:ascii="Arial" w:cs="Arial" w:eastAsia="Arial" w:hAnsi="Arial"/>
                <w:sz w:val="18"/>
                <w:szCs w:val="18"/>
                <w:color w:val="auto"/>
                <w:w w:val="95"/>
              </w:rPr>
              <w:t>Martin A. Lambert</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4000" w:type="dxa"/>
            <w:vAlign w:val="bottom"/>
            <w:tcBorders>
              <w:bottom w:val="single" w:sz="8" w:color="auto"/>
            </w:tcBorders>
            <w:gridSpan w:val="3"/>
          </w:tcPr>
          <w:p>
            <w:pPr>
              <w:jc w:val="center"/>
              <w:ind w:left="1290"/>
              <w:spacing w:after="0"/>
              <w:rPr>
                <w:sz w:val="20"/>
                <w:szCs w:val="20"/>
                <w:color w:val="auto"/>
              </w:rPr>
            </w:pPr>
            <w:r>
              <w:rPr>
                <w:rFonts w:ascii="Arial" w:cs="Arial" w:eastAsia="Arial" w:hAnsi="Arial"/>
                <w:sz w:val="18"/>
                <w:szCs w:val="18"/>
                <w:color w:val="auto"/>
                <w:w w:val="93"/>
              </w:rPr>
              <w:t>/s/ CONSTANCE B. MOORE</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gridSpan w:val="3"/>
          </w:tcPr>
          <w:p>
            <w:pPr>
              <w:jc w:val="center"/>
              <w:ind w:left="1310"/>
              <w:spacing w:after="0"/>
              <w:rPr>
                <w:sz w:val="20"/>
                <w:szCs w:val="20"/>
                <w:color w:val="auto"/>
              </w:rPr>
            </w:pPr>
            <w:r>
              <w:rPr>
                <w:rFonts w:ascii="Arial" w:cs="Arial" w:eastAsia="Arial" w:hAnsi="Arial"/>
                <w:sz w:val="18"/>
                <w:szCs w:val="18"/>
                <w:color w:val="auto"/>
                <w:w w:val="90"/>
              </w:rPr>
              <w:t>Constance B. Moore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4000" w:type="dxa"/>
            <w:vAlign w:val="bottom"/>
            <w:tcBorders>
              <w:bottom w:val="single" w:sz="8" w:color="auto"/>
            </w:tcBorders>
            <w:gridSpan w:val="3"/>
          </w:tcPr>
          <w:p>
            <w:pPr>
              <w:jc w:val="center"/>
              <w:ind w:left="1310"/>
              <w:spacing w:after="0"/>
              <w:rPr>
                <w:sz w:val="20"/>
                <w:szCs w:val="20"/>
                <w:color w:val="auto"/>
              </w:rPr>
            </w:pPr>
            <w:r>
              <w:rPr>
                <w:rFonts w:ascii="Arial" w:cs="Arial" w:eastAsia="Arial" w:hAnsi="Arial"/>
                <w:sz w:val="18"/>
                <w:szCs w:val="18"/>
                <w:color w:val="auto"/>
                <w:w w:val="96"/>
              </w:rPr>
              <w:t>/s/ RICHARD A. NAVARRE</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gridSpan w:val="3"/>
          </w:tcPr>
          <w:p>
            <w:pPr>
              <w:jc w:val="center"/>
              <w:ind w:left="1290"/>
              <w:spacing w:after="0"/>
              <w:rPr>
                <w:sz w:val="20"/>
                <w:szCs w:val="20"/>
                <w:color w:val="auto"/>
              </w:rPr>
            </w:pPr>
            <w:r>
              <w:rPr>
                <w:rFonts w:ascii="Arial" w:cs="Arial" w:eastAsia="Arial" w:hAnsi="Arial"/>
                <w:sz w:val="18"/>
                <w:szCs w:val="18"/>
                <w:color w:val="auto"/>
                <w:w w:val="92"/>
              </w:rPr>
              <w:t>Richard A. Navarre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4000" w:type="dxa"/>
            <w:vAlign w:val="bottom"/>
            <w:tcBorders>
              <w:bottom w:val="single" w:sz="8" w:color="auto"/>
            </w:tcBorders>
            <w:gridSpan w:val="3"/>
          </w:tcPr>
          <w:p>
            <w:pPr>
              <w:jc w:val="center"/>
              <w:ind w:left="1310"/>
              <w:spacing w:after="0"/>
              <w:rPr>
                <w:sz w:val="20"/>
                <w:szCs w:val="20"/>
                <w:color w:val="auto"/>
              </w:rPr>
            </w:pPr>
            <w:r>
              <w:rPr>
                <w:rFonts w:ascii="Arial" w:cs="Arial" w:eastAsia="Arial" w:hAnsi="Arial"/>
                <w:sz w:val="18"/>
                <w:szCs w:val="18"/>
                <w:color w:val="auto"/>
                <w:w w:val="96"/>
              </w:rPr>
              <w:t>/s/ CHARLES SZALKOWSKI</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gridSpan w:val="3"/>
          </w:tcPr>
          <w:p>
            <w:pPr>
              <w:jc w:val="center"/>
              <w:ind w:left="1290"/>
              <w:spacing w:after="0"/>
              <w:rPr>
                <w:sz w:val="20"/>
                <w:szCs w:val="20"/>
                <w:color w:val="auto"/>
              </w:rPr>
            </w:pPr>
            <w:r>
              <w:rPr>
                <w:rFonts w:ascii="Arial" w:cs="Arial" w:eastAsia="Arial" w:hAnsi="Arial"/>
                <w:sz w:val="18"/>
                <w:szCs w:val="18"/>
                <w:color w:val="auto"/>
                <w:w w:val="90"/>
              </w:rPr>
              <w:t>Charles Szalkowski</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300" w:type="dxa"/>
            <w:vAlign w:val="bottom"/>
          </w:tcPr>
          <w:p>
            <w:pPr>
              <w:jc w:val="center"/>
              <w:ind w:left="1010"/>
              <w:spacing w:after="0"/>
              <w:rPr>
                <w:sz w:val="20"/>
                <w:szCs w:val="20"/>
                <w:color w:val="auto"/>
              </w:rPr>
            </w:pPr>
            <w:r>
              <w:rPr>
                <w:rFonts w:ascii="Arial" w:cs="Arial" w:eastAsia="Arial" w:hAnsi="Arial"/>
                <w:sz w:val="18"/>
                <w:szCs w:val="18"/>
                <w:b w:val="1"/>
                <w:bCs w:val="1"/>
                <w:color w:val="auto"/>
              </w:rPr>
              <w:t>CIVEO CORPORATION</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0300" w:type="dxa"/>
            <w:vAlign w:val="bottom"/>
          </w:tcPr>
          <w:p>
            <w:pPr>
              <w:jc w:val="center"/>
              <w:ind w:left="1010"/>
              <w:spacing w:after="0"/>
              <w:rPr>
                <w:sz w:val="20"/>
                <w:szCs w:val="20"/>
                <w:color w:val="auto"/>
              </w:rPr>
            </w:pPr>
            <w:r>
              <w:rPr>
                <w:rFonts w:ascii="Arial" w:cs="Arial" w:eastAsia="Arial" w:hAnsi="Arial"/>
                <w:sz w:val="18"/>
                <w:szCs w:val="18"/>
                <w:b w:val="1"/>
                <w:bCs w:val="1"/>
                <w:color w:val="auto"/>
              </w:rPr>
              <w:t>INDEX TO CONSOLIDATED FINANCIAL STATEMENTS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0300" w:type="dxa"/>
            <w:vAlign w:val="bottom"/>
          </w:tcPr>
          <w:p>
            <w:pPr>
              <w:spacing w:after="0"/>
              <w:rPr>
                <w:sz w:val="24"/>
                <w:szCs w:val="24"/>
                <w:color w:val="auto"/>
              </w:rPr>
            </w:pPr>
          </w:p>
        </w:tc>
        <w:tc>
          <w:tcPr>
            <w:tcW w:w="114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Borders>
              <w:top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b w:val="1"/>
                <w:bCs w:val="1"/>
                <w:color w:val="auto"/>
                <w:w w:val="89"/>
              </w:rPr>
              <w:t>No.</w:t>
            </w: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Consolidated Financial Statements</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on the Company's Internal Control Over Financial Reporting</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Consolidated Statements of Comprehensive Income (Loss) for the Years Ended December 31, 2015, 2014 and 2013</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at December 31, 2015 and 2014</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4"/>
              </w:rPr>
              <w:t>Consolidated Statements of Changes in Shareholders’ Equity / Net Investment for the Years Ended December 31, 2015, 2014 and 2013</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88-119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1"/>
        </w:trPr>
        <w:tc>
          <w:tcPr>
            <w:tcW w:w="1032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80</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Civeo Corporation: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Civeo Corporation and subsidiaries’ (the “Company”) as of December 31, 2015 and 2014, and the related consolidated statements of operations, comprehensive income (loss), changes in shareholders’ equity/net investment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Civeo Corporation and subsidiaries’ at December 31, 2015 and 2014, and the consolidated results of its operations and its cash flows for each of the three years in the period ended December 31, 2015,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Civeo Corporation and subsidiaries’ internal control over financial reporting as of December 31, 2015, based on criteria established in Internal Control – Integrated Framework issued by the Committee of Sponsoring Organizations of the Treadway Commission (2013 framework) and our report dated February 26, 2016 expressed an unqualified opinion thereon.</w:t>
      </w:r>
    </w:p>
    <w:p>
      <w:pPr>
        <w:spacing w:after="0" w:line="18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Civeo Corporation: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Civeo Corporation and subsidiaries’ (the “Company”) internal control over financial reporting as of December 31, 2015, based on criteria established in Internal Control – Integrated Framework issued by the Committee of Sponsoring Organizations of the Treadway Commission (2013 framework) (the COSO criteria). Civeo Corporation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Civeo Corporation and subsidiaries maintained, in all material respects, effective internal control over financial reporting as of December 31, 2015,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Civeo Corporation and subsidiaries as of December 31, 2015 and 2014, and the related consolidated statements of operations, comprehensive income (loss), shareholders’ equity/net investment and cash flows for each of the three years in the period ended December 31, 2015 and our report dated February 26, 2016 expressed an unqualified opinion thereon.</w:t>
      </w:r>
    </w:p>
    <w:p>
      <w:pPr>
        <w:spacing w:after="0" w:line="18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right"/>
              <w:ind w:right="45"/>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Service and other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489,788</w:t>
            </w:r>
          </w:p>
        </w:tc>
        <w:tc>
          <w:tcPr>
            <w:tcW w:w="14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908,061</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942,891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1,041,104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Service and other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300,888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513,087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530,575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costs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70,345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Spin-off and formation costs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152,990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174,970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expense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operating expense (income)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662,966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1,085,782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(145,003)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(142,891)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259,456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(6,980)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(3,455)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7,524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(31,379)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(56,056)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Less: Net income attributable to noncontrolling interest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Civeo Corporation</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181,876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Per Share Data (see Note 6)</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net income (loss) per share attributable to Civeo Corporation common</w:t>
            </w: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(loss) per share attributable to Civeo Corporation common</w:t>
            </w: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106,306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right"/>
              <w:ind w:right="45"/>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(130,664)</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(187,662)</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w w:val="95"/>
              </w:rPr>
              <w:t>Foreign currency translation adjustment, net of tax of $1.9 million, $771 and zero,</w:t>
            </w:r>
          </w:p>
        </w:tc>
        <w:tc>
          <w:tcPr>
            <w:tcW w:w="340" w:type="dxa"/>
            <w:vAlign w:val="bottom"/>
          </w:tcPr>
          <w:p>
            <w:pPr>
              <w:spacing w:after="0"/>
              <w:rPr>
                <w:sz w:val="17"/>
                <w:szCs w:val="17"/>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(168,363)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(138,692)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(167,712)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(168,363)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(326,354)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Civeo Corporation</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(299,577)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rPr>
              <w:t>CIVEO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1"/>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7,837</w:t>
            </w:r>
          </w:p>
        </w:tc>
        <w:tc>
          <w:tcPr>
            <w:tcW w:w="140" w:type="dxa"/>
            <w:vAlign w:val="bottom"/>
          </w:tcPr>
          <w:p>
            <w:pPr>
              <w:spacing w:after="0"/>
              <w:rPr>
                <w:sz w:val="18"/>
                <w:szCs w:val="18"/>
                <w:color w:val="auto"/>
              </w:rPr>
            </w:pP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61,467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35,309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12,753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1,071,212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LIABILITIES AND SHAREHOLDERS’ EQUITY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24,609</w:t>
            </w: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14,834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66,485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383,862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25,391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31,704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shares (no par value; 550,000,000 shares authorized, 107,470,861 shares issued and outstanding at</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December 31, 2015)</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550,000,000 shares authorized, 106,721,483 shares issued and outstanding</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December 31, 2014)</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1,305,930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(376,376)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(366,309)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(198,491)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563,770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1,071,212</w:t>
            </w:r>
          </w:p>
        </w:tc>
        <w:tc>
          <w:tcPr>
            <w:tcW w:w="140" w:type="dxa"/>
            <w:vAlign w:val="bottom"/>
          </w:tcPr>
          <w:p>
            <w:pPr>
              <w:spacing w:after="0"/>
              <w:rPr>
                <w:sz w:val="18"/>
                <w:szCs w:val="18"/>
                <w:color w:val="auto"/>
              </w:rPr>
            </w:pP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1,829,161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 / NET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9"/>
          </w:tcPr>
          <w:p>
            <w:pPr>
              <w:jc w:val="right"/>
              <w:ind w:right="800"/>
              <w:spacing w:after="0"/>
              <w:rPr>
                <w:sz w:val="20"/>
                <w:szCs w:val="20"/>
                <w:color w:val="auto"/>
              </w:rPr>
            </w:pPr>
            <w:r>
              <w:rPr>
                <w:rFonts w:ascii="Arial" w:cs="Arial" w:eastAsia="Arial" w:hAnsi="Arial"/>
                <w:sz w:val="18"/>
                <w:szCs w:val="18"/>
                <w:b w:val="1"/>
                <w:bCs w:val="1"/>
                <w:color w:val="auto"/>
              </w:rPr>
              <w:t>Attributable to Civeo</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9"/>
              </w:rPr>
              <w:t>Shares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vMerge w:val="restart"/>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Oil States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Par</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Paid-in</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Treasury</w:t>
            </w: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8"/>
                <w:szCs w:val="18"/>
                <w:color w:val="auto"/>
              </w:rPr>
            </w:pPr>
          </w:p>
        </w:tc>
        <w:tc>
          <w:tcPr>
            <w:tcW w:w="1440" w:type="dxa"/>
            <w:vAlign w:val="bottom"/>
            <w:gridSpan w:val="4"/>
          </w:tcPr>
          <w:p>
            <w:pPr>
              <w:ind w:left="20"/>
              <w:spacing w:after="0"/>
              <w:rPr>
                <w:sz w:val="20"/>
                <w:szCs w:val="20"/>
                <w:color w:val="auto"/>
              </w:rPr>
            </w:pPr>
            <w:r>
              <w:rPr>
                <w:rFonts w:ascii="Arial" w:cs="Arial" w:eastAsia="Arial" w:hAnsi="Arial"/>
                <w:sz w:val="18"/>
                <w:szCs w:val="18"/>
                <w:b w:val="1"/>
                <w:bCs w:val="1"/>
                <w:color w:val="auto"/>
              </w:rPr>
              <w:t>Comprehensive</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Noncontrolling</w:t>
            </w: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Equity /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Capital</w:t>
            </w:r>
          </w:p>
        </w:tc>
        <w:tc>
          <w:tcPr>
            <w:tcW w:w="18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Stock</w:t>
            </w: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Investment</w:t>
            </w:r>
          </w:p>
        </w:tc>
        <w:tc>
          <w:tcPr>
            <w:tcW w:w="80" w:type="dxa"/>
            <w:vAlign w:val="bottom"/>
          </w:tcPr>
          <w:p>
            <w:pPr>
              <w:spacing w:after="0"/>
              <w:rPr>
                <w:sz w:val="20"/>
                <w:szCs w:val="20"/>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Income (Loss)</w:t>
            </w:r>
          </w:p>
        </w:tc>
        <w:tc>
          <w:tcPr>
            <w:tcW w:w="30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6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December</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31, 2012</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1,302,664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107,733</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1,411,645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181,876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183,312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Currency translation</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(167,712)</w:t>
            </w:r>
          </w:p>
        </w:tc>
        <w:tc>
          <w:tcPr>
            <w:tcW w:w="3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Net transfers from Oil</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States International,</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166,473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166,473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60" w:type="dxa"/>
            <w:vAlign w:val="bottom"/>
            <w:tcBorders>
              <w:top w:val="single" w:sz="8" w:color="CCEEFF"/>
            </w:tcBorders>
          </w:tcPr>
          <w:p>
            <w:pPr>
              <w:spacing w:after="0" w:line="191" w:lineRule="exact"/>
              <w:rPr>
                <w:sz w:val="20"/>
                <w:szCs w:val="20"/>
                <w:color w:val="auto"/>
              </w:rPr>
            </w:pPr>
            <w:r>
              <w:rPr>
                <w:rFonts w:ascii="Arial" w:cs="Arial" w:eastAsia="Arial" w:hAnsi="Arial"/>
                <w:sz w:val="18"/>
                <w:szCs w:val="18"/>
                <w:b w:val="1"/>
                <w:bCs w:val="1"/>
                <w:color w:val="auto"/>
              </w:rPr>
              <w:t>Balance, December</w:t>
            </w: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31, 2013</w:t>
            </w:r>
          </w:p>
        </w:tc>
        <w:tc>
          <w:tcPr>
            <w:tcW w:w="200" w:type="dxa"/>
            <w:vAlign w:val="bottom"/>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1,651,013</w:t>
            </w:r>
          </w:p>
        </w:tc>
        <w:tc>
          <w:tcPr>
            <w:tcW w:w="180" w:type="dxa"/>
            <w:vAlign w:val="bottom"/>
            <w:gridSpan w:val="2"/>
          </w:tcPr>
          <w:p>
            <w:pPr>
              <w:ind w:left="8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(59,979</w:t>
            </w:r>
            <w:r>
              <w:rPr>
                <w:rFonts w:ascii="Arial" w:cs="Arial" w:eastAsia="Arial" w:hAnsi="Arial"/>
                <w:sz w:val="18"/>
                <w:szCs w:val="18"/>
                <w:color w:val="auto"/>
              </w:rPr>
              <w:t>)</w:t>
            </w:r>
          </w:p>
        </w:tc>
        <w:tc>
          <w:tcPr>
            <w:tcW w:w="300" w:type="dxa"/>
            <w:vAlign w:val="bottom"/>
          </w:tcPr>
          <w:p>
            <w:pPr>
              <w:jc w:val="right"/>
              <w:ind w:right="13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1,711</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1,592,745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(230,724)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(187,662)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Currency translation</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(138,512)</w:t>
            </w:r>
          </w:p>
        </w:tc>
        <w:tc>
          <w:tcPr>
            <w:tcW w:w="30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(138,692)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(13,897)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Net transfers from Oil</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w w:val="97"/>
              </w:rPr>
              <w:t>States International,</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Inc.</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369,219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369,219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Distribution to Oil</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States International,</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w w:val="99"/>
              </w:rPr>
              <w:t>Reclassification of Oil</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w w:val="97"/>
              </w:rPr>
              <w:t>States International,</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Inc. Net Investment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w w:val="97"/>
              </w:rPr>
              <w:t>to Additional Paid-in</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1,311,913</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(1,311,913)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stock at the Spin-Off</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760" w:type="dxa"/>
            <w:vAlign w:val="bottom"/>
          </w:tcPr>
          <w:p>
            <w:pPr>
              <w:spacing w:after="0" w:line="191" w:lineRule="exact"/>
              <w:rPr>
                <w:sz w:val="20"/>
                <w:szCs w:val="20"/>
                <w:color w:val="auto"/>
              </w:rPr>
            </w:pPr>
            <w:r>
              <w:rPr>
                <w:rFonts w:ascii="Arial" w:cs="Arial" w:eastAsia="Arial" w:hAnsi="Arial"/>
                <w:sz w:val="18"/>
                <w:szCs w:val="18"/>
                <w:b w:val="1"/>
                <w:bCs w:val="1"/>
                <w:color w:val="auto"/>
              </w:rPr>
              <w:t>Balance, December</w:t>
            </w:r>
          </w:p>
        </w:tc>
        <w:tc>
          <w:tcPr>
            <w:tcW w:w="200" w:type="dxa"/>
            <w:vAlign w:val="bottom"/>
            <w:vMerge w:val="restart"/>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1,067</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1,300,042</w:t>
            </w:r>
          </w:p>
        </w:tc>
        <w:tc>
          <w:tcPr>
            <w:tcW w:w="220" w:type="dxa"/>
            <w:vAlign w:val="bottom"/>
          </w:tcPr>
          <w:p>
            <w:pPr>
              <w:spacing w:after="0"/>
              <w:rPr>
                <w:sz w:val="16"/>
                <w:szCs w:val="16"/>
                <w:color w:val="auto"/>
              </w:rPr>
            </w:pPr>
          </w:p>
        </w:tc>
        <w:tc>
          <w:tcPr>
            <w:tcW w:w="180" w:type="dxa"/>
            <w:vAlign w:val="bottom"/>
            <w:vMerge w:val="restart"/>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(244,617)</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(198,491</w:t>
            </w:r>
            <w:r>
              <w:rPr>
                <w:rFonts w:ascii="Arial" w:cs="Arial" w:eastAsia="Arial" w:hAnsi="Arial"/>
                <w:sz w:val="18"/>
                <w:szCs w:val="18"/>
                <w:color w:val="auto"/>
              </w:rPr>
              <w:t>)</w:t>
            </w:r>
          </w:p>
        </w:tc>
        <w:tc>
          <w:tcPr>
            <w:tcW w:w="300" w:type="dxa"/>
            <w:vAlign w:val="bottom"/>
            <w:vMerge w:val="restart"/>
          </w:tcPr>
          <w:p>
            <w:pPr>
              <w:jc w:val="right"/>
              <w:ind w:right="13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2,108</w:t>
            </w:r>
          </w:p>
        </w:tc>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860,109</w:t>
            </w:r>
          </w:p>
        </w:tc>
        <w:tc>
          <w:tcPr>
            <w:tcW w:w="0" w:type="dxa"/>
            <w:vAlign w:val="bottom"/>
          </w:tcPr>
          <w:p>
            <w:pPr>
              <w:spacing w:after="0"/>
              <w:rPr>
                <w:sz w:val="1"/>
                <w:szCs w:val="1"/>
                <w:color w:val="auto"/>
              </w:rPr>
            </w:pPr>
          </w:p>
        </w:tc>
      </w:tr>
      <w:tr>
        <w:trPr>
          <w:trHeight w:val="194"/>
        </w:trPr>
        <w:tc>
          <w:tcPr>
            <w:tcW w:w="17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31, 2014</w:t>
            </w:r>
          </w:p>
        </w:tc>
        <w:tc>
          <w:tcPr>
            <w:tcW w:w="20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176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(131,759)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1,095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(130,664)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Currency translation</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(167,818)</w:t>
            </w:r>
          </w:p>
        </w:tc>
        <w:tc>
          <w:tcPr>
            <w:tcW w:w="30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Redomicile</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2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(1,075)</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760" w:type="dxa"/>
            <w:vAlign w:val="bottom"/>
            <w:tcBorders>
              <w:right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December</w:t>
            </w:r>
          </w:p>
        </w:tc>
        <w:tc>
          <w:tcPr>
            <w:tcW w:w="200" w:type="dxa"/>
            <w:vAlign w:val="bottom"/>
            <w:vMerge w:val="restart"/>
            <w:shd w:val="clear" w:color="auto" w:fill="CCEEFF"/>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1,305,930</w:t>
            </w:r>
          </w:p>
        </w:tc>
        <w:tc>
          <w:tcPr>
            <w:tcW w:w="2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(376,376)</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right w:val="single" w:sz="8" w:color="CCEEFF"/>
            </w:tcBorders>
            <w:gridSpan w:val="3"/>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(366,309</w:t>
            </w:r>
            <w:r>
              <w:rPr>
                <w:rFonts w:ascii="Arial" w:cs="Arial" w:eastAsia="Arial" w:hAnsi="Arial"/>
                <w:sz w:val="18"/>
                <w:szCs w:val="18"/>
                <w:color w:val="auto"/>
              </w:rPr>
              <w:t>)</w:t>
            </w:r>
          </w:p>
        </w:tc>
        <w:tc>
          <w:tcPr>
            <w:tcW w:w="300" w:type="dxa"/>
            <w:vAlign w:val="bottom"/>
            <w:vMerge w:val="restart"/>
            <w:shd w:val="clear" w:color="auto" w:fill="CCEEFF"/>
          </w:tcPr>
          <w:p>
            <w:pPr>
              <w:jc w:val="right"/>
              <w:ind w:right="13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525</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563,770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6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31, 2015</w:t>
            </w:r>
          </w:p>
        </w:tc>
        <w:tc>
          <w:tcPr>
            <w:tcW w:w="20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340" w:type="dxa"/>
            <w:vAlign w:val="bottom"/>
            <w:tcBorders>
              <w:right w:val="single" w:sz="8" w:color="CCEEFF"/>
            </w:tcBorders>
            <w:gridSpan w:val="3"/>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2"/>
              </w:rPr>
              <w:t>Common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Stock (in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6"/>
              </w:rPr>
              <w:t>thousands)</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 and 2013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auto"/>
              </w:rPr>
              <w:t>Issuance of common stock at the Spin-Off</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106,538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Stock-based compensation.</w:t>
            </w: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4"/>
          </w:tcPr>
          <w:p>
            <w:pPr>
              <w:spacing w:after="0"/>
              <w:rPr>
                <w:sz w:val="20"/>
                <w:szCs w:val="20"/>
                <w:color w:val="auto"/>
              </w:rPr>
            </w:pPr>
            <w:r>
              <w:rPr>
                <w:rFonts w:ascii="Arial" w:cs="Arial" w:eastAsia="Arial" w:hAnsi="Arial"/>
                <w:sz w:val="18"/>
                <w:szCs w:val="18"/>
                <w:b w:val="1"/>
                <w:bCs w:val="1"/>
                <w:color w:val="auto"/>
              </w:rPr>
              <w:t>Balance, December 31, 2014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106,721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Stock-based compensation.</w:t>
            </w: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750</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4"/>
          </w:tcPr>
          <w:p>
            <w:pPr>
              <w:spacing w:after="0"/>
              <w:rPr>
                <w:sz w:val="20"/>
                <w:szCs w:val="20"/>
                <w:color w:val="auto"/>
              </w:rPr>
            </w:pPr>
            <w:r>
              <w:rPr>
                <w:rFonts w:ascii="Arial" w:cs="Arial" w:eastAsia="Arial" w:hAnsi="Arial"/>
                <w:sz w:val="18"/>
                <w:szCs w:val="18"/>
                <w:b w:val="1"/>
                <w:bCs w:val="1"/>
                <w:color w:val="auto"/>
              </w:rPr>
              <w:t>Balance, December 31, 2015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107,471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0" w:right="239" w:bottom="0"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(130,664)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(187,662)</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income (loss) to net cash provided by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152,990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174,970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income tax provision (benefit)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(34,175)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 charge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Gains on disposals of assets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(5,877)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loss on receivables, net of recoveries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Fair value adjustment of contingent consideration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15,174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Taxes payable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(16,738)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186,131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291,053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337,378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(251,158)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12,086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issuance of common shares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credit borrowings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Revolving credit repayments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(240,284)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borrowings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Term loan repayments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(729,425)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(27,790)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Oil States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Contributions from Oil States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28,257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160,998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provided by (used in)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(255,477)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39,186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224,128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263,314</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one of the largest integrated providers of longer-term and temporary remote site accommodations, logistics and facility management services to the natural resource industry. Our scalable modular facilities provide long-term and temporary workforce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89"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On May 5, 2014, the board of directors of the Oil States International, Inc. (Oil States) approved the separation of its Accommodations Segment (Accommodations) into a standalone, publicly traded Delaware corporation (Civeo US). In accordance with the Separation and Distribution Agreement, the two companies were separated by Oil States distributing to its stockholders all 106,538,044 shares of common stock of Civeo US it held after the market closed on May 30, 2014 (the Spin-Off). Each Oil States stockholder received two shares of Civeo US common stock for every one share of Oil States stock held at the close of business on the record date of May 21, 2014. In conjunction with the Spin-Off, Oil States received a private letter ruling from the Internal Revenue Service to the effect that, based on certain facts, assumptions, representations and undertakings set forth in the ruling, for U.S. federal income tax purposes, Oil States’ distribution of Civeo US common stock was not taxable to Oil States or U.S. holders of Oil States common stock. Following the Spin-Off, Oil States retained no ownership interest in Civeo US, and each company now has separate public ownership, boards of directors and management. On June 2, 2014, Civeo US stock began trading the “regular-way” on the New York Stock Exchange (NYSE) under the “CVEO” stock symbol. Pursuant to the Separation and Distribution Agreement with Oil States, on May 28, 2014, we made a special cash distribution to Oil States of $750 million.</w:t>
      </w:r>
    </w:p>
    <w:p>
      <w:pPr>
        <w:spacing w:after="0" w:line="223"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On July 17, 2015, we changed our place of incorporation, pursuant to which Civeo Corporation, a British Columbia, Canada limited company formerly named Civeo Canadian Holdings ULC (Civeo Canada), became the publicly traded parent company of the Civeo group of companies (the Redomicile Transaction). The Redomicile Transaction was effected pursuant to a previously announced Agreement and Plan of Merger, dated as of April 6, 2015, between Civeo US, Civeo US Merger Co, a Delaware corporation and wholly owned subsidiary of Civeo Canada (US Merger Co), and Civeo Canada. At the effective time of the merger, (i) US Merger Co was merged with Civeo US, with Civeo US surviving the merger as a wholly owned subsidiary of Civeo Canada, and (ii)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at the effective time as merger consideration.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qualified for a self-directed redomiciling.</w:t>
      </w:r>
    </w:p>
    <w:p>
      <w:pPr>
        <w:spacing w:after="0" w:line="24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In connection with the Spin-Off, on May 28, 2014, we entered into a $650.0 million, 5-year revolving credit facility and a 5-year U.S. term loan facility totaling $775.0 million (collectively, the Credit Facility) for an aggregate borrowing capacity of $1.4 billion. On July 17, 2015, the First Amendment to the Credit Facility became effective. On February 18, 2016, the Second Amendment to the Credit Facility (together with all amendments, the Amended Credit Facility) became effective. The Amended Credit Facility, among other things, (i) allows us to borrow under new Canadian tranches of the Credit Facility,</w:t>
      </w:r>
    </w:p>
    <w:p>
      <w:pPr>
        <w:spacing w:after="0" w:line="2" w:lineRule="exact"/>
        <w:rPr>
          <w:sz w:val="20"/>
          <w:szCs w:val="20"/>
          <w:color w:val="auto"/>
        </w:rPr>
      </w:pPr>
    </w:p>
    <w:p>
      <w:pPr>
        <w:ind w:right="460" w:firstLine="8"/>
        <w:spacing w:after="0" w:line="261"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substantially reduced both the existing U.S. term loan and the U.S. revolver and (iii) increased the maximum leverage ratio allowed under the Credit Facility. For further information, please see Note 9 – Debt for further discussion.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incurred costs related to the Redomicile Transaction totaling $7.0 million and $2.6 million for the years ended December 31, 2015 and 2014, respectively. In addition, we incurred costs related to the Amended Credit Facility totaling $5.5 million. $4.8 million has been capitalized as debt issuance costs and the remaining $0.7 million is included in interest expense. As a result of the amendment, we also recognized a loss during the third quarter 2015 of approximately $1.5 million related to unamortized debt issuance costs, which is included in Loss on extinguishment of debt on the accompanying consolidated statements of operations.</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a result of the Spin-Off, we incurred certain costs during the year ended December 31, 2014. We recognized a loss on the termination of debt of approximately $3.5 million in the second quarter 2014, related to unamortized debt issuance costs, which is included in Loss on extinguishment of debt on the accompanying consolidated statements of operations. We recorded transition and formation costs associated with the Spin-Off of approximately $4.3 million for the year ended December 31, 2014, which are included in Spin-off and formation costs on the accompanying consolidated statements of operations. In the second quarter 2014, we recognized a $9.0 million impairment of an intangible asset in Australia, which is included in Impairment expense on the accompanying consolidated statements of operations. Due to the Spin-Off, and the resulting rebranding of our Australian operations from The MAC to Civeo, it was determined that the fair value of an intangible asset associated with The MAC brand had been reduced to nil.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 prior to the Spin-Off mean the Accommodations business of Oil States. For time periods after the Spin-Off, but prior to July 17, 2015, these terms refer to Civeo US and its consolidated subsidiaries. For time periods after July 17, 2015, these terms refer to Civeo Canada and its consolidated subsidiaries.</w:t>
      </w:r>
    </w:p>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(loss), cash flows and changes in shareholders’ equity / net investment for the year ended December 31, 2015 consist entirely of the consolidated results of Civeo.</w:t>
      </w:r>
    </w:p>
    <w:p>
      <w:pPr>
        <w:spacing w:after="0" w:line="170"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(loss), cash flows and changes in shareholders’ equity / net investment for the year ended December 31, 2014 consist of (i) the combined results of the Oil States’ Accommodations business for the five months ended May 30, 2014 and (ii) the consolidated results of Civeo for the seven months ended December 31, 2014.</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consolidated statements of operations, comprehensive income (loss), cash flows and changes in shareholders’ equity / net investment for the year ended December 31, 2013 consist entirely of the combined results of the Oil States’ Accommodations business.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consolidated balance sheets at December 31, 2015 and December 31, 2014 consist entirely of the consolidated balances of Civeo.</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4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we perform these functions using our own resources or purchase services. Until February 28, 2015, however, some of these functions were provided by Oil States under a transition services agreement. See Note 17 – Related Party Transactions.</w:t>
      </w:r>
    </w:p>
    <w:p>
      <w:pPr>
        <w:spacing w:after="0" w:line="1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Oil States used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prior to February 2014. We reflected the transfer of cash to and from Oil States as a component of “Net Investment of Oil States International, Inc.” on our consolidated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18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225"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required payments. If a trade receivable is deemed to be uncollectible, such receivable is charged-off against the allowance for doubtful accounts. We consider the following factors when determining if collection of revenue is reasonably assured: customer credit-worthiness, past transaction history with the customer, current economic industry trends, customer solvency and changes in customer payment terms.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an average cost or specific-identification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Please see Asset Retirement Obligations, below, for further discussion.</w:t>
      </w:r>
    </w:p>
    <w:p>
      <w:pPr>
        <w:spacing w:after="0" w:line="187"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Capitalization</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Interest costs for the construction of certain long-term assets are capitalized and amortized over the related assets’ estimated useful lives. For the years ended December 31, 2015, 2014, and 2013, $1.6 million, $2.3 million and $0.8 million were capitalized,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w:t>
      </w:r>
    </w:p>
    <w:p>
      <w:pPr>
        <w:spacing w:after="0" w:line="1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performing this analysis, the first step is to review asset groups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second step. In this step, we compare the fair value of the respective asset group to its carrying value. The fair value of the asset groups are based on prices of similar assets, as applicable, or discounted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Please see Note 3 – Impairment Charges for a discussion of impairment charges we recognized in 2015 and 2014 related to our long-lived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the purchase price paid for acquired businesses over the allocated fair value of the related net assets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impairments, if applicable.</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do not amortize goodwill. We evaluate goodwill for impairment, at the reporting unit level, annually and when an event occurs or circumstances change to suggest that the carrying amount may not be recoverable. We conduct our annual impairment test as of November 30 of each year. Our goodwill balance was fully impaired at September 30, 2015.</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previously had goodwill. We recognize an impairment loss for any amount by which the carrying amount of a reporting unit’s goodwill exceeds the reporting unit’s implied fair value (IFV) of goodwill.</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assessment consists of a two-step impairment test. In the first step, we compare each reporting unit’s carrying amount, including goodwill, to the IFV of the reporting unit. If the carrying amount of the reporting unit exceeds its fair value, goodwill is potentially impaired, and a second step is performed to determine the amount of impairment, if any.</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7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This valuation approach utilizes publicly traded comparable companies’ enterprise values, as compared to their recent and forecasted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before interest, taxes and depreciation (EBITDA) information. We have historically used an average EBITDA multiple ranging from approximately 6.5x to approximately 9.5x depending on the reporting unit. We use EBITDA because it is a widely used key indicator of the cash generating capacity of companies in our industry.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 xml:space="preserve">Income Approach </w:t>
      </w:r>
      <w:r>
        <w:rPr>
          <w:rFonts w:ascii="Arial" w:cs="Arial" w:eastAsia="Arial" w:hAnsi="Arial"/>
          <w:sz w:val="16"/>
          <w:szCs w:val="16"/>
          <w:color w:val="auto"/>
        </w:rPr>
        <w:t>- This valuation approach derives a present value of the reporting unit’s projected future annual cash flows over the next five years. We</w:t>
      </w:r>
      <w:r>
        <w:rPr>
          <w:rFonts w:ascii="Arial" w:cs="Arial" w:eastAsia="Arial" w:hAnsi="Arial"/>
          <w:sz w:val="16"/>
          <w:szCs w:val="16"/>
          <w:i w:val="1"/>
          <w:iCs w:val="1"/>
          <w:color w:val="auto"/>
        </w:rPr>
        <w:t xml:space="preserve"> </w:t>
      </w:r>
      <w:r>
        <w:rPr>
          <w:rFonts w:ascii="Arial" w:cs="Arial" w:eastAsia="Arial" w:hAnsi="Arial"/>
          <w:sz w:val="16"/>
          <w:szCs w:val="16"/>
          <w:color w:val="auto"/>
        </w:rPr>
        <w:t>use a variety of underlying 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16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Please see Note 3 – Impairment Charges for a discussion of impairment charges we recognized in 2015 and 2014 related to our goodwill. Our goodwill balance was fully impaired at September 30, 2015.</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Other Intangible Assets. </w:t>
      </w:r>
      <w:r>
        <w:rPr>
          <w:rFonts w:ascii="Arial" w:cs="Arial" w:eastAsia="Arial" w:hAnsi="Arial"/>
          <w:sz w:val="18"/>
          <w:szCs w:val="18"/>
          <w:color w:val="auto"/>
        </w:rPr>
        <w:t>We amortize the cost of other intangible assets over their estimated useful lives unless such lives are deemed indefinite.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w:t>
      </w:r>
    </w:p>
    <w:p>
      <w:pPr>
        <w:spacing w:after="0" w:line="18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Please see Note 3 – Impairment Charges for a discussion of impairment charges we recognized in 2015 and 2014 related to our intangible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Comprehensive Income</w:t>
      </w:r>
    </w:p>
    <w:p>
      <w:pPr>
        <w:spacing w:after="0" w:line="2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Gains and losses resulting from consolidated balance sheet translation of foreign operations where a foreign currency is the functional currency are included as a separate component of accumulated other comprehensive income within shareholders’ equity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2015, 2014, and 2013, we recognized approximately $9.0 million, $0.2 million and $(1.3) million in foreign currency gains (losses),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derive the majority of our revenue from lodging and related ancillary services. In each of our operating segments, revenue is recognized in the period in which services are provided pursuant to the terms of contractual relationships with our customers. In some contracts, rates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reasonably assured and pricing is fixed and determinable. Our product sales terms do not include significant post-delivery obligations.</w:t>
      </w:r>
    </w:p>
    <w:p>
      <w:pPr>
        <w:spacing w:after="0" w:line="23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are determined.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exclude taxes assessed based on revenues such as sales or value added taxes.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operations are subject to Canadian federal and provincial income taxes, as well as foreign income taxes. 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8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w:t>
      </w:r>
    </w:p>
    <w:p>
      <w:pPr>
        <w:spacing w:after="0" w:line="16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the U.S., prior to the Spin-Off, our operations were included in Oil States’ income tax returns. In preparing our consolidated financial statements, we determined our tax provision on a separate return, stand-alone basis. Pursuant to the Tax Sharing Agreement with Oil States, with respect to any periods (or portions thereof) ending prior to the Spin-Off, we are obligated to reimburse Oil States an amount equal to the amount of U.S. federal, state or local income tax we would have paid had we had filed a separate consolidated U.S. federal, state or local income tax return, subject to certain adjustments. We do not consider these amounts to be material.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Prior to the Spin-Off, because portions of our operations were included in Oil States’ tax returns, payments to certain tax authorities were historically made by Oil States, and not by us. With the exception of certain dedicated foreign entities, we did not maintain taxes payable to/from Oil States and we were deemed to settle the annual current tax balances immediately with the legal tax-paying entities in the respective jurisdictions. These settlements are reflected as changes in the Oil States International, Inc. net investment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Concentration of Credit Risk</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For the year ended December 31, 2015, each of Imperial Oil, Fort Hills Energy LP and BM Alliance Coal Operations Pty Ltd accounted for more than 10% of our revenues. For the year ended December 31, 2014, Imperial Oil accounted for more than 10% of our revenues. For the year ended December 31, 2013, each of Imperial Oil and BHP Billiton Mitsubishi Alliance accounted for more than 10% of our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record the fair value of a liability,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relieve ARO liabilities when the related obligations are settled. We have AROs that we are required to perform under law or contract once an asset is permanently taken out of service. Most of these obligations are not expected to be paid until several years in the future and will be funded from general company resources at the time of removal. Please see Note 11 – Asset Retirement Obligations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and, prior to the Spin-Off, Oil States, sponsor an equity participation plan in which certain of our employees participate. We measure the cost of employee services received in exchange for an award of equity instruments (typically option awards)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and, prior to the Spin-Off, Oil States, also grant phantom shares under the Canadian Long-Term Incentive Plan, which provides for the granting of units of phantom shares to key Canadian employees. We also grant phantom shares under the 2014 Equity Participation Plan, which provides for the granting of units of phantom shares to key U.S. employees. All of the awards vest in equal annual installments and are accounted for as a liability based on the fair value of our share price. Participants granted units of phantom shares are entitled to a lump sum cash payment equal to the fair market value of a common share on the vesting date.</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Guarantees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Substantially all of our Canadian and U.S. subsidiaries are guarantors under our Credit Facility. See Note 9 - Debt.</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Some of our products are sold with a warranty, generally 12 months. Parts and labor are covered under the terms of the warranty agreement. Warranty provisions are estimated based upon historical experience by product, configuration and geographic region. Our total liability related to warranties was $0.1 million and $0.1 million at December 31, 2015 and 2014, respectively.</w:t>
      </w:r>
    </w:p>
    <w:p>
      <w:pPr>
        <w:spacing w:after="0" w:line="1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During the ordinary course of business, we also provide standby letters of credit or other guarantee instruments to certain parties as required for certain transactions initiated by us or our subsidiaries. As of December 31, 2015, the maximum potential amount of future payments that we could be required to make under these guarantee agreements (letters of credit) was approximately $6.0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preparation of consolidated financial statements in conformity with U.S.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potential future adjustments as a result of contingent consideration arrangements pursuant to business combinations and other contractual agreements, revenue and income recognized on the percentage-of-completion method, estimates of the amount and timing of costs to be incurred for asset retirement obligations, any valuation allowance recorded on net deferred tax assets, warranty and allowance for doubtful accounts. Actual results could materially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warranty claims and contract claims and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November 2015, the FASB issued Accounting Standards Update (ASU) 2015-17, Income Taxes (Topic 740): Balance Sheet Classification of Deferred Taxes (ASU 2015-17). This new standard requires companies to classify all deferred tax assets and liabilities as noncurrent on the balance sheet instead of separating deferred taxes into current and noncurrent amounts. The current requirement that deferred tax liabilities and assets of a tax-paying component</w:t>
      </w:r>
    </w:p>
    <w:p>
      <w:pPr>
        <w:jc w:val="both"/>
        <w:ind w:right="220"/>
        <w:spacing w:after="0" w:line="255" w:lineRule="auto"/>
        <w:rPr>
          <w:sz w:val="20"/>
          <w:szCs w:val="20"/>
          <w:color w:val="auto"/>
        </w:rPr>
      </w:pPr>
      <w:r>
        <w:rPr>
          <w:rFonts w:ascii="Arial" w:cs="Arial" w:eastAsia="Arial" w:hAnsi="Arial"/>
          <w:sz w:val="18"/>
          <w:szCs w:val="18"/>
          <w:color w:val="auto"/>
        </w:rPr>
        <w:t>of an entity be offset and presented as a single amount is not affected by this guidance. Effective with our annual report for the period ending December 31, 2015, we have adopted the provisions of ASU 2015-17 prospectively to classify all deferred tax assets and liabilities as noncurrent. For further discussion, please see Note 12 – Income Taxes.</w:t>
      </w:r>
    </w:p>
    <w:p>
      <w:pPr>
        <w:spacing w:after="0" w:line="19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April 2015, the FASB issued ASU 2015-03 "Interest - Imputation of Interest: Simplifying the Presentation of Debt Issuance Costs" (ASU 2015-03). ASU 2015-03 simplifies the presentation of debt issuance costs by requiring that such costs be presented as a deduction from the corresponding debt liability. The guidance is effective for financial statements issued for reporting periods beginning after December 15, 2015 and interim periods within the reporting periods and requires retrospective presentation. Early adoption is permitted. We plan to adopt the standard in the first quarter of 2016. As of December 31, 2015, we had debt issuance costs totaling $9.4 million, which are included in Prepaid expenses and other current assets ($2.6 million) and Other non-current assets ($6.8 million) on the accompanying consolidated balance sheets. A portion of these costs relate to revolving lines of credit, and will accordingly continue to be included in Prepaid expenses and other current assets or Other non-current assets.</w:t>
      </w:r>
    </w:p>
    <w:p>
      <w:pPr>
        <w:spacing w:after="0" w:line="17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reporting periods beginning after December 15, 2017. Accordingly, we plan to adopt this standard in the first quarter of 2018. ASC 606 allows either full retrospective or modified retrospective transition, and early adoption is not permitted. We continue to evaluate both the impact of this new standard on our financial statements and the transition method we will utilize for adoption.</w:t>
      </w:r>
    </w:p>
    <w:p>
      <w:pPr>
        <w:spacing w:after="0" w:line="16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Impairment Charges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summarizes pre-tax impairment charges recorded during 2015 which are included in Impairment expense in our consolidated statements of operations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U.S. and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Canada</w:t>
            </w: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Australia</w:t>
            </w:r>
          </w:p>
        </w:tc>
        <w:tc>
          <w:tcPr>
            <w:tcW w:w="2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2015</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 2015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9,473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43,194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43,194</w:t>
            </w:r>
          </w:p>
        </w:tc>
      </w:tr>
      <w:tr>
        <w:trPr>
          <w:trHeight w:val="216"/>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65,061</w:t>
            </w: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b w:val="1"/>
          <w:bCs w:val="1"/>
          <w:i w:val="1"/>
          <w:iCs w:val="1"/>
          <w:color w:val="auto"/>
        </w:rPr>
        <w:t xml:space="preserve">Quarter ended March 31, 2015. </w:t>
      </w:r>
      <w:r>
        <w:rPr>
          <w:rFonts w:ascii="Arial" w:cs="Arial" w:eastAsia="Arial" w:hAnsi="Arial"/>
          <w:sz w:val="17"/>
          <w:szCs w:val="17"/>
          <w:color w:val="auto"/>
        </w:rPr>
        <w:t>During the first quarter of 2015, we made the decision to dispose of our manufacturing facility in Johnstown, Colorado.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the facility met the criteria of held for sale, and its carrying value was adjusted downward to $8.7 million, which represents its estimated fair value less the cost to sell. We recorded a pre-tax impairment expense of $2.7 million and an additional $1.1 million to write-down our inventory as a result. During the fourth quarter of 2015, we completed the sale of the facility, and received proceeds of $8.9 million.</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Quarter ended June 30, 2015. </w:t>
      </w:r>
      <w:r>
        <w:rPr>
          <w:rFonts w:ascii="Arial" w:cs="Arial" w:eastAsia="Arial" w:hAnsi="Arial"/>
          <w:sz w:val="18"/>
          <w:szCs w:val="18"/>
          <w:color w:val="auto"/>
        </w:rPr>
        <w:t>During the second quarter of 2015, we recorded an impairment expense of $9.5 million, resulting from the impairment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assets in a village located in Western Australia, due to the continued downturn in gold mining activity and lack of contract renewals. We assessed the carrying value of the asset group to determine if it continued to be recoverable based on estimated future cash flows. Based on the assessment, the carrying value was determined to not be recoverable.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2" w:name="page103"/>
    <w:bookmarkEnd w:id="102"/>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b w:val="1"/>
          <w:bCs w:val="1"/>
          <w:i w:val="1"/>
          <w:iCs w:val="1"/>
          <w:color w:val="auto"/>
        </w:rPr>
        <w:t>Quarter ended September 30, 2015</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third quarter of 2015, we recorded impairment expense related to goodwill, long-lived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Due to the sustained reduction of our share price throughout 2015, our market capitalization implied an enterprise value which is significantly less than the sum of the estimated fair values of our reporting units. As a result of our market capitalization at September 30, 2015, coupled with (1) the continued depression of worldwide oil prices, including the substantial declines experienced in the third quarter of 2015, and (2) continued weakness in the Canadian dollar in the third quarter 2015, we determined that an indicator of a goodwill impairment was present as of September 30, 2015. Accordingly, as a result of current macroeconomic conditions, we performed an interim goodwill impairment test as of September 30, 2015, and we reduced the value of our goodwill in our Canadian reporting unit to zero. This resulted in an impairment charge in the third quarter 2015 which totaled $43.2 million.</w:t>
      </w:r>
    </w:p>
    <w:p>
      <w:pPr>
        <w:spacing w:after="0" w:line="16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Furthermore, as a result of the goodwill impairment in our Canadian segment, we determined all asset groups within this segment had experienced a trigger that indicated that the carrying values might not be recoverable. Accordingly, we compared the carrying value of each asset group to estimates of undiscounted cash flows. Based on the assessment, carrying values of certain assets groups were determined to be unrecoverable, and we proceeded to compare the fair value of those assets groups to their respective carrying values. As a result, we recorded an impairment loss of $11.1 million related to long-lived assets in our Canadian segment.</w:t>
      </w:r>
    </w:p>
    <w:p>
      <w:pPr>
        <w:spacing w:after="0" w:line="18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Additionally, also as a result of the sustained reduction of our share price throughout 2015, we reviewed the long-lived assets in our U.S. and Australia reportable segments to determine if an indicator of impairment had occurred that would indicate that the carrying values of the asset groups in these segments might not be recoverable. We determined that certain asset groups within the segments had experienced an indicator of impairment, and thus compared the carrying value of the respective asset group to estimates of undiscounted future cash flows. Based on the assessment, the carrying values of three of our assets groups were determined to not be recoverable, and we proceeded to compare the fair value of the asset groups to their carrying value. As a result, we recorded an impairment loss of $20.5 million related to our U.S. segment. Of the $20.5 million impairment, $18.0 million reduced the value of our fixed assets and $2.5 million reduced the value of our amortizable intangible assets. In addition, we recorded an impairment loss of $24.0 million related to our Australian segment that reduced the value of our fixed assets.</w:t>
      </w:r>
    </w:p>
    <w:p>
      <w:pPr>
        <w:spacing w:after="0" w:line="17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Finally, during the third quarter of 2015, we identified assets in our Canadian segment that should have been impaired in the fourth quarter of 2014. We determined that the error was not material to our financial statements for the year ended December 31, 2014 and therefore corrected the error in the third quarter of 2015. This resulted in an additional impairment expense of $11.9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Impairment Charges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summarizes pre-tax impairment charges recorded during 2014 which are included in Impairment expense in our consolidated statements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Canada</w:t>
            </w: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Australia</w:t>
            </w:r>
          </w:p>
        </w:tc>
        <w:tc>
          <w:tcPr>
            <w:tcW w:w="22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4"/>
              </w:rPr>
              <w:t>U.S. and Other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 2014</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2,621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Quarter ended December 31, 2014</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202,729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17,197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72,973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17,197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195,086</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78,225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290,508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65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b w:val="1"/>
          <w:bCs w:val="1"/>
          <w:i w:val="1"/>
          <w:iCs w:val="1"/>
          <w:color w:val="auto"/>
        </w:rPr>
        <w:t xml:space="preserve">Quarter ended June 30, 2014. </w:t>
      </w:r>
      <w:r>
        <w:rPr>
          <w:rFonts w:ascii="Arial" w:cs="Arial" w:eastAsia="Arial" w:hAnsi="Arial"/>
          <w:sz w:val="18"/>
          <w:szCs w:val="18"/>
          <w:color w:val="auto"/>
        </w:rPr>
        <w:t>We recognized a $9.0 million impairment of an indefinite-lived intangible asset in Australia. Due to the Spin-Off,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rebranding of our Australian operations from The MAC to Civeo, it was determined that the fair value of an intangible asset associated with The MAC brand had been reduced to zero.</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Additionally, in the second quarter 2014, we recognized an impairment totaling $2.6 million on assets in the custody of a non-paying client in Mexico and for which the return or reimbursement is uncertain.</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Quarter ended December 31, 2014. </w:t>
      </w:r>
      <w:r>
        <w:rPr>
          <w:rFonts w:ascii="Arial" w:cs="Arial" w:eastAsia="Arial" w:hAnsi="Arial"/>
          <w:sz w:val="18"/>
          <w:szCs w:val="18"/>
          <w:color w:val="auto"/>
        </w:rPr>
        <w:t>During the fourth quarter of 2014, we recorded impairment expense related to goodwill, long-lived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performing step one of our annual goodwill impairment test as of November 30, 2014, the carrying amounts of our U.S. and Australia reporting units exceeded the respective reporting unit’s IFV. Accordingly, we proceeded to the second step for those reporting units. This second step compared the IFV of each reporting unit’s goodwill with the carrying amount of such goodwill. We performed a hypothetical allocation of the fair value of the reporting units determined in step one to all of the assets and liabilities of the unit, including any unrecognized intangible assets. After making these hypothetical allocations, we determined zero residual value remained that could be allocated to goodwill within our U.S. and Australian reporting units, respectively. As a result, we recorded impairment charges totaling $16.6 million and $186.1 million to goodwill for our U.S. and Australian reporting units, respectively.</w:t>
      </w:r>
    </w:p>
    <w:p>
      <w:pPr>
        <w:spacing w:after="0" w:line="16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Also during the fourth quarter 2014, as a result of the decline in global crude oil prices and forecasts for a potentially protracted period of lower prices, management assessed the carrying value of all of our long-lived asset groups to determine if they continued to be recoverable based on estimated future cash flows. Based on the assessment, the carrying values of certain of our asset groups were determined to not be recoverable. We recorded impairment losses of $76.2 million during 2014 as a result, of which $59.0 million related to our U.S. segment and $17.2 million related to our Canadian segment. Of the $59.0 million impairment related to our U.S. segment, $55.8 million reduced the value of our fixed assets and $3.2 million was recorded on our amortizable intangible assets.</w:t>
      </w:r>
    </w:p>
    <w:p>
      <w:pPr>
        <w:spacing w:after="0" w:line="18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2015 and 2014, we believe the carrying value of our floating-rate debt outstanding under our term loans approximates its fair value because the term includes short-term interest rates and excludes penalties for prepayment. We estimated the fair value of our floating-rate term loan using significant other observable inputs, representative of a Level 2 fair value measurement, including terms and credit spreads for this loan.</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During 2015 and 2014, we wrote down our goodwill to its IFV. We also wrote down certain long-lived assets and indefinite lived intangible assets to their fair value. Our estimate of IFV required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Our estimate of fair value required us to use significant unobservable inputs, representative of Level 3 fair value measurements, including numerous assumptions with respect to future circumstances, such as future oil, coal and natural gas prices, anticipated spending by our customers, the cost of capital, and industry and/or local market conditions that might directly impact each of the asset groups’ operations in the future, and are therefore uncertain. Please 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4" w:name="page105"/>
    <w:bookmarkEnd w:id="104"/>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Additional information regarding selected balance sheet accounts at December 31, 2015 and 2014 is presented below (in thousands):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9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Trade</w:t>
            </w:r>
          </w:p>
        </w:tc>
        <w:tc>
          <w:tcPr>
            <w:tcW w:w="29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44,650</w:t>
            </w:r>
          </w:p>
        </w:tc>
        <w:tc>
          <w:tcPr>
            <w:tcW w:w="12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124,198</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r>
      <w:tr>
        <w:trPr>
          <w:trHeight w:val="210"/>
        </w:trPr>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9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62,588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164,296</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(1,121)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(4,043)</w:t>
            </w:r>
          </w:p>
        </w:tc>
      </w:tr>
      <w:tr>
        <w:trPr>
          <w:trHeight w:val="25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61,467</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7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28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1,854</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Raw materials</w:t>
            </w:r>
          </w:p>
        </w:tc>
        <w:tc>
          <w:tcPr>
            <w:tcW w:w="17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Land</w:t>
            </w:r>
          </w:p>
        </w:tc>
        <w:tc>
          <w:tcPr>
            <w:tcW w:w="1560" w:type="dxa"/>
            <w:vAlign w:val="bottom"/>
          </w:tcPr>
          <w:p>
            <w:pPr>
              <w:spacing w:after="0"/>
              <w:rPr>
                <w:sz w:val="18"/>
                <w:szCs w:val="18"/>
                <w:color w:val="auto"/>
              </w:rPr>
            </w:pP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47,825</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55,365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15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1,482,842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1,687,033</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3-20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29,099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40,256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4-15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2"/>
              </w:rPr>
              <w:t>3-7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29,172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32,181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5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3-5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15,412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52,558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70,603</w:t>
            </w:r>
          </w:p>
        </w:tc>
      </w:tr>
      <w:tr>
        <w:trPr>
          <w:trHeight w:val="210"/>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1,916,683</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(734,177)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(668,253)</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1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931,914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Accrued compensation</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11,726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15,273</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Accrued taxes, other than income taxes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Accrued interest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14,834</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22,512</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tab/>
        <w:t>EARNINGS PER SHARE</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May 30, 2014, 106,538,044 of our common shares were distributed to Oil States stockholders in connection with the Spin-Off. For comparative purposes, and to provide a more meaningful calculation of weighted-average shares outstanding, we have assumed these shares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2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income (loss) attributable to Civeo</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(131,759)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(189,043)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181,876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(loss) to participating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Net income (loss) attributable to Civeo’s common shareholders - 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(131,759)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(188,122)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181,133</w:t>
            </w: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106,306</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r>
      <w:tr>
        <w:trPr>
          <w:trHeight w:val="216"/>
        </w:trPr>
        <w:tc>
          <w:tcPr>
            <w:tcW w:w="5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5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Civeo’s common shareholders – 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(131,759)</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(188,122)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181,133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Less: undistributed net income (loss) to participating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50"/>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Civeo’s common shareholders - diluted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(188,122)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r>
      <w:tr>
        <w:trPr>
          <w:trHeight w:val="216"/>
        </w:trPr>
        <w:tc>
          <w:tcPr>
            <w:tcW w:w="5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106,306</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r>
      <w:tr>
        <w:trPr>
          <w:trHeight w:val="216"/>
        </w:trPr>
        <w:tc>
          <w:tcPr>
            <w:tcW w:w="574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106,306</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106,460</w:t>
            </w:r>
          </w:p>
        </w:tc>
      </w:tr>
      <w:tr>
        <w:trPr>
          <w:trHeight w:val="216"/>
        </w:trPr>
        <w:tc>
          <w:tcPr>
            <w:tcW w:w="5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5829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40" w:right="80" w:hanging="332"/>
        <w:spacing w:after="0" w:line="264"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years ended December 31, 2015 and 2014.</w:t>
      </w:r>
    </w:p>
    <w:p>
      <w:pPr>
        <w:spacing w:after="0" w:line="17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Cash paid during the years ended December 31, 2015, 2014 and 2013 for interest and income taxes was as follows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amounts capitalized)</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21,385</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14,444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taxes paid, net of refunds</w:t>
            </w:r>
          </w:p>
        </w:tc>
        <w:tc>
          <w:tcPr>
            <w:tcW w:w="10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(5,169)</w:t>
            </w:r>
          </w:p>
        </w:tc>
        <w:tc>
          <w:tcPr>
            <w:tcW w:w="10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43,237</w:t>
            </w:r>
          </w:p>
        </w:tc>
        <w:tc>
          <w:tcPr>
            <w:tcW w:w="3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65,875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accordance with the Separation and Distribution Agreement, our affiliate debt with Oil States, which totaled approximately $336.8 million as of May 30, 2014, including accrued interest, was settled through a non-cash capital contribution. For further discussion, please see Note 17 – Related Party Transactions.</w:t>
      </w:r>
    </w:p>
    <w:p>
      <w:pPr>
        <w:spacing w:after="0" w:line="177"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goodwill for the years ended December 31, 2015 and 2014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Canadian</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Australian</w:t>
            </w:r>
          </w:p>
        </w:tc>
        <w:tc>
          <w:tcPr>
            <w:tcW w:w="26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194,939</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261,056</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(4,225)</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(8,842)</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(13,067)</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(202,729)</w:t>
            </w:r>
          </w:p>
        </w:tc>
        <w:tc>
          <w:tcPr>
            <w:tcW w:w="3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Balance as of December 31, 2014</w:t>
            </w:r>
          </w:p>
        </w:tc>
        <w:tc>
          <w:tcPr>
            <w:tcW w:w="1680" w:type="dxa"/>
            <w:vAlign w:val="bottom"/>
            <w:gridSpan w:val="2"/>
          </w:tcPr>
          <w:p>
            <w:pPr>
              <w:jc w:val="center"/>
              <w:ind w:left="1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45,260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45,260</w:t>
            </w:r>
          </w:p>
        </w:tc>
        <w:tc>
          <w:tcPr>
            <w:tcW w:w="3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(43,194)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(43,194)</w:t>
            </w:r>
          </w:p>
        </w:tc>
        <w:tc>
          <w:tcPr>
            <w:tcW w:w="3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r>
      <w:tr>
        <w:trPr>
          <w:trHeight w:val="656"/>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80" w:type="dxa"/>
            <w:vAlign w:val="bottom"/>
            <w:gridSpan w:val="2"/>
          </w:tcPr>
          <w:p>
            <w:pPr>
              <w:jc w:val="center"/>
              <w:ind w:left="1290"/>
              <w:spacing w:after="0"/>
              <w:rPr>
                <w:sz w:val="20"/>
                <w:szCs w:val="20"/>
                <w:color w:val="auto"/>
              </w:rPr>
            </w:pPr>
            <w:r>
              <w:rPr>
                <w:rFonts w:ascii="Arial" w:cs="Arial" w:eastAsia="Arial" w:hAnsi="Arial"/>
                <w:sz w:val="18"/>
                <w:szCs w:val="18"/>
                <w:color w:val="auto"/>
                <w:w w:val="86"/>
              </w:rPr>
              <w:t>101</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38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Note 3 – Impairment Charges for a discussion of impairment charges we recognized in 2015 and 2014 related to our 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total amount of other intangible assets and the related accumulated amortization for major intangible asset classes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AS OF DECEMBER 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8"/>
                <w:szCs w:val="18"/>
                <w:b w:val="1"/>
                <w:bCs w:val="1"/>
                <w:color w:val="auto"/>
              </w:rPr>
              <w:t>2014</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Accumulated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Amortizable Intangible Assets</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Customer relationships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43,668</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(26,278)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47,611</w:t>
            </w:r>
          </w:p>
        </w:tc>
        <w:tc>
          <w:tcPr>
            <w:tcW w:w="46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Contracts / agreements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(17,885)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Noncompete agreements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amortizable intangible assets</w:t>
            </w: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Indefinite-Lived Intangible Assets Not Subject to Amortization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Water rights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46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Licenses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640"/>
              <w:spacing w:after="0"/>
              <w:rPr>
                <w:sz w:val="20"/>
                <w:szCs w:val="20"/>
                <w:color w:val="auto"/>
              </w:rPr>
            </w:pPr>
            <w:r>
              <w:rPr>
                <w:rFonts w:ascii="Arial" w:cs="Arial" w:eastAsia="Arial" w:hAnsi="Arial"/>
                <w:sz w:val="18"/>
                <w:szCs w:val="18"/>
                <w:color w:val="auto"/>
              </w:rPr>
              <w:t>Total indefinite-lived intangible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intangible assets</w:t>
            </w: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Please see Note 3 – Impairment Charges for a discussion of impairment charges we recognized in 2015 and 2014 related to our intangible assets.</w:t>
      </w:r>
    </w:p>
    <w:p>
      <w:pPr>
        <w:spacing w:after="0" w:line="23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The weighted average remaining amortization period for all intangible assets, other than indefinite-lived intangibles, was 5.1 years as of December 31, 2015 and 6.1 years as of December 31, 2014. Total amortization expense is expected to be $7.1 million in 2016, $7.0 million in each of 2017, 2018, 2019 and 2020. Amortization expense was $7.6 million, $9.6 million and $10.2 million in the years ended December 31, 2015, 2014 and 2013,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9.  DEBT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ind w:left="340"/>
              <w:spacing w:after="0"/>
              <w:rPr>
                <w:sz w:val="20"/>
                <w:szCs w:val="20"/>
                <w:color w:val="auto"/>
              </w:rPr>
            </w:pPr>
            <w:r>
              <w:rPr>
                <w:rFonts w:ascii="Arial" w:cs="Arial" w:eastAsia="Arial" w:hAnsi="Arial"/>
                <w:sz w:val="18"/>
                <w:szCs w:val="18"/>
                <w:color w:val="auto"/>
              </w:rPr>
              <w:t>As of December 31, 2015 and 2014, long-term debt consisted of the following (in thousands):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5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1"/>
              </w:rPr>
              <w:t>U.S. term loan, which matures on May 28, 2019; 1.25% of aggregate principal repayable per quarter beginning</w:t>
            </w:r>
          </w:p>
        </w:tc>
        <w:tc>
          <w:tcPr>
            <w:tcW w:w="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December 31, 2015; weighted average interest rate of 2.7% for the twelve month period ended December 31,</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9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49,375</w:t>
            </w:r>
          </w:p>
        </w:tc>
        <w:tc>
          <w:tcPr>
            <w:tcW w:w="5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775,000</w:t>
            </w:r>
          </w:p>
        </w:tc>
        <w:tc>
          <w:tcPr>
            <w:tcW w:w="0" w:type="dxa"/>
            <w:vAlign w:val="bottom"/>
          </w:tcPr>
          <w:p>
            <w:pPr>
              <w:spacing w:after="0"/>
              <w:rPr>
                <w:sz w:val="1"/>
                <w:szCs w:val="1"/>
                <w:color w:val="auto"/>
              </w:rPr>
            </w:pPr>
          </w:p>
        </w:tc>
      </w:tr>
      <w:tr>
        <w:trPr>
          <w:trHeight w:val="202"/>
        </w:trPr>
        <w:tc>
          <w:tcPr>
            <w:tcW w:w="8060" w:type="dxa"/>
            <w:vAlign w:val="bottom"/>
            <w:gridSpan w:val="2"/>
          </w:tcPr>
          <w:p>
            <w:pPr>
              <w:spacing w:after="0" w:line="201" w:lineRule="exact"/>
              <w:rPr>
                <w:sz w:val="20"/>
                <w:szCs w:val="20"/>
                <w:color w:val="auto"/>
              </w:rPr>
            </w:pPr>
            <w:r>
              <w:rPr>
                <w:rFonts w:ascii="Arial" w:cs="Arial" w:eastAsia="Arial" w:hAnsi="Arial"/>
                <w:sz w:val="18"/>
                <w:szCs w:val="18"/>
                <w:color w:val="auto"/>
                <w:w w:val="95"/>
              </w:rPr>
              <w:t>Canadian term loan, which matures on May 28, 2019; 1.25% of aggregate principal repayable per quarter</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w w:val="96"/>
              </w:rPr>
              <w:t>beginning December 31, 2015; weighted average interest rate of 3.5% for the twelve month period ended</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300,165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U.S. revolving credit facility, which matures on May 28, 2019, with available commitments up to $50.0</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 no borrowings outstanding as of December 31, 2015</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60" w:type="dxa"/>
            <w:vAlign w:val="bottom"/>
            <w:gridSpan w:val="2"/>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with available commitments up to $125.0</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w w:val="99"/>
              </w:rPr>
              <w:t>million; weighted average interest rate of 3.7% for the twelve month period ended December 31, 2015</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52,020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with available commitments up to $100.0</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 no borrowings outstanding as of December 31, 2015</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60" w:type="dxa"/>
            <w:vAlign w:val="bottom"/>
            <w:gridSpan w:val="2"/>
          </w:tcPr>
          <w:p>
            <w:pPr>
              <w:spacing w:after="0" w:line="201" w:lineRule="exact"/>
              <w:rPr>
                <w:sz w:val="20"/>
                <w:szCs w:val="20"/>
                <w:color w:val="auto"/>
              </w:rPr>
            </w:pPr>
            <w:r>
              <w:rPr>
                <w:rFonts w:ascii="Arial" w:cs="Arial" w:eastAsia="Arial" w:hAnsi="Arial"/>
                <w:sz w:val="18"/>
                <w:szCs w:val="18"/>
                <w:color w:val="auto"/>
                <w:w w:val="93"/>
              </w:rPr>
              <w:t>Australian revolving credit facility, which matures on May 28, 2019, with available commitments up to $100.0</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060" w:type="dxa"/>
            <w:vAlign w:val="bottom"/>
            <w:gridSpan w:val="2"/>
          </w:tcPr>
          <w:p>
            <w:pPr>
              <w:spacing w:after="0"/>
              <w:rPr>
                <w:sz w:val="20"/>
                <w:szCs w:val="20"/>
                <w:color w:val="auto"/>
              </w:rPr>
            </w:pPr>
            <w:r>
              <w:rPr>
                <w:rFonts w:ascii="Arial" w:cs="Arial" w:eastAsia="Arial" w:hAnsi="Arial"/>
                <w:sz w:val="18"/>
                <w:szCs w:val="18"/>
                <w:color w:val="auto"/>
              </w:rPr>
              <w:t>million; no borrowings outstanding as of December 31, 2015</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401,560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17,698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less current maturities</w:t>
            </w: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383,862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8060" w:type="dxa"/>
            <w:vAlign w:val="bottom"/>
            <w:gridSpan w:val="2"/>
          </w:tcPr>
          <w:p>
            <w:pPr>
              <w:ind w:left="340"/>
              <w:spacing w:after="0"/>
              <w:rPr>
                <w:sz w:val="20"/>
                <w:szCs w:val="20"/>
                <w:color w:val="auto"/>
              </w:rPr>
            </w:pPr>
            <w:r>
              <w:rPr>
                <w:rFonts w:ascii="Arial" w:cs="Arial" w:eastAsia="Arial" w:hAnsi="Arial"/>
                <w:sz w:val="18"/>
                <w:szCs w:val="18"/>
                <w:color w:val="auto"/>
              </w:rPr>
              <w:t>Scheduled maturities of long-term debt as of December 31, 2015 are as follows (in thousands):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00" w:type="dxa"/>
            <w:vAlign w:val="bottom"/>
            <w:shd w:val="clear" w:color="auto" w:fill="CCEEFF"/>
          </w:tcPr>
          <w:p>
            <w:pPr>
              <w:jc w:val="right"/>
              <w:ind w:right="6470"/>
              <w:spacing w:after="0"/>
              <w:rPr>
                <w:sz w:val="20"/>
                <w:szCs w:val="20"/>
                <w:color w:val="auto"/>
              </w:rPr>
            </w:pPr>
            <w:r>
              <w:rPr>
                <w:rFonts w:ascii="Arial" w:cs="Arial" w:eastAsia="Arial" w:hAnsi="Arial"/>
                <w:sz w:val="18"/>
                <w:szCs w:val="18"/>
                <w:color w:val="auto"/>
                <w:w w:val="79"/>
              </w:rPr>
              <w:t>2016</w:t>
            </w:r>
          </w:p>
        </w:tc>
        <w:tc>
          <w:tcPr>
            <w:tcW w:w="8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17,698</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jc w:val="right"/>
              <w:ind w:right="6470"/>
              <w:spacing w:after="0"/>
              <w:rPr>
                <w:sz w:val="20"/>
                <w:szCs w:val="20"/>
                <w:color w:val="auto"/>
              </w:rPr>
            </w:pPr>
            <w:r>
              <w:rPr>
                <w:rFonts w:ascii="Arial" w:cs="Arial" w:eastAsia="Arial" w:hAnsi="Arial"/>
                <w:sz w:val="18"/>
                <w:szCs w:val="18"/>
                <w:color w:val="auto"/>
                <w:w w:val="79"/>
              </w:rPr>
              <w:t>2017</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17,698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jc w:val="right"/>
              <w:ind w:right="6470"/>
              <w:spacing w:after="0"/>
              <w:rPr>
                <w:sz w:val="20"/>
                <w:szCs w:val="20"/>
                <w:color w:val="auto"/>
              </w:rPr>
            </w:pPr>
            <w:r>
              <w:rPr>
                <w:rFonts w:ascii="Arial" w:cs="Arial" w:eastAsia="Arial" w:hAnsi="Arial"/>
                <w:sz w:val="18"/>
                <w:szCs w:val="18"/>
                <w:color w:val="auto"/>
                <w:w w:val="79"/>
              </w:rPr>
              <w:t>2018</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17,698</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jc w:val="right"/>
              <w:ind w:right="6470"/>
              <w:spacing w:after="0"/>
              <w:rPr>
                <w:sz w:val="20"/>
                <w:szCs w:val="20"/>
                <w:color w:val="auto"/>
              </w:rPr>
            </w:pPr>
            <w:r>
              <w:rPr>
                <w:rFonts w:ascii="Arial" w:cs="Arial" w:eastAsia="Arial" w:hAnsi="Arial"/>
                <w:sz w:val="18"/>
                <w:szCs w:val="18"/>
                <w:color w:val="auto"/>
                <w:w w:val="79"/>
              </w:rPr>
              <w:t>2019</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348,466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401,560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Civeo was a party to an Oil States credit facility agreement together with Oil States that had separate Canadian borrowing limits that served as debt financing for the Canadian operations of Civeo (Oil States Credit Facility). Additionally, Civeo had a separate Australian credit facility (The MAC Group Credit Facility) that was used exclusively to support our Australian operations. On May 28, 2014, the Oil States Credit Facility and The MAC Group Credit Facility were terminated. We recognized a loss on the termination during the second quarter 2014 of approximately $3.5 million related to unamortized debt issuance costs, which is included in Loss on extinguishment of debt on the accompanying consolidated statements of operations.</w:t>
      </w:r>
    </w:p>
    <w:p>
      <w:pPr>
        <w:spacing w:after="0" w:line="17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 May 28, 2014, we entered into (i) a $650.0 million, 5-year revolving credit facility which is allocated as follows: (A) a $450.0 million senior secured revolving credit facility in favor of Civeo, as borrower (the U.S. facility), (B) a $100.0 million senior secured revolving credit facility in favor of certain of our Canadian subsidiaries, as borrowers (the Canadian facility), and (C) a $100.0 million senior secured revolving credit facility in favor of one of our Australian subsidiaries, as borrower (the Australian facility), and (ii) a $775.0 million, 5-year term loan facility in favor of Civeo (collectively, the Credit Facility), which was subsequently amended in connection with the Redomicile Transaction.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17, 2015, our Credit Facility was amended (First Amendment) to, among other things:</w:t>
      </w:r>
    </w:p>
    <w:p>
      <w:pPr>
        <w:spacing w:after="0" w:line="252" w:lineRule="exact"/>
        <w:rPr>
          <w:sz w:val="20"/>
          <w:szCs w:val="20"/>
          <w:color w:val="auto"/>
        </w:rPr>
      </w:pPr>
    </w:p>
    <w:p>
      <w:pPr>
        <w:ind w:left="660" w:right="22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Permit us to redomicile to Canada, make associated corporate restructurings and make certain changes to the collateral and guarantees, covenants, events of default and related definitions to reflect the Redomicile Transaction and the new credit facilities referred to below;</w:t>
      </w:r>
    </w:p>
    <w:p>
      <w:pPr>
        <w:spacing w:after="0" w:line="146" w:lineRule="exact"/>
        <w:rPr>
          <w:rFonts w:ascii="Arial" w:cs="Arial" w:eastAsia="Arial" w:hAnsi="Arial"/>
          <w:sz w:val="17"/>
          <w:szCs w:val="17"/>
          <w:color w:val="auto"/>
        </w:rPr>
      </w:pPr>
    </w:p>
    <w:p>
      <w:pPr>
        <w:ind w:left="660" w:right="120" w:hanging="328"/>
        <w:spacing w:after="0" w:line="31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Allow for the incurrence of new credit facilities under the Credit Facility, including (i) a new revolving credit facility in a maximum principal amount of US$125 million available to be borrowed by Civeo Canada after the effectiveness of the First Amendment (July 17, 2015) and (ii) a new term loan facility in the amount of US$325 million to be borrowed by Civeo Canada on the date of the effectiveness of the First Amendment;</w:t>
      </w:r>
    </w:p>
    <w:p>
      <w:pPr>
        <w:spacing w:after="0" w:line="146"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for the partial prepayment of the existing U.S. term loan under the Credit Facility in the aggregate principal amount of US$725 million and the reduction of the aggregate U.S. revolving credit facility to a maximum principal amount of US$50 million;</w:t>
      </w:r>
    </w:p>
    <w:p>
      <w:pPr>
        <w:spacing w:after="0" w:line="170"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 the interest rate margin by 0.25% within existing levels of total leverage and add two additional levels to the total leverage-based grid such that the interest rates for the loans range from LIBOR +2.0% to LIBOR +4.0% and increase the undrawn commitment fee to range from 0.45% to 0.90% based on total leverage;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certain changes to the maximum leverage ratio financial covenant;</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certain changes to the application of prepayments and amortization schedules to reflect the new term loan facility and the prepayment of the U.S. term loans;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Credit Facility.</w:t>
      </w:r>
    </w:p>
    <w:p>
      <w:pPr>
        <w:spacing w:after="0" w:line="200" w:lineRule="exact"/>
        <w:rPr>
          <w:sz w:val="20"/>
          <w:szCs w:val="20"/>
          <w:color w:val="auto"/>
        </w:rPr>
      </w:pPr>
    </w:p>
    <w:p>
      <w:pPr>
        <w:spacing w:after="0" w:line="24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a result of the amendment, we recognized a loss during the third quarter 2015 of approximately $1.5 million related to unamortized debt issuance costs, which is included in Loss on extinguishment of debt on the accompanying consolidated statements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18, 2016, the Second Amendment to the Credit Facility became effective, which allowed us the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Join Civeo Management LLC, an indirect wholly owned subsidiary of the Company, as a co-borrower under the US$50 million U.S. revolving credit facility under the Amended Credit Facility;</w:t>
      </w:r>
    </w:p>
    <w:p>
      <w:pPr>
        <w:spacing w:after="0" w:line="170"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Provide for the partial prepayment of the U.S. term loan under the Amended Credit Facility in the aggregate principal amount of US$25 million and the reduction by US$25 million of the aggregate revolving loan commitments under the Canadian revolving credit facility under the Amended Credit Facility, which was incurred in connection with the First Amendment to the Credit Facility, to a maximum principal amount of US$100 million;</w:t>
      </w:r>
    </w:p>
    <w:p>
      <w:pPr>
        <w:spacing w:after="0" w:line="146" w:lineRule="exact"/>
        <w:rPr>
          <w:rFonts w:ascii="Arial" w:cs="Arial" w:eastAsia="Arial" w:hAnsi="Arial"/>
          <w:sz w:val="16"/>
          <w:szCs w:val="16"/>
          <w:color w:val="auto"/>
        </w:rPr>
      </w:pPr>
    </w:p>
    <w:p>
      <w:pPr>
        <w:ind w:left="660" w:right="120" w:hanging="328"/>
        <w:spacing w:after="0" w:line="31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Increase the interest rate margin by 0.25% when the leverage ratio is less than 1.50x (by deleting the lowest level in the leverage-based grid) and adding two additional levels to the total leverage-based grid such that the interest rates for the loans range from LIBOR +2.25% to LIBOR +5.00%, and increase the undrawn commitment fee from a range of 0.45% to 0.90% to a range of 0.51% to 1.13% based on total leverage;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9" w:name="page110"/>
    <w:bookmarkEnd w:id="109"/>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certain changes to the maximum leverage ratio financial covenant, as follows:</w:t>
      </w:r>
    </w:p>
    <w:p>
      <w:pPr>
        <w:spacing w:after="0" w:line="235" w:lineRule="exact"/>
        <w:rPr>
          <w:sz w:val="20"/>
          <w:szCs w:val="20"/>
          <w:color w:val="auto"/>
        </w:rPr>
      </w:pPr>
    </w:p>
    <w:tbl>
      <w:tblPr>
        <w:tblLayout w:type="fixed"/>
        <w:tblInd w:w="2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gridSpan w:val="3"/>
          </w:tcPr>
          <w:p>
            <w:pPr>
              <w:ind w:left="1360"/>
              <w:spacing w:after="0"/>
              <w:rPr>
                <w:sz w:val="20"/>
                <w:szCs w:val="20"/>
                <w:color w:val="auto"/>
              </w:rPr>
            </w:pPr>
            <w:r>
              <w:rPr>
                <w:rFonts w:ascii="Arial" w:cs="Arial" w:eastAsia="Arial" w:hAnsi="Arial"/>
                <w:sz w:val="18"/>
                <w:szCs w:val="18"/>
                <w:b w:val="1"/>
                <w:bCs w:val="1"/>
                <w:color w:val="auto"/>
              </w:rPr>
              <w:t>Period Ended</w:t>
            </w:r>
          </w:p>
        </w:tc>
        <w:tc>
          <w:tcPr>
            <w:tcW w:w="31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3"/>
              </w:rPr>
              <w:t>Maximum Leverage Ratio</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4.00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4.25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2016</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2016</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5.50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5.50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2017</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2017</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2017</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5.00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5.00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2018</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4.75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2018</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3.75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2018 &amp; thereafter</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3.50 : 1.00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60" w:right="40" w:hanging="328"/>
        <w:spacing w:after="0" w:line="27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Add a provision for a mandatory prepayment of the revolving credit facilities under the Amended Credit Facility in the event the Company and its subsidiaries hold an aggregate amount of cash exceeding US$40 million for a period of more than three consecutive business days, such mandatory prepayment to be made within two business days in an amount equal to the lesser of (a) an amount sufficient to reduce the aggregate amount of cash and permitted investments on hand at the Company and its subsidiaries to less than US$40 million or (b) an amount sufficient to repay all of the outstanding commitments under the revolving credit facilities under the Amended Credit Facility; and</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Credit Facility.</w:t>
      </w:r>
    </w:p>
    <w:p>
      <w:pPr>
        <w:spacing w:after="0" w:line="2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5.00%, or a base rate plus 1.25% to 4.00%, in each case based on a ratio of our total leverage to EBITDA (as defined in the Amended Credit Facility). Canadian dollar amounts outstanding under the Amended Credit Facility bear interest at a variable rate equal to CDOR plus a margin of 2.25% to 5.00%, or a base rate plus a margin of 1.25% to 4.00%, in each case based on a ratio of our consolidated total leverage to EBITDA (as defined in the Amended Credit Facility). Australian dollar amounts outstanding under the Amended Credit Facility bear interest at a variable rate equal to BBSY plus a margin of 2.25% to 5.00%, based on a ratio of our consolidated total leverage to EBITDA (as defined in the Amended Credit Facility).</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our maximum leverage ratio, defined as the ratio of total debt to consolidated EBITDA, of no greater than 4.0 to 1.0 (as of December 31, 2015). As noted above, the permitted level of the maximum leverage ratio changes over time. Each of the factors considered in the calculations of these ratios are defined in the Amended Credit Facility. EBITDA and consolidated interest, as defined, exclude goodwill and asset impairments, debt discount amortization and other non-cash charges. We were in compliance with these covenants as of December 31, 2015.</w:t>
      </w:r>
    </w:p>
    <w:p>
      <w:pPr>
        <w:spacing w:after="0" w:line="179"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As of December 31, 2015 we have 15 lenders in our Amended Credit Facility with commitments ranging from $1.6 million to $143.2 million. As of December 31, 2015, we had outstanding letters of credit of $0.7 million under the U.S facility and $4.4 million under the Canadian facility.</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Borrowings under the Amended Credit Facility are secured by a pledge of substantially all of our assets and the assets of our subsidiaries. Obligations under the Amended Credit Facility are guaranteed by our significant subsidiaries.</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to the Amended Credit Facility, we have an A$5 million bank guarantee facility, which matures March 31, 2016. There were no borrowings or letters of credit outstanding, but we had bank guarantees of A$1.3 million under this facility outstanding as of December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PLANS</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sponsor defined contribution plans. Participation in these plans is available to substantially all employees. We recognized expense of $9.6 million, $16.3 million and $18.6 million, respectively, related to matching contributions under our various defined contribution plans during the years ended December 31, 2015,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 Maximum for 2015 - $12,685).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$24,930 in 2015 as set out in the Canadian Tax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Retirement Savings Plan</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Australian affiliate contributes to various defined contribution plans for its employees in accordance with legislation governing the calculation of the Superannuation Guarantee Surcharge (SGC). SGC is contributed by the employer at a rate of 9.5% of the base salary of an employee, capped at the legislated maximum contribution base which is indexed annually.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 defined contribution plan is a post-employment benefit plan under which an entity pays fixed contributions into a separate entity and will have no legal or constructive obligation to pay further amounts. Our Australian affiliate makes no investment decisions on behalf of the employee and has no obligations other than to remit the defined contributions to the plan selected by each individual employee.</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Obligations for contributions to defined contribution plans are recognized as an employee benefit expense in profit or loss in the periods during which services are rendered by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Retirement Savings Plan</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20% per year for each of the employee’s first five years of service and then are immediately vested thereafter.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11. ASSET RETIREMENT OBLIGATIONS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AROs at December 31, 2015 and 2014 were (in thousands):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17,299</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Less: Asset retirement obligations due within one year*</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asset retirement obligations</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17,299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Classified as a current liability on the consolidated balance sheets, under the caption “Other accruals.”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expense related to the ARO was $1.3 million, $0.3 million and $0.3 million in 2015, 2014 and 2013,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years ended December 31, 2015, 2014 and 2013, our ARO changed as follows (in thousands):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21,610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Accretion of discount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New obligations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Change in estimates of existing obligations</w:t>
            </w:r>
          </w:p>
        </w:tc>
        <w:tc>
          <w:tcPr>
            <w:tcW w:w="10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(2,366)</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14,838</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obligations</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(3,186)</w:t>
            </w: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r>
      <w:tr>
        <w:trPr>
          <w:trHeight w:val="25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17,299</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21,610</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During 2014, our estimates of existing obligations increased by $14.8 million. The change in estimate was the result of acceleration of the timing of estimated expenditures, due to new information received during 2014 and higher expected expenditures for remediation, as a result of current estimates of costs expected to be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Company’s operations are conducted through its various subsidiaries in a number of countries throughout the world. The Company has provided for income taxes based upon the tax laws and rates in the countries in which operations are conducted and income is earned. For the year ended December 31, 2015, Civeo Canada is the public parent registered under the laws of British Columbia, Canada. For the years ended December 31, 2014, and December 31, 2013, Civeo US, a Delaware corporation, was the public parent registered in the United States.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12" w:name="page113"/>
    <w:bookmarkEnd w:id="112"/>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Pre-tax income (loss) for the years ended December 31, 2015, 2014 and 2013 consisted of the following (in thousands):</w:t>
      </w:r>
    </w:p>
    <w:p>
      <w:pPr>
        <w:spacing w:after="0" w:line="244"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Canada operations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205,408</w:t>
            </w: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Foreign operations</w:t>
            </w: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(90,062)</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(275,792)</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33,960</w:t>
            </w: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(163,753)</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(156,283)</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the income tax provision (benefit) for the years ended December 31, 2015, 2014 and 2013 consisted of the following (in thousands):</w:t>
      </w:r>
    </w:p>
    <w:p>
      <w:pPr>
        <w:spacing w:after="0" w:line="244"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Canada</w:t>
            </w:r>
          </w:p>
        </w:tc>
        <w:tc>
          <w:tcPr>
            <w:tcW w:w="23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27,046</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27,046</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44,448</w:t>
            </w: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Deferred:</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23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(2,707)</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Foreign</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(31,468)</w:t>
            </w:r>
          </w:p>
        </w:tc>
        <w:tc>
          <w:tcPr>
            <w:tcW w:w="10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(34,175)</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238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w:t>
            </w:r>
          </w:p>
        </w:tc>
        <w:tc>
          <w:tcPr>
            <w:tcW w:w="1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(33,089)</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31,379</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income tax provision (benefit) differs from an amount computed at Canadian statutory rates for the year ended December 31, 2015 and at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statutory rates for the years ended December 31, 2014 and 2013 (in thousands)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7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Federal tax provision (benefit) at statutory</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(44,213)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(54,699)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83,778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20"/>
                <w:szCs w:val="20"/>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Effect of foreign income tax, net</w:t>
            </w:r>
          </w:p>
        </w:tc>
        <w:tc>
          <w:tcPr>
            <w:tcW w:w="320" w:type="dxa"/>
            <w:vAlign w:val="bottom"/>
          </w:tcPr>
          <w:p>
            <w:pPr>
              <w:spacing w:after="0"/>
              <w:rPr>
                <w:sz w:val="18"/>
                <w:szCs w:val="18"/>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(15,088)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(10,599)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(27,051)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11,533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19,798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11,189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51,369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18"/>
                <w:szCs w:val="18"/>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Tax on future unremitted earnings</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(25,306)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26,077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Tax effects of restructuring</w:t>
            </w:r>
          </w:p>
        </w:tc>
        <w:tc>
          <w:tcPr>
            <w:tcW w:w="320" w:type="dxa"/>
            <w:vAlign w:val="bottom"/>
          </w:tcPr>
          <w:p>
            <w:pPr>
              <w:spacing w:after="0"/>
              <w:rPr>
                <w:sz w:val="18"/>
                <w:szCs w:val="18"/>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17,600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5"/>
              </w:rPr>
              <w:t>Deemed income from foreign subsidiaries</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4,190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Enacted tax rate change</w:t>
            </w:r>
          </w:p>
        </w:tc>
        <w:tc>
          <w:tcPr>
            <w:tcW w:w="320" w:type="dxa"/>
            <w:vAlign w:val="bottom"/>
          </w:tcPr>
          <w:p>
            <w:pPr>
              <w:spacing w:after="0"/>
              <w:rPr>
                <w:sz w:val="18"/>
                <w:szCs w:val="18"/>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3,332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3,674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180" w:type="dxa"/>
            <w:vAlign w:val="bottom"/>
          </w:tcPr>
          <w:p>
            <w:pPr>
              <w:ind w:left="180"/>
              <w:spacing w:after="0"/>
              <w:rPr>
                <w:sz w:val="20"/>
                <w:szCs w:val="20"/>
                <w:color w:val="auto"/>
              </w:rPr>
            </w:pPr>
            <w:r>
              <w:rPr>
                <w:rFonts w:ascii="Arial" w:cs="Arial" w:eastAsia="Arial" w:hAnsi="Arial"/>
                <w:sz w:val="18"/>
                <w:szCs w:val="18"/>
                <w:color w:val="auto"/>
              </w:rPr>
              <w:t>Net income tax provision (benefit)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(33,089)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31,379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50"/>
              <w:spacing w:after="0"/>
              <w:rPr>
                <w:sz w:val="20"/>
                <w:szCs w:val="20"/>
                <w:color w:val="auto"/>
              </w:rPr>
            </w:pPr>
            <w:r>
              <w:rPr>
                <w:rFonts w:ascii="Arial" w:cs="Arial" w:eastAsia="Arial" w:hAnsi="Arial"/>
                <w:sz w:val="18"/>
                <w:szCs w:val="18"/>
                <w:color w:val="auto"/>
              </w:rPr>
              <w:t>56,056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21"/>
                <w:szCs w:val="21"/>
                <w:color w:val="auto"/>
              </w:rPr>
            </w:pPr>
          </w:p>
        </w:tc>
      </w:tr>
      <w:tr>
        <w:trPr>
          <w:trHeight w:val="20"/>
        </w:trPr>
        <w:tc>
          <w:tcPr>
            <w:tcW w:w="3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2"/>
        </w:trPr>
        <w:tc>
          <w:tcPr>
            <w:tcW w:w="3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Deferred Tax Liabilities and Assets. </w:t>
      </w:r>
      <w:r>
        <w:rPr>
          <w:rFonts w:ascii="Arial" w:cs="Arial" w:eastAsia="Arial" w:hAnsi="Arial"/>
          <w:sz w:val="18"/>
          <w:szCs w:val="18"/>
          <w:color w:val="auto"/>
        </w:rPr>
        <w:t>The significant items giving rise to the deferred tax assets and liabilities as of December 31, 2015 and 2014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12,528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5,540</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tax credits</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58,906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1,347</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2,074</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Deductible goodwill and other intangibles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43,857</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45,858</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reserves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4,329</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4,491</w:t>
            </w:r>
          </w:p>
        </w:tc>
      </w:tr>
      <w:tr>
        <w:trPr>
          <w:trHeight w:val="216"/>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131,746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66,117</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(115,087)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(49,523)</w:t>
            </w:r>
          </w:p>
        </w:tc>
      </w:tr>
      <w:tr>
        <w:trPr>
          <w:trHeight w:val="20"/>
        </w:trPr>
        <w:tc>
          <w:tcPr>
            <w:tcW w:w="5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16,659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16,594</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(41,312)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(60,558)</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(26,044)</w:t>
            </w:r>
          </w:p>
        </w:tc>
      </w:tr>
      <w:tr>
        <w:trPr>
          <w:trHeight w:val="20"/>
        </w:trPr>
        <w:tc>
          <w:tcPr>
            <w:tcW w:w="5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(42,050)</w:t>
            </w: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(86,602)</w:t>
            </w:r>
          </w:p>
        </w:tc>
      </w:tr>
      <w:tr>
        <w:trPr>
          <w:trHeight w:val="250"/>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adopted the provisions of ASU 2015-17 prospectively to classify all deferred tax assets and liabilities as noncurrent. Our deferred tax balance based on net non-current items as of December 31, 2015 and net current items and net non-current items as of December 31, 2014, as well as our deferred tax balance had we adopted ASU 2015-17 retroactively as of December 31, 2014, are as follows (in thousands):</w:t>
      </w:r>
    </w:p>
    <w:p>
      <w:pPr>
        <w:spacing w:after="0" w:line="17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2014 (as</w:t>
            </w:r>
          </w:p>
        </w:tc>
        <w:tc>
          <w:tcPr>
            <w:tcW w:w="1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2014 (under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reported)</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ASU 2015-17)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Current deferred tax liability</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(21,452)</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asset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2,324</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9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(25,391)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(55,500)</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(70,008)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(25,391)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NOL and Tax Credit Carryforwards. </w:t>
      </w:r>
      <w:r>
        <w:rPr>
          <w:rFonts w:ascii="Arial" w:cs="Arial" w:eastAsia="Arial" w:hAnsi="Arial"/>
          <w:sz w:val="18"/>
          <w:szCs w:val="18"/>
          <w:color w:val="auto"/>
        </w:rPr>
        <w:t>The following table summarizes net operating loss (NOL) and tax credit carryforwards at December 31, 2015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c>
          <w:tcPr>
            <w:tcW w:w="3660" w:type="dxa"/>
            <w:vAlign w:val="bottom"/>
          </w:tcPr>
          <w:p>
            <w:pPr>
              <w:ind w:left="1140"/>
              <w:spacing w:after="0"/>
              <w:rPr>
                <w:sz w:val="20"/>
                <w:szCs w:val="20"/>
                <w:color w:val="auto"/>
              </w:rPr>
            </w:pPr>
            <w:r>
              <w:rPr>
                <w:rFonts w:ascii="Arial" w:cs="Arial" w:eastAsia="Arial" w:hAnsi="Arial"/>
                <w:sz w:val="18"/>
                <w:szCs w:val="18"/>
                <w:b w:val="1"/>
                <w:bCs w:val="1"/>
                <w:color w:val="auto"/>
              </w:rPr>
              <w:t>Expiration Period</w:t>
            </w: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18"/>
                <w:szCs w:val="18"/>
                <w:color w:val="auto"/>
              </w:rPr>
            </w:pP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Canada</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18,853</w:t>
            </w:r>
          </w:p>
        </w:tc>
        <w:tc>
          <w:tcPr>
            <w:tcW w:w="3660" w:type="dxa"/>
            <w:vAlign w:val="bottom"/>
          </w:tcPr>
          <w:p>
            <w:pPr>
              <w:spacing w:after="0"/>
              <w:rPr>
                <w:sz w:val="20"/>
                <w:szCs w:val="20"/>
                <w:color w:val="auto"/>
              </w:rPr>
            </w:pPr>
            <w:r>
              <w:rPr>
                <w:rFonts w:ascii="Arial" w:cs="Arial" w:eastAsia="Arial" w:hAnsi="Arial"/>
                <w:sz w:val="18"/>
                <w:szCs w:val="18"/>
                <w:color w:val="auto"/>
              </w:rPr>
              <w:t>Begins to expire in 2035</w:t>
            </w:r>
          </w:p>
        </w:tc>
      </w:tr>
      <w:tr>
        <w:trPr>
          <w:trHeight w:val="216"/>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20,275</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Does not expire</w:t>
            </w: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U.S. – Federal</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 State</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37,530</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Begins to expire in 2022</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Foreign tax credit carryforwards: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58,906</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Begins to expire in 2025</w:t>
            </w: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Change in Valuation Allowance. </w:t>
      </w:r>
      <w:r>
        <w:rPr>
          <w:rFonts w:ascii="Arial" w:cs="Arial" w:eastAsia="Arial" w:hAnsi="Arial"/>
          <w:sz w:val="18"/>
          <w:szCs w:val="18"/>
          <w:color w:val="auto"/>
        </w:rPr>
        <w:t>Realization of our deferred tax assets is dependent upon, among other things, our ability to generate taxable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appropriate character in the future.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valuation allowance for the years ended December 31, 2015 and 2014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Foreign Tax</w:t>
            </w:r>
          </w:p>
        </w:tc>
        <w:tc>
          <w:tcPr>
            <w:tcW w:w="10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Deferred 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Credits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Assets</w:t>
            </w:r>
          </w:p>
        </w:tc>
        <w:tc>
          <w:tcPr>
            <w:tcW w:w="22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(49,523)</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Change in income tax provision</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(9,834)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effects of restructuring</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change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as of December 31, 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(58,906)</w:t>
            </w:r>
          </w:p>
        </w:tc>
        <w:tc>
          <w:tcPr>
            <w:tcW w:w="3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(54,299)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(1,882)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(115,087)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internal restructuring, a full valuation allowance was placed against excess foreign tax credits totaling $58.9 million.</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Indefinite Reinvestment of Earnings. </w:t>
      </w:r>
      <w:r>
        <w:rPr>
          <w:rFonts w:ascii="Arial" w:cs="Arial" w:eastAsia="Arial" w:hAnsi="Arial"/>
          <w:sz w:val="18"/>
          <w:szCs w:val="18"/>
          <w:color w:val="auto"/>
        </w:rPr>
        <w:t>During the fourth quarter of 2014, we reevaluated our intent to indefinitely reinvest earnings of subsidiary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foreign to the US. Due to our expectations of utilizing our existing and future cash balances to reduce our aggregate debt balances during 2015, we recognized a deferred tax liability of $25.3 million related to a portion of our undistributed foreign earnings. During 2015, due to a change in expectations and legal entity structure, we reversed the deferred tax liability.</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At December 31, 2015, due to the internal restructuring in connection with the Redomicile Transaction, we have no undistributed earnings of foreign subsidiaries subject to income tax in Canada.</w:t>
      </w:r>
    </w:p>
    <w:p>
      <w:pPr>
        <w:spacing w:after="0" w:line="17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b w:val="1"/>
          <w:bCs w:val="1"/>
          <w:i w:val="1"/>
          <w:iCs w:val="1"/>
          <w:color w:val="auto"/>
        </w:rPr>
        <w:t xml:space="preserve">Unrecognized Tax Benefits. </w:t>
      </w:r>
      <w:r>
        <w:rPr>
          <w:rFonts w:ascii="Arial" w:cs="Arial" w:eastAsia="Arial" w:hAnsi="Arial"/>
          <w:sz w:val="16"/>
          <w:szCs w:val="16"/>
          <w:color w:val="auto"/>
        </w:rPr>
        <w:t>We file tax returns in the jurisdictions in which they are required. All of these returns are subject to examination or audit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possible 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14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Canadian federal tax returns subsequent to 2008 are subject to audit by the Canada Revenue Agency. Our Australian subsidiary’s federal tax returns subsequent to 2010 are subject to audit by the Australian Taxation Office. Our US subsidiary’s federal tax returns from 2014 are subject to audit by the US Internal Revenue Service.</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total amount of unrecognized tax benefits as of December 31, 2015 and 2014 was $0.7 million and $0.7 million, respectively. The unrecognized tax benefits, if recognized, would affect the effective tax rate. We accrue interest and penalties related to unrecognized tax benefits as a component of our provision for income taxes. As of December 31, 2015 and 2014, we had accrued $0.3 million and $0.3 million, respectively, of interest expense and penalties.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3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Reductions for settlements</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Lapse of the applicable statute of limitations</w:t>
            </w:r>
          </w:p>
        </w:tc>
        <w:tc>
          <w:tcPr>
            <w:tcW w:w="1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679</w:t>
            </w:r>
          </w:p>
        </w:tc>
        <w:tc>
          <w:tcPr>
            <w:tcW w:w="1320" w:type="dxa"/>
            <w:vAlign w:val="bottom"/>
            <w:gridSpan w:val="2"/>
          </w:tcPr>
          <w:p>
            <w:pPr>
              <w:jc w:val="right"/>
              <w:ind w:right="94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679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679</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During the third quarter of 2015, management determined that, based upon ongoing communications with the Australian taxing authority and status of the current examination, an uncertain tax liability of approximately $8.1 million related to tax positions taken on previously filed Australian returns should be recorded. In the fourth quarter of 2015, the examination was concluded in our favor. As a result, in the fourth quarter, we have reversed the uncertain tax liability.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It is reasonably possible that the amount of unrecognized tax benefits will change during the next twelve months due to the closing of the statute of limitations and that change, if it were to occur, could have a favorable or unfavorable impact on our results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lease a portion of our equipment, office space, computer equipment, automobiles and trucks under leases which expire at various dates.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w w:val="94"/>
              </w:rPr>
              <w:t>Minimum future operating lease obligations in effect at December 31, 2015, were as follows (in thousands):</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7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Rental expense under operating leases was $7.6 million, $8.4 million and $7.1 million for the years ended December 31, 2015, 2014 and 2013, respectively.</w:t>
      </w:r>
    </w:p>
    <w:p>
      <w:pPr>
        <w:spacing w:after="0" w:line="170" w:lineRule="exact"/>
        <w:rPr>
          <w:sz w:val="20"/>
          <w:szCs w:val="20"/>
          <w:color w:val="auto"/>
        </w:rPr>
      </w:pPr>
    </w:p>
    <w:p>
      <w:pPr>
        <w:ind w:right="44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conjunction with, and effective as of, the Spin-Off, we entered into an Indemnification and Release Agreement with Oil States. This agreement governs the treatment between Oil States and us of all aspects relating to indemnification, insurance, litigation responsibility and management, and litigation document sharing and cooperation arising in connection with the Spin-Off. Generally, the agreement provides for cross-indemnities principally designed to place financial responsibility for the obligations and liabilities of our business with us and financial responsibility for the obligations and liabilities of Oil States’ business with Oil States. The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We evaluated the impact of the indemnifications given and the Civeo indemnifications received as of the Spin-Off date and concluded those fair values were immaterial.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accumulated other comprehensive loss increased $167.8 million from $198.5 million at December 31, 2014 to $366.3 million at December 31, 2015, as a result of foreign currency exchange rate changes. Changes in the other comprehensive loss during 2015 were primarily driven by the Australian dollar and Canadian dollar decreasing in value compared to the U.S. dollar. Excluding intercompany balances, our Canadian dollar and Australian dollar functional currency net assets totaled approximately C$0.2 billion and A$0.5 billion, respectively, at December 31, 2015.</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BASED COMPENSATION</w:t>
      </w:r>
    </w:p>
    <w:p>
      <w:pPr>
        <w:spacing w:after="0" w:line="229"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Prior to the Spin-Off, certain employees of Civeo participated in Oil States’ Equity Participation Plan (the Oil States Plan). The expense associated with these employees is reflected in the accompanying consolidated statements of operations. Effective May 30, 2014, our employees and non-employee directors began participating in the 2014 Equity Participation Plan of Civeo Corporation (the Civeo Plan). The Civeo Plan authorizes the Board of Directors to grant options, awards of restricted shares, performance awards, dividend equivalents, awards of deferred shares, and share payments to our employees and non-employee directors. No more than 4.0 million Civeo common shares may be awarded under the Civeo Plan.</w:t>
      </w:r>
    </w:p>
    <w:p>
      <w:pPr>
        <w:spacing w:after="0" w:line="17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connection with the Spin-Off, stock based compensation awards granted under the Oil States Plan and held by Civeo grantees as of May 30, 2014 were replaced with substitute Civeo awards. Stock options were replaced with options to purchase Civeo common shares. Unvested restricted stock awards were replaced with substitute Civeo restricted share awards. Unvested deferred stock awards were replaced with substitute Civeo deferred share awards. Additionally, phantom shares granted under the Canadian Long-Term Incentive Plan were converted to units that entitle the recipient to a lump sum cash payment equal to the fair market value of a Civeo common share on the respective vesting date. These replacements were intended to preserve the intrinsic value of the awards as of May 30, 2014. The substitution of these awards did not cause us to recognize incremental compensation expense as an equitable adjustment was required to be made as a result of the Spin-Off.</w:t>
      </w:r>
    </w:p>
    <w:p>
      <w:pPr>
        <w:spacing w:after="0" w:line="17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Upon effectiveness of the Redomicile Transaction, Civeo Canada assumed the Civeo US employee equity plans and related award agreements, including all options and awards issued or granted under such plans, as well as certain Civeo US benefit plans and agreements.</w:t>
      </w:r>
    </w:p>
    <w:p>
      <w:pPr>
        <w:spacing w:after="0" w:line="170"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connection with the assumption of these plans, each plan was amended or deemed amended to provide that, as of the effectiveness of the Redomicile Transaction, the plans would include provisions, as applicable, reflecting the Redomicile Transaction and its effects, including changes made to reflect the fact that Civeo Canada common shares will be issued to satisfy awards issued or granted under such plan. Additionally, the 2014 Equity Participation Plan of Civeo Corporation was further amended to comply with applicable Canadian law, including with respect to grants to Canadian employees.</w:t>
      </w:r>
    </w:p>
    <w:p>
      <w:pPr>
        <w:spacing w:after="0" w:line="15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Share-based compensation expense recognized in the years ended December 31, 2015, 2014 and 2013 totaled $5.6 million, $8.9 million and $6.4 million, respectively. Share-based compensation expense is reflected in Selling, general and administrative (SG&amp;A) expense in our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Common Shares</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was assumed to be zero since they did not pay dividends and had no plans to do so prior to the Spin-Off. The expected market price volatility of Oil States’ common stock was based on an estimate made by them that considers the historical and implied volatility of its common stock as well as a peer group of companies over a time period equal to the expected term of the option. The expected life of the options awarded in 2014 and 2013 was based on a formula considering the vesting period, term of the options awarded and past experience. No options were awarded in 2015. Information for periods prior to the Spin-Off is based on stock option awards for Oil States’ common stock.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2014 (prior</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 Spin-Off)</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0"/>
        </w:trPr>
        <w:tc>
          <w:tcPr>
            <w:tcW w:w="16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Risk-free weighted interest rate</w:t>
            </w:r>
          </w:p>
        </w:tc>
        <w:tc>
          <w:tcPr>
            <w:tcW w:w="25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7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4340" w:type="dxa"/>
            <w:vAlign w:val="bottom"/>
            <w:gridSpan w:val="3"/>
          </w:tcPr>
          <w:p>
            <w:pPr>
              <w:jc w:val="right"/>
              <w:ind w:right="260"/>
              <w:spacing w:after="0"/>
              <w:rPr>
                <w:sz w:val="20"/>
                <w:szCs w:val="20"/>
                <w:color w:val="auto"/>
              </w:rPr>
            </w:pPr>
            <w:r>
              <w:rPr>
                <w:rFonts w:ascii="Arial" w:cs="Arial" w:eastAsia="Arial" w:hAnsi="Arial"/>
                <w:sz w:val="18"/>
                <w:szCs w:val="18"/>
                <w:color w:val="auto"/>
              </w:rPr>
              <w:t>4.1</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18"/>
                <w:szCs w:val="18"/>
                <w:color w:val="auto"/>
              </w:rPr>
            </w:pPr>
          </w:p>
        </w:tc>
      </w:tr>
      <w:tr>
        <w:trPr>
          <w:trHeight w:val="675"/>
        </w:trPr>
        <w:tc>
          <w:tcPr>
            <w:tcW w:w="1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60" w:type="dxa"/>
            <w:vAlign w:val="bottom"/>
          </w:tcPr>
          <w:p>
            <w:pPr>
              <w:jc w:val="right"/>
              <w:ind w:right="1370"/>
              <w:spacing w:after="0"/>
              <w:rPr>
                <w:sz w:val="20"/>
                <w:szCs w:val="20"/>
                <w:color w:val="auto"/>
              </w:rPr>
            </w:pPr>
            <w:r>
              <w:rPr>
                <w:rFonts w:ascii="Arial" w:cs="Arial" w:eastAsia="Arial" w:hAnsi="Arial"/>
                <w:sz w:val="18"/>
                <w:szCs w:val="18"/>
                <w:color w:val="auto"/>
              </w:rPr>
              <w:t>112</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5"/>
        </w:trPr>
        <w:tc>
          <w:tcPr>
            <w:tcW w:w="16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162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25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 total of 120,799 Oil States stock options were converted to 554,738 Civeo stock options at May 30, 2014, in connection with the Spin-Off. As such, no grant, exercise or cancellation activity occurred on Civeo stock option awards prior to May 30, 2014. The following table presents the changes in stock options outstanding and related information for our employees during the year ended December 31, 2015 and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Price Per</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May 30,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554,738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Forfeited /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16.43</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Forfeited /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16.43</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at December 31, 2015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390,334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327,201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intrinsic value of options exercised by our employees during 2015 and 2014 for periods subsequent to the Spin-Off was less than $100,000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was $0.2 million, respectively. The total intrinsic value of options exercised by our employees during 2014 for periods prior to the Spin-Off and 2013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and $8.2 million, respectively. Oil States received all cash from option exercises during 2014 for periods prior to the Spin-Off and 2013. The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realized for the tax deduction from options exercised during 2015 and 2014 for periods subsequent to the Spin-Off totaled less than $100,000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zero, respectively. The tax benefits realized by Oil States for the tax deduction from stock options exercised during 2014 for periods prior to the Spin-Off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 totaled $0.2 million and $0.6 million, respectively.</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At December 31, 2015, unrecognized compensation cost related to options was $0.2 million, which is expected to be recognized over a weighted average period of 1.7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for outstanding options of our employees at December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6"/>
          </w:tcPr>
          <w:p>
            <w:pPr>
              <w:ind w:left="92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4"/>
              </w:rPr>
              <w:t>Number</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Outstanding as</w:t>
            </w:r>
          </w:p>
        </w:tc>
        <w:tc>
          <w:tcPr>
            <w:tcW w:w="14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as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December 31,</w:t>
            </w:r>
          </w:p>
        </w:tc>
        <w:tc>
          <w:tcPr>
            <w:tcW w:w="1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Range of Exercise Prices</w:t>
            </w:r>
          </w:p>
        </w:tc>
        <w:tc>
          <w:tcPr>
            <w:tcW w:w="26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8.21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174,508</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16.43</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93,561</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5.13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16.43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93,561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17.48</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51,087</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18.43</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34,441</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6.13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18.43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25,257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21.87</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rPr>
              <w:t xml:space="preserve">8.21  </w:t>
            </w:r>
            <w:r>
              <w:rPr>
                <w:rFonts w:ascii="Arial" w:cs="Arial" w:eastAsia="Arial" w:hAnsi="Arial"/>
                <w:sz w:val="18"/>
                <w:szCs w:val="18"/>
                <w:color w:val="auto"/>
              </w:rPr>
              <w:t>-</w:t>
            </w:r>
            <w:r>
              <w:rPr>
                <w:rFonts w:ascii="Arial" w:cs="Arial" w:eastAsia="Arial" w:hAnsi="Arial"/>
                <w:sz w:val="18"/>
                <w:szCs w:val="18"/>
                <w:b w:val="1"/>
                <w:bCs w:val="1"/>
                <w:color w:val="auto"/>
              </w:rPr>
              <w:t xml:space="preserve">  21.87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390,334</w:t>
            </w:r>
          </w:p>
        </w:tc>
        <w:tc>
          <w:tcPr>
            <w:tcW w:w="10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3.53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13.58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327,201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Awards / Deferred Share Awards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 total of 94,936 unvested Oil States restricted stock and deferred stock awards were converted to 435,999 unvested Civeo restricted stock awards at May 30, 2014, in connection with the Spin-Off. As such, no grant, exercise or cancellation activity occurred on Civeo restricted stock awards prior to May 30, 2014. Included in this total were 20,000 Oil States performance based restricted stock awards, which vested in an amount that depended on Oil States’ achievement of specified performance objectives. In conjunction with the Spin-Off transaction, the awards were cancelled and the holder was granted 91,848 unvested Civeo restricted share awards, of which half vested in February 2015 and the other half vested in February 2016.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the changes in restricted share and deferred share awards outstanding and related information for our employees during the year ended December 31, 2015 and 2014:</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5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576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Number of Awards</w:t>
            </w:r>
          </w:p>
        </w:tc>
        <w:tc>
          <w:tcPr>
            <w:tcW w:w="12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May 30, 2014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435,999</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188,005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21.14</w:t>
            </w: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(19,358)</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13.87</w:t>
            </w: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(27,764)</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18.75</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December 31, 2014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576,882</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1,208,642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(248,215)</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w:t>
            </w: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(223,745)</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7.54</w:t>
            </w: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Nonvested shares at December 31, 2015Total amortizable intangible assets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1,313,564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weighted average grant date fair value per share for restricted share and deferred share awards granted during 2015 and during 2014 subsequent to the Spin-Off was $3.61 and $21.14, respectively. The weighted average grant date fair value per share for restricted stock and deferred stock awards granted in 2014 for periods prior to the Spin-Off and 2013 was $100.43 and $80.25, respectively. The total fair value of restricted share and deferred share awards vested during 2015 and 2014 for periods subsequent to the Spin-Off was $0.9 million and $0.4 million, respectively. The total fair value of restricted stock and deferred stock awards vested during 2014 for periods prior to the Spin-Off and 2013 was $2.7 million and $1.0 million, respectively. At December 31, 2015, unrecognized compensation cost related to restricted share and deferred share awards was $7.1 million, which is expected to be recognized over a weighted average period of 2.4 years.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Share Awards</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Each phantom share award is equal in value to one common share. Upon vesting, each recipient will receive a lump sum cash payment equal to the fair market value of a common share on the respective vesting date. These awards are accounted for as a liability that is remeasured at each reporting date until paid.</w:t>
      </w:r>
    </w:p>
    <w:p>
      <w:pPr>
        <w:spacing w:after="0" w:line="181"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On February 11, 2015, we granted 517,145 awards under the Civeo Plan, which vest in four equal annual installments beginning on February 11, 2016. We also granted 1,169,193 awards under the Canadian Long-Term Incentive Plan, which vest in three equal annual installments beginning on February 11, 2016. During the second quarter 2015, we granted an additional 192,876 awards under the Canadian Long-Term Incentive Plan.</w:t>
      </w:r>
    </w:p>
    <w:p>
      <w:pPr>
        <w:spacing w:after="0" w:line="166"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At May 30, 2014, in connection with the Spin-Off, a total of 123,183 awards outstanding under the Canadian Long-Term Incentive Plan were converted to 565,706 units. On May 30, 2014, we granted 4,337 phantom stock awards, all of which vest in three equal annual installments beginning on May 30, 2015.</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At December 31, 2015, the balance of the liability for the phantom share awards was $0.7 million. For the years ended December 31, 2015, 2014 and 2013, we made phantom share cash payments of $0.8 million, $3.9 million and $1.4 million, respectively. At December 31, 2015, unrecognized compensation cost related to phantom shares was $1.8 million, as remeasured at December 31, 2015, which is expected to be recognized over a weighted average period of 2.5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RELATED INFORMATION</w:t>
      </w:r>
    </w:p>
    <w:p>
      <w:pPr>
        <w:spacing w:after="0" w:line="22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Canadian, Australian and U.S., which represent our strategic focus on work force accommodations.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years ended December 31, 2015, 2014 and 2013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Less: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from</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Depreciation</w:t>
            </w: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Intersegment</w:t>
            </w: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c>
          <w:tcPr>
            <w:tcW w:w="8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customers</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(loss)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8"/>
              </w:rPr>
              <w:t>expenditures</w:t>
            </w:r>
          </w:p>
        </w:tc>
        <w:tc>
          <w:tcPr>
            <w:tcW w:w="8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Total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344,249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344,249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89,269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(73,215)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41,446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579,816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135,964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40,146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11,833</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(40,083)</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71,710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(6,888)</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6,675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517,963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517,963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152,990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(145,003)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62,451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1,071,212</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661,721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661,416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218,620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1,024,990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213,279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62,924</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(155,851)</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24,907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669,789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(86,959)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20" w:type="dxa"/>
            <w:vAlign w:val="bottom"/>
          </w:tcPr>
          <w:p>
            <w:pPr>
              <w:spacing w:after="0"/>
              <w:rPr>
                <w:sz w:val="17"/>
                <w:szCs w:val="17"/>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(55,437)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55,437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(6,661)</w:t>
            </w:r>
          </w:p>
        </w:tc>
        <w:tc>
          <w:tcPr>
            <w:tcW w:w="16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(3,270)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942,891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942,891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174,970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(142,891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1,829,161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714,136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(3,598)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710,538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85,180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190,470</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155,556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255,457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64,691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75,197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17,488</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(3,320)</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61,989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234,049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(19,800)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19,800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(2,891)</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(1,786)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1,041,104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1,041,104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167,213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259,456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291,694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2,123,237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Financial information by geographic segment for each of the three years ended December 31, 2015, 2014 and 2013, is summarized below (in thousands). Revenues in the U.S.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U.S. and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Canada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Australia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Revenues from unaffiliated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344,249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135,964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37,750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517,963</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390,623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56,935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979,977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Revenues from unaffiliated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661,416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213,279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68,196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942,891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519,777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96,120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1,362,880</w:t>
            </w: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Revenues from unaffiliated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710,538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255,457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75,109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1,041,104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198,594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1,673,705</w:t>
            </w: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5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related parties included Oil States until May 30, 2014, the effective date of the Spin-Off.</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May 27, 2014, in connection with the Spin-off, we entered into several agreements with Oil States that govern the Spin-Off and the relationship of the parties following the Spin-Off. Because the terms of these agreements were entered into in the context of a related party transaction, the terms may not be comparable to terms that would be obtained in a transaction between unaffiliated parties.</w:t>
      </w:r>
    </w:p>
    <w:p>
      <w:pPr>
        <w:spacing w:after="0" w:line="18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The Separation and Distribution Agreement between us and Oil States contains the key provisions relating to the separation of our business from Oil States and the distribution of our common stock to Oil States stockholders. The Separation and Distribution Agreement identifies the assets that were transferred or sold, liabilities that were assumed or sold and contracts that were assigned to us by Oil States or by us to Oil States in the Spin-Off and describes how these transfers, sales, assumptions and assignments occurred. Pursuant to the Separation and Distribution Agreement, on May 28, 2014, we made a cash distribution to Oil States of $750 million.</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Indemnification and Release Agreement governs the treatment of all aspects relating to indemnification, insurance, litigation responsibility and management, and litigation document sharing and cooperation. Generally, the Indemnification and Release Agreement provides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See Note 13 – Commitments and Contingencies.</w:t>
      </w:r>
    </w:p>
    <w:p>
      <w:pPr>
        <w:spacing w:after="0" w:line="18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Tax Sharing Agreement governs the respective rights, responsibilities and obligations of Oil States and us with respect to taxes and tax benefits, the filing of tax returns, the control of audits, restrictions on us to preserve the tax-free status of the Spin-Off and other tax matters.</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Employee Matters Agreement provides that each company has responsibility for its own employees and compensation plans. The agreement also contains provisions regarding share-based compensation. See Note 15 – Share Based Compensation.</w:t>
      </w:r>
    </w:p>
    <w:p>
      <w:pPr>
        <w:spacing w:after="0" w:line="17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Transition Services Agreement sets forth the terms on which Oil States provided to us, and we provided to Oil States, on a temporary basis, certain services or functions that the companies historically have shared. Transition services provided to us by Oil States included administrative, payroll, legal, human resources, data processing, financial audit support, financial transaction support, and other support services, information technology systems and various other corporate services. Transition services provided to Oil States by us included information technology systems, financial audit support, tax support and other corporate services. The agreement provided for the provision of specified transition services, generally for a period of up to nine months from the date of the Spin-Off, with a possible extension of 1 month (an aggregate of 10 months) at a predetermined fee based on estimated cost to Oil States. The Transition Services Agreement expired under the terms of the agreement on February 28, 2015. We incurred costs under the Transition Services Agreement totaling $0.3 million and $1.3 million during the years ended December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Prior to the Spin-Off, Oil States provided services to and funded certain expenditures of Civeo. The most significant of these services and expenditures were: (1) funding expenditures to settle domestic accounts payable; (2) funding and processing of domestic payroll; (3) share-based compensation; and (4) certain transaction-related expenditures. The consolidated financial statements of Civeo reflect these expenditures. During the years ended December 31, 2014 and 2013, $41.7 million and $130.2 million, respectively, of expenditures for services received from Oil States or funding for expenditures provided by Oil States were included in the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1" w:name="page122"/>
    <w:bookmarkEnd w:id="121"/>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Prior to the Spin-Off, the consolidated statements of operations also include general corporate expense allocations, which include costs incurred by Oil States for certain corporate functions such as executive management, finance, information technology, tax, internal audit, risk management, legal, human resources and treasury. During the years ended December 31, 2014 and 2013, we were allocated $2.8 million and $6.1 million, respectively, in respect of these corporate expenses which are included within selling, general and administrative expenses in the accompanying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States Net Investment</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consolidated balance sheets. The components of the change in Oil States net investment for the years ended December 31, 2014 and 2013 are as follows (in thousands):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transfers and general financing activities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(13,255)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Services received or funding for expenditures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41,725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130,159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allocations, including income tax provision (1)</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increase in Oil States net investment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32,420</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166,473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280" w:hanging="432"/>
        <w:spacing w:after="0" w:line="279" w:lineRule="auto"/>
        <w:tabs>
          <w:tab w:leader="none" w:pos="4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Corporate allocations includes the general corporate expense allocations of $2.8 million and $6.1 million for the years ended December 31, 2014 and 2013,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accordance with the Separation and Distribution Agreement, our affiliate debt with Oil States, which totaled approximately $336.8 million as of May 30, 2014, including accrued interest, was settled through a non-cash capital contribution.</w:t>
      </w:r>
    </w:p>
    <w:p>
      <w:pPr>
        <w:spacing w:after="0" w:line="16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Activity in the valuation accounts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Balance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(Net of</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at End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Recoveries)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Allowance for doubtful 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 for deferred tax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Allowance for doubtful 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 for deferred tax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Allowance for doubtful 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INFORMATION (UNAUDITED)</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quarterly financial information for 2015 and 2014 (in thousands, except per share amounts):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Second</w:t>
            </w:r>
          </w:p>
        </w:tc>
        <w:tc>
          <w:tcPr>
            <w:tcW w:w="16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Third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420"/>
              <w:spacing w:after="0" w:line="258" w:lineRule="exact"/>
              <w:rPr>
                <w:sz w:val="20"/>
                <w:szCs w:val="20"/>
                <w:color w:val="auto"/>
              </w:rPr>
            </w:pPr>
            <w:r>
              <w:rPr>
                <w:rFonts w:ascii="Arial" w:cs="Arial" w:eastAsia="Arial" w:hAnsi="Arial"/>
                <w:sz w:val="18"/>
                <w:szCs w:val="18"/>
                <w:b w:val="1"/>
                <w:bCs w:val="1"/>
                <w:color w:val="auto"/>
                <w:w w:val="96"/>
              </w:rPr>
              <w:t>Quarter</w:t>
            </w:r>
            <w:r>
              <w:rPr>
                <w:rFonts w:ascii="Arial" w:cs="Arial" w:eastAsia="Arial" w:hAnsi="Arial"/>
                <w:sz w:val="29"/>
                <w:szCs w:val="29"/>
                <w:b w:val="1"/>
                <w:bCs w:val="1"/>
                <w:color w:val="auto"/>
                <w:w w:val="96"/>
                <w:vertAlign w:val="superscript"/>
              </w:rPr>
              <w:t>(2)</w:t>
            </w:r>
          </w:p>
        </w:tc>
        <w:tc>
          <w:tcPr>
            <w:tcW w:w="160" w:type="dxa"/>
            <w:vAlign w:val="bottom"/>
          </w:tcPr>
          <w:p>
            <w:pPr>
              <w:spacing w:after="0"/>
              <w:rPr>
                <w:sz w:val="22"/>
                <w:szCs w:val="22"/>
                <w:color w:val="auto"/>
              </w:rPr>
            </w:pPr>
          </w:p>
        </w:tc>
        <w:tc>
          <w:tcPr>
            <w:tcW w:w="1300" w:type="dxa"/>
            <w:vAlign w:val="bottom"/>
            <w:gridSpan w:val="2"/>
          </w:tcPr>
          <w:p>
            <w:pPr>
              <w:jc w:val="right"/>
              <w:ind w:right="420"/>
              <w:spacing w:after="0" w:line="258" w:lineRule="exact"/>
              <w:rPr>
                <w:sz w:val="20"/>
                <w:szCs w:val="20"/>
                <w:color w:val="auto"/>
              </w:rPr>
            </w:pPr>
            <w:r>
              <w:rPr>
                <w:rFonts w:ascii="Arial" w:cs="Arial" w:eastAsia="Arial" w:hAnsi="Arial"/>
                <w:sz w:val="18"/>
                <w:szCs w:val="18"/>
                <w:b w:val="1"/>
                <w:bCs w:val="1"/>
                <w:color w:val="auto"/>
                <w:w w:val="96"/>
              </w:rPr>
              <w:t>Quarter</w:t>
            </w:r>
            <w:r>
              <w:rPr>
                <w:rFonts w:ascii="Arial" w:cs="Arial" w:eastAsia="Arial" w:hAnsi="Arial"/>
                <w:sz w:val="29"/>
                <w:szCs w:val="29"/>
                <w:b w:val="1"/>
                <w:bCs w:val="1"/>
                <w:color w:val="auto"/>
                <w:w w:val="96"/>
                <w:vertAlign w:val="superscript"/>
              </w:rPr>
              <w:t>(3)</w:t>
            </w:r>
          </w:p>
        </w:tc>
        <w:tc>
          <w:tcPr>
            <w:tcW w:w="160" w:type="dxa"/>
            <w:vAlign w:val="bottom"/>
          </w:tcPr>
          <w:p>
            <w:pPr>
              <w:spacing w:after="0"/>
              <w:rPr>
                <w:sz w:val="22"/>
                <w:szCs w:val="22"/>
                <w:color w:val="auto"/>
              </w:rPr>
            </w:pPr>
          </w:p>
        </w:tc>
        <w:tc>
          <w:tcPr>
            <w:tcW w:w="1180" w:type="dxa"/>
            <w:vAlign w:val="bottom"/>
            <w:gridSpan w:val="2"/>
          </w:tcPr>
          <w:p>
            <w:pPr>
              <w:jc w:val="right"/>
              <w:ind w:right="320"/>
              <w:spacing w:after="0" w:line="258" w:lineRule="exact"/>
              <w:rPr>
                <w:sz w:val="20"/>
                <w:szCs w:val="20"/>
                <w:color w:val="auto"/>
              </w:rPr>
            </w:pPr>
            <w:r>
              <w:rPr>
                <w:rFonts w:ascii="Arial" w:cs="Arial" w:eastAsia="Arial" w:hAnsi="Arial"/>
                <w:sz w:val="18"/>
                <w:szCs w:val="18"/>
                <w:b w:val="1"/>
                <w:bCs w:val="1"/>
                <w:color w:val="auto"/>
                <w:w w:val="94"/>
              </w:rPr>
              <w:t>Quarter</w:t>
            </w:r>
            <w:r>
              <w:rPr>
                <w:rFonts w:ascii="Arial" w:cs="Arial" w:eastAsia="Arial" w:hAnsi="Arial"/>
                <w:sz w:val="29"/>
                <w:szCs w:val="29"/>
                <w:b w:val="1"/>
                <w:bCs w:val="1"/>
                <w:color w:val="auto"/>
                <w:w w:val="94"/>
                <w:vertAlign w:val="superscript"/>
              </w:rPr>
              <w:t>(4)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300"/>
              <w:spacing w:after="0" w:line="258" w:lineRule="exact"/>
              <w:rPr>
                <w:sz w:val="20"/>
                <w:szCs w:val="20"/>
                <w:color w:val="auto"/>
              </w:rPr>
            </w:pPr>
            <w:r>
              <w:rPr>
                <w:rFonts w:ascii="Arial" w:cs="Arial" w:eastAsia="Arial" w:hAnsi="Arial"/>
                <w:sz w:val="18"/>
                <w:szCs w:val="18"/>
                <w:b w:val="1"/>
                <w:bCs w:val="1"/>
                <w:color w:val="auto"/>
                <w:w w:val="94"/>
              </w:rPr>
              <w:t>Quarter</w:t>
            </w:r>
            <w:r>
              <w:rPr>
                <w:rFonts w:ascii="Arial" w:cs="Arial" w:eastAsia="Arial" w:hAnsi="Arial"/>
                <w:sz w:val="29"/>
                <w:szCs w:val="29"/>
                <w:b w:val="1"/>
                <w:bCs w:val="1"/>
                <w:color w:val="auto"/>
                <w:w w:val="94"/>
                <w:vertAlign w:val="superscript"/>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170,987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143,147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106,544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Gross profit</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68,076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 (loss) attributable to Civeo</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(13,461)</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(107,685)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252,799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243,265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16"/>
                <w:szCs w:val="16"/>
                <w:color w:val="auto"/>
              </w:rPr>
              <w:t>Gross profit</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109,289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93,828</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106,164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Civeo</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36,239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hanging="389"/>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"revenues" less "product costs" and "service and other costs" included in our consolidated statements of operations.</w:t>
      </w:r>
    </w:p>
    <w:p>
      <w:pPr>
        <w:spacing w:after="0" w:line="225" w:lineRule="exact"/>
        <w:rPr>
          <w:rFonts w:ascii="Arial" w:cs="Arial" w:eastAsia="Arial" w:hAnsi="Arial"/>
          <w:sz w:val="18"/>
          <w:szCs w:val="18"/>
          <w:color w:val="auto"/>
        </w:rPr>
      </w:pPr>
    </w:p>
    <w:p>
      <w:pPr>
        <w:ind w:left="640" w:hanging="389"/>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first quarter of 2015, we recognized the following items:</w:t>
      </w:r>
    </w:p>
    <w:p>
      <w:pPr>
        <w:spacing w:after="0" w:line="23" w:lineRule="exact"/>
        <w:rPr>
          <w:rFonts w:ascii="Arial" w:cs="Arial" w:eastAsia="Arial" w:hAnsi="Arial"/>
          <w:sz w:val="18"/>
          <w:szCs w:val="18"/>
          <w:color w:val="auto"/>
        </w:rPr>
      </w:pPr>
    </w:p>
    <w:p>
      <w:pPr>
        <w:ind w:left="1300" w:right="460" w:hanging="320"/>
        <w:spacing w:after="0" w:line="250"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Costs associated with our planned migration to Canada of $1.1 million ($0.8 million after-tax, or $0.01 per diluted share), included in Selling, general and administrative expenses on the consolidated statements of operations.</w:t>
      </w:r>
    </w:p>
    <w:p>
      <w:pPr>
        <w:ind w:left="1300" w:right="20" w:hanging="320"/>
        <w:spacing w:after="0" w:line="277" w:lineRule="auto"/>
        <w:tabs>
          <w:tab w:leader="none" w:pos="13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 loss of $3.8 million ($2.4 million after-tax, or $0.02 per diluted share) of which $1.1 million is included in cost of sales and services and $2.7 million is included in impairment expense. This charge relates to the decision to close a manufacturing facility in the United States. As a result, the related assets were written down to their estimated sales proceeds, less costs to sell.</w:t>
      </w:r>
    </w:p>
    <w:p>
      <w:pPr>
        <w:spacing w:after="0" w:line="173" w:lineRule="exact"/>
        <w:rPr>
          <w:rFonts w:ascii="Arial" w:cs="Arial" w:eastAsia="Arial" w:hAnsi="Arial"/>
          <w:sz w:val="17"/>
          <w:szCs w:val="17"/>
          <w:color w:val="auto"/>
        </w:rPr>
      </w:pPr>
    </w:p>
    <w:p>
      <w:pPr>
        <w:ind w:left="640" w:hanging="389"/>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second quarter of 2015, we recognized the following items:</w:t>
      </w:r>
    </w:p>
    <w:p>
      <w:pPr>
        <w:spacing w:after="0" w:line="23" w:lineRule="exact"/>
        <w:rPr>
          <w:rFonts w:ascii="Arial" w:cs="Arial" w:eastAsia="Arial" w:hAnsi="Arial"/>
          <w:sz w:val="18"/>
          <w:szCs w:val="18"/>
          <w:color w:val="auto"/>
        </w:rPr>
      </w:pPr>
    </w:p>
    <w:p>
      <w:pPr>
        <w:jc w:val="both"/>
        <w:ind w:left="1300" w:right="20" w:hanging="320"/>
        <w:spacing w:after="0" w:line="250"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charge of $9.5 million ($6.6 million after-tax, or $0.06 per diluted share), related to the impairment of certain fixed assets which carrying value we determined not to be recoverable. The charge, which is related to our Australia segment, is included in Impairment expense on the accompanying consolidated statements of operations.</w:t>
      </w:r>
    </w:p>
    <w:p>
      <w:pPr>
        <w:spacing w:after="0" w:line="1" w:lineRule="exact"/>
        <w:rPr>
          <w:rFonts w:ascii="Arial" w:cs="Arial" w:eastAsia="Arial" w:hAnsi="Arial"/>
          <w:sz w:val="18"/>
          <w:szCs w:val="18"/>
          <w:color w:val="auto"/>
        </w:rPr>
      </w:pPr>
    </w:p>
    <w:p>
      <w:pPr>
        <w:ind w:left="1300" w:right="480" w:hanging="320"/>
        <w:spacing w:after="0" w:line="26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Costs associated with our migration to Canada of $2.4 million ($1.6 million after-tax, or $0.02 per diluted share), included in Selling, general and administrative expenses on the consolidated statements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second quarter of 2014, we recognized the following items:</w:t>
      </w:r>
    </w:p>
    <w:p>
      <w:pPr>
        <w:spacing w:after="0" w:line="23" w:lineRule="exact"/>
        <w:rPr>
          <w:sz w:val="20"/>
          <w:szCs w:val="20"/>
          <w:color w:val="auto"/>
        </w:rPr>
      </w:pPr>
    </w:p>
    <w:p>
      <w:pPr>
        <w:ind w:left="1300" w:right="120" w:hanging="320"/>
        <w:spacing w:after="0" w:line="265"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charge of $9.0 million ($6.3 million after-tax, or $0.06 per diluted share), related to the impairment of an intangible asset in Australia. Due to the Spin-Off, and the resulting rebranding of the Company’s Australian operations from The Mac to Civeo Australia, it was determined that the fair value of an intangible asset associated with The Mac brand was zero. The charge, which is related to our Australia segment, is included in Impairment expense on the accompanying consolidated statements of operations.</w:t>
      </w:r>
    </w:p>
    <w:p>
      <w:pPr>
        <w:ind w:left="1300" w:hanging="320"/>
        <w:spacing w:after="0" w:line="250"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impairment of certain fixed assets which were not in our custody, and for which return was determined to be uncertain. The $2.6 million impairment ($1.7 million after-tax, or $0.02 per diluted share), which is related to our U.S. segment, is included in Impairment expense on the consolidated statements of operations.</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Severance costs associated with the termination of an executive. The $4.1 million expense ($3.1 million after-tax, or $0.03 per diluted share), which is related to our Canadian segment, is included in Selling, general and administrative expenses on the consolidated statements of operations.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$3.5 million, or $0.02 per diluted share after-tax, of losses incurred on the extinguishment of debt.</w:t>
      </w:r>
    </w:p>
    <w:p>
      <w:pPr>
        <w:spacing w:after="0" w:line="9" w:lineRule="exact"/>
        <w:rPr>
          <w:rFonts w:ascii="Arial" w:cs="Arial" w:eastAsia="Arial" w:hAnsi="Arial"/>
          <w:sz w:val="18"/>
          <w:szCs w:val="18"/>
          <w:color w:val="auto"/>
        </w:rPr>
      </w:pPr>
    </w:p>
    <w:p>
      <w:pPr>
        <w:ind w:left="1300" w:right="140" w:hanging="320"/>
        <w:spacing w:after="0" w:line="323"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Transition costs associated with becoming a stand-alone company. The $1.9 million in costs ($1.2 million after-tax, or $0.01 per diluted share), which are primarily corporate in nature, are included in Spin-Off and formation costs on the consolidated statements of operations.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3" w:name="page124"/>
    <w:bookmarkEnd w:id="123"/>
    <w:p>
      <w:pPr>
        <w:jc w:val="center"/>
        <w:ind w:right="191"/>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left="389" w:hanging="389"/>
        <w:spacing w:after="0"/>
        <w:tabs>
          <w:tab w:leader="none" w:pos="3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third quarter of 2015, we recognized the following items:</w:t>
      </w:r>
    </w:p>
    <w:p>
      <w:pPr>
        <w:spacing w:after="0" w:line="23" w:lineRule="exact"/>
        <w:rPr>
          <w:rFonts w:ascii="Arial" w:cs="Arial" w:eastAsia="Arial" w:hAnsi="Arial"/>
          <w:sz w:val="18"/>
          <w:szCs w:val="18"/>
          <w:color w:val="auto"/>
        </w:rPr>
      </w:pPr>
    </w:p>
    <w:p>
      <w:pPr>
        <w:ind w:left="1049" w:right="600" w:hanging="320"/>
        <w:spacing w:after="0" w:line="250" w:lineRule="auto"/>
        <w:tabs>
          <w:tab w:leader="none" w:pos="1049" w:val="left"/>
        </w:tabs>
        <w:numPr>
          <w:ilvl w:val="1"/>
          <w:numId w:val="66"/>
        </w:numPr>
        <w:rPr>
          <w:rFonts w:ascii="Arial" w:cs="Arial" w:eastAsia="Arial" w:hAnsi="Arial"/>
          <w:sz w:val="18"/>
          <w:szCs w:val="18"/>
          <w:color w:val="auto"/>
        </w:rPr>
      </w:pPr>
      <w:r>
        <w:rPr>
          <w:rFonts w:ascii="Arial" w:cs="Arial" w:eastAsia="Arial" w:hAnsi="Arial"/>
          <w:sz w:val="18"/>
          <w:szCs w:val="18"/>
          <w:color w:val="auto"/>
        </w:rPr>
        <w:t>Goodwill impairment losses of $43.2 million ($43.2 million after-tax, or $0.40 per diluted share), which are related to our Canadian segment, and are included in Impairment expense on the consolidated statements of operations.</w:t>
      </w:r>
    </w:p>
    <w:p>
      <w:pPr>
        <w:ind w:left="1049" w:hanging="320"/>
        <w:spacing w:after="0" w:line="281" w:lineRule="auto"/>
        <w:tabs>
          <w:tab w:leader="none" w:pos="1049" w:val="left"/>
        </w:tabs>
        <w:numPr>
          <w:ilvl w:val="1"/>
          <w:numId w:val="66"/>
        </w:numPr>
        <w:rPr>
          <w:rFonts w:ascii="Arial" w:cs="Arial" w:eastAsia="Arial" w:hAnsi="Arial"/>
          <w:sz w:val="16"/>
          <w:szCs w:val="16"/>
          <w:color w:val="auto"/>
        </w:rPr>
      </w:pPr>
      <w:r>
        <w:rPr>
          <w:rFonts w:ascii="Arial" w:cs="Arial" w:eastAsia="Arial" w:hAnsi="Arial"/>
          <w:sz w:val="16"/>
          <w:szCs w:val="16"/>
          <w:color w:val="auto"/>
        </w:rPr>
        <w:t>Fixed asset and intangible asset impairment losses of $67.5 million ($46.9 million after-tax, or $0.44 per diluted share), of which $20.5 million related to our U.S. segment, $24.0 million related to our Australian segment and $23.0 million related to our Canadian segment, and is included in Impairment expense on the consolidated statements of operations. The Canadian segment included $11.9 million related to assets that should have been impaired in the fourth quarter of 2014. We determined that the error was not material to our financial statements for the year ended December 31, 2014 and therefore corrected the error in the third quarter of 2015.</w:t>
      </w:r>
    </w:p>
    <w:p>
      <w:pPr>
        <w:spacing w:after="0" w:line="3" w:lineRule="exact"/>
        <w:rPr>
          <w:rFonts w:ascii="Arial" w:cs="Arial" w:eastAsia="Arial" w:hAnsi="Arial"/>
          <w:sz w:val="16"/>
          <w:szCs w:val="16"/>
          <w:color w:val="auto"/>
        </w:rPr>
      </w:pPr>
    </w:p>
    <w:p>
      <w:pPr>
        <w:ind w:left="1049" w:right="480" w:hanging="320"/>
        <w:spacing w:after="0" w:line="250" w:lineRule="auto"/>
        <w:tabs>
          <w:tab w:leader="none" w:pos="1049"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Costs associated with our migration to Canada of $1.5 million ($1.0 million after-tax, or $0.01 per diluted share), included in Selling, general and administrative expenses on the consolidated statements of operations.</w:t>
      </w:r>
    </w:p>
    <w:p>
      <w:pPr>
        <w:ind w:left="1049" w:hanging="320"/>
        <w:spacing w:after="0"/>
        <w:tabs>
          <w:tab w:leader="none" w:pos="1049" w:val="left"/>
        </w:tabs>
        <w:numPr>
          <w:ilvl w:val="1"/>
          <w:numId w:val="66"/>
        </w:numPr>
        <w:rPr>
          <w:rFonts w:ascii="Arial" w:cs="Arial" w:eastAsia="Arial" w:hAnsi="Arial"/>
          <w:sz w:val="18"/>
          <w:szCs w:val="18"/>
          <w:color w:val="auto"/>
        </w:rPr>
      </w:pPr>
      <w:r>
        <w:rPr>
          <w:rFonts w:ascii="Arial" w:cs="Arial" w:eastAsia="Arial" w:hAnsi="Arial"/>
          <w:sz w:val="18"/>
          <w:szCs w:val="18"/>
          <w:color w:val="auto"/>
        </w:rPr>
        <w:t>$1.5 million, or $0.01 per diluted share, of losses incurred on extinguishment of debt.</w:t>
      </w:r>
    </w:p>
    <w:p>
      <w:pPr>
        <w:spacing w:after="0" w:line="211" w:lineRule="exact"/>
        <w:rPr>
          <w:sz w:val="20"/>
          <w:szCs w:val="20"/>
          <w:color w:val="auto"/>
        </w:rPr>
      </w:pPr>
    </w:p>
    <w:p>
      <w:pPr>
        <w:ind w:left="409" w:right="100"/>
        <w:spacing w:after="0" w:line="264" w:lineRule="auto"/>
        <w:rPr>
          <w:sz w:val="20"/>
          <w:szCs w:val="20"/>
          <w:color w:val="auto"/>
        </w:rPr>
      </w:pPr>
      <w:r>
        <w:rPr>
          <w:rFonts w:ascii="Arial" w:cs="Arial" w:eastAsia="Arial" w:hAnsi="Arial"/>
          <w:sz w:val="18"/>
          <w:szCs w:val="18"/>
          <w:color w:val="auto"/>
        </w:rPr>
        <w:t>In the third quarter of 2014, we recognized $1.0 million in transition costs associated with becoming a stand-alone company ($0.7 million after-tax, or $0.01 per diluted share). The costs, which are primarily corporate in nature, are included in Spin-Off and formation costs on the consolidated statements of operations.</w:t>
      </w:r>
    </w:p>
    <w:p>
      <w:pPr>
        <w:spacing w:after="0" w:line="181" w:lineRule="exact"/>
        <w:rPr>
          <w:sz w:val="20"/>
          <w:szCs w:val="20"/>
          <w:color w:val="auto"/>
        </w:rPr>
      </w:pPr>
    </w:p>
    <w:p>
      <w:pPr>
        <w:ind w:left="429" w:hanging="429"/>
        <w:spacing w:after="0"/>
        <w:tabs>
          <w:tab w:leader="none" w:pos="429"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fourth quarter of 2015, we recognized the following items:</w:t>
      </w:r>
    </w:p>
    <w:p>
      <w:pPr>
        <w:spacing w:after="0" w:line="23" w:lineRule="exact"/>
        <w:rPr>
          <w:rFonts w:ascii="Arial" w:cs="Arial" w:eastAsia="Arial" w:hAnsi="Arial"/>
          <w:sz w:val="18"/>
          <w:szCs w:val="18"/>
          <w:color w:val="auto"/>
        </w:rPr>
      </w:pPr>
    </w:p>
    <w:p>
      <w:pPr>
        <w:ind w:left="1049" w:right="480" w:hanging="320"/>
        <w:spacing w:after="0" w:line="250" w:lineRule="auto"/>
        <w:tabs>
          <w:tab w:leader="none" w:pos="1049"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Costs associated with our migration to Canada of $1.9 million ($1.2 million after-tax, or $0.01 per diluted share), included in Selling, general and administrative expenses on the consolidated statements of operations.</w:t>
      </w:r>
    </w:p>
    <w:p>
      <w:pPr>
        <w:ind w:left="1049" w:right="40" w:hanging="320"/>
        <w:spacing w:after="0" w:line="323" w:lineRule="auto"/>
        <w:tabs>
          <w:tab w:leader="none" w:pos="1049"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foreign currency gain of $3.6 million that should have been recorded in the third quarter of 2015. We determined that the error was not material to our financial statements for the period ended September 30, 2015 and therefore corrected the error in the fourth quarter of 2015.</w:t>
      </w:r>
    </w:p>
    <w:p>
      <w:pPr>
        <w:spacing w:after="0" w:line="139" w:lineRule="exact"/>
        <w:rPr>
          <w:sz w:val="20"/>
          <w:szCs w:val="20"/>
          <w:color w:val="auto"/>
        </w:rPr>
      </w:pPr>
    </w:p>
    <w:p>
      <w:pPr>
        <w:ind w:left="409"/>
        <w:spacing w:after="0"/>
        <w:rPr>
          <w:sz w:val="20"/>
          <w:szCs w:val="20"/>
          <w:color w:val="auto"/>
        </w:rPr>
      </w:pPr>
      <w:r>
        <w:rPr>
          <w:rFonts w:ascii="Arial" w:cs="Arial" w:eastAsia="Arial" w:hAnsi="Arial"/>
          <w:sz w:val="18"/>
          <w:szCs w:val="18"/>
          <w:color w:val="auto"/>
        </w:rPr>
        <w:t>In the fourth quarter of 2014, we recognized the following items:</w:t>
      </w:r>
    </w:p>
    <w:p>
      <w:pPr>
        <w:spacing w:after="0" w:line="23" w:lineRule="exact"/>
        <w:rPr>
          <w:sz w:val="20"/>
          <w:szCs w:val="20"/>
          <w:color w:val="auto"/>
        </w:rPr>
      </w:pPr>
    </w:p>
    <w:p>
      <w:pPr>
        <w:ind w:left="1049" w:right="200" w:hanging="320"/>
        <w:spacing w:after="0" w:line="250" w:lineRule="auto"/>
        <w:tabs>
          <w:tab w:leader="none" w:pos="10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Goodwill impairment losses of $202.7 million ($201.2 million after-tax, or $1.89 per diluted share), of which $16.6 million related to our U.S. segment and $186.1 million related to our Australian segment.</w:t>
      </w:r>
    </w:p>
    <w:p>
      <w:pPr>
        <w:ind w:left="1049" w:right="360" w:hanging="320"/>
        <w:spacing w:after="0" w:line="250" w:lineRule="auto"/>
        <w:tabs>
          <w:tab w:leader="none" w:pos="10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Fixed asset and intangible asset impairment losses of $76.2 million ($51.2 million after-tax, or $0.48 per diluted share), of which $59.0 million related to our U.S. segment and $17.2 million related to our Canadian segment.</w:t>
      </w:r>
    </w:p>
    <w:p>
      <w:pPr>
        <w:ind w:left="1049" w:right="260" w:hanging="320"/>
        <w:spacing w:after="0" w:line="250" w:lineRule="auto"/>
        <w:tabs>
          <w:tab w:leader="none" w:pos="10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$34.9 million tax expense ($0.33 per diluted share) from the establishment of a deferred tax liability related to a portion of our undistributed foreign earnings which we no longer intend to indefinitely reinvest and a valuation allowance related to deferred tax assets related to capital losses not expected to be realized.</w:t>
      </w:r>
    </w:p>
    <w:p>
      <w:pPr>
        <w:spacing w:after="0" w:line="1" w:lineRule="exact"/>
        <w:rPr>
          <w:rFonts w:ascii="Arial" w:cs="Arial" w:eastAsia="Arial" w:hAnsi="Arial"/>
          <w:sz w:val="18"/>
          <w:szCs w:val="18"/>
          <w:color w:val="auto"/>
        </w:rPr>
      </w:pPr>
    </w:p>
    <w:p>
      <w:pPr>
        <w:ind w:left="1049" w:right="480" w:hanging="320"/>
        <w:spacing w:after="0" w:line="250" w:lineRule="auto"/>
        <w:tabs>
          <w:tab w:leader="none" w:pos="10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associated with our migration to Canada of $2.6 million ($1.7 million after-tax, or $0.02 per diluted share), included in Selling, general and administrative expenses on the consolidated statements of operations.</w:t>
      </w:r>
    </w:p>
    <w:p>
      <w:pPr>
        <w:ind w:left="1049" w:right="200" w:hanging="320"/>
        <w:spacing w:after="0" w:line="255" w:lineRule="auto"/>
        <w:tabs>
          <w:tab w:leader="none" w:pos="10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Transition costs incurred associated with becoming a stand-alone company. The $0.9 million in costs ($0.6 million after-tax, or $0.01 per diluted share), which are primarily corporate in nature, are included in Spin-off and formation costs on the consolidated statements of operations.</w:t>
      </w:r>
    </w:p>
    <w:p>
      <w:pPr>
        <w:spacing w:after="0" w:line="200" w:lineRule="exact"/>
        <w:rPr>
          <w:sz w:val="20"/>
          <w:szCs w:val="20"/>
          <w:color w:val="auto"/>
        </w:rPr>
      </w:pPr>
    </w:p>
    <w:p>
      <w:pPr>
        <w:spacing w:after="0" w:line="233"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81280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9"/>
          </w:cols>
          <w:pgMar w:left="491" w:top="580" w:right="279" w:bottom="1440" w:gutter="0" w:footer="0" w:header="0"/>
        </w:sectPr>
      </w:pPr>
    </w:p>
    <w:bookmarkStart w:id="124" w:name="page125"/>
    <w:bookmarkEnd w:id="124"/>
    <w:p>
      <w:pPr>
        <w:jc w:val="center"/>
        <w:ind w:right="-2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Amounts are calculated independently for each of the quarters presented. Therefore, the sum of the quarterly amounts may not equal the total calculated for the year.</w:t>
      </w:r>
    </w:p>
    <w:p>
      <w:pPr>
        <w:spacing w:after="0" w:line="166"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On February 18, 2016, we amended our Amended Credit Facility. Please see Note 9 – Debt for further information.</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38"/>
        </w:trPr>
        <w:tc>
          <w:tcPr>
            <w:tcW w:w="1020" w:type="dxa"/>
            <w:vAlign w:val="bottom"/>
            <w:gridSpan w:val="2"/>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7"/>
              </w:rPr>
              <w:t>Agreement and Plan of Merger, dated as of April 6, 2015, among Civeo Corporation, Civeo Canadian Holdings ULC and Civeo US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4"/>
              </w:rPr>
              <w:t>Merger Co (incorporated by reference to Annex A of Civeo Corporation’s definitive proxy statement/prospectus on Schedule 14A filed</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with the SEC on April 8, 2015).</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8"/>
              </w:rPr>
              <w:t>Separation and Distribution Agreement by and between Oil States International, Inc. and Civeo Corporation, dated May 27, 2014</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9"/>
              </w:rPr>
              <w:t>(incorporated herein by reference to Exhibit 2.1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4"/>
              </w:rPr>
              <w:t>Notice of Articles of Civeo Corporation (incorporated herein by reference to Exhibit 3.1 to the Current Report on Form 8-K12B (File No.</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001-36246) filed on July 17, 2015).</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7"/>
              </w:rPr>
              <w:t>Articles of Civeo Corporation (incorporated herein by reference to Exhibit 3.2 to the Current Report on Form 8-K12B (File No. 001-</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36246) filed on July 17, 2015).</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2"/>
              </w:rPr>
              <w:t>Form of Common Share Certificate (incorporated herein by reference to Exhibit 4.1 to the Current Report on Form 8-K12B (File No. 001-</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36246) filed on July 17, 2015).</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7"/>
              </w:rPr>
              <w:t>Indemnification and Release Agreement by and between Oil States International, Inc. and Civeo Corporation, dated May 27, 2014</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8"/>
              </w:rPr>
              <w:t>(incorporated herein by reference to Exhibit 10.1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2"/>
              </w:rPr>
              <w:t>Tax Sharing Agreement by and between Oil States International, Inc. and Civeo Corporation, dated May 27, 2014 (incorporated herein by</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reference to Exhibit 10.2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4"/>
              </w:rPr>
              <w:t>Employee Matters Agreement by and between Oil States International, Inc. and Civeo Corporation, dated May 27, 2014 (incorporated</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herein by reference to Exhibit 10.3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4"/>
              </w:rPr>
              <w:t>Transition Services Agreement by and between Oil States International, Inc. and Civeo Corporation, dated May 27, 2014 (incorporated</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herein by reference to Exhibit 10.4 to the Current Report on Form 8-K (File No. 001-36246) filed on June 2, 2014).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2"/>
              </w:rPr>
              <w:t>Syndicated Facility Agreement, dated as of May 28, 2014, among Civeo Corporation, Civeo Canada Inc., Civeo Premium Camp Services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4"/>
              </w:rPr>
              <w:t>Ltd. And Civeo Australia Pty Limited, as Borrowers, the Lenders named therein, Royal Bank of Canada, as Administrative Agent, U.S.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9"/>
              </w:rPr>
              <w:t>Collateral Agent, Canadian Administrative Agent, Canadian Collateral Agent and an Issuing Bank, and RBC Europe Limited, as</w:t>
            </w:r>
          </w:p>
        </w:tc>
      </w:tr>
      <w:tr>
        <w:trPr>
          <w:trHeight w:val="216"/>
        </w:trPr>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3"/>
              </w:rPr>
              <w:t>Australian Administrative Agent, Australian Collateral Agent and an Issuing Bank (incorporated herein by reference to Exhibit 10.5 to the</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Current Report on Form 8-K (File No. 001-36246) filed on June 2, 2014).</w:t>
            </w:r>
          </w:p>
        </w:tc>
      </w:tr>
      <w:tr>
        <w:trPr>
          <w:trHeight w:val="418"/>
        </w:trPr>
        <w:tc>
          <w:tcPr>
            <w:tcW w:w="1200" w:type="dxa"/>
            <w:vAlign w:val="bottom"/>
            <w:gridSpan w:val="3"/>
          </w:tcPr>
          <w:p>
            <w:pPr>
              <w:spacing w:after="0"/>
              <w:rPr>
                <w:sz w:val="20"/>
                <w:szCs w:val="20"/>
                <w:color w:val="auto"/>
              </w:rPr>
            </w:pPr>
            <w:r>
              <w:rPr>
                <w:rFonts w:ascii="Arial" w:cs="Arial" w:eastAsia="Arial" w:hAnsi="Arial"/>
                <w:sz w:val="18"/>
                <w:szCs w:val="18"/>
                <w:color w:val="auto"/>
              </w:rPr>
              <w:t>10.6†</w:t>
            </w: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5"/>
              </w:rPr>
              <w:t>Form of Indemnification Agreement (incorporated herein by reference to Exhibit 10.1 to the Current Report on Form 8-K12B (File No.</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001-36246) filed on July 17, 2015).</w:t>
            </w:r>
          </w:p>
        </w:tc>
      </w:tr>
      <w:tr>
        <w:trPr>
          <w:trHeight w:val="418"/>
        </w:trPr>
        <w:tc>
          <w:tcPr>
            <w:tcW w:w="1200" w:type="dxa"/>
            <w:vAlign w:val="bottom"/>
            <w:gridSpan w:val="3"/>
          </w:tcPr>
          <w:p>
            <w:pPr>
              <w:spacing w:after="0"/>
              <w:rPr>
                <w:sz w:val="20"/>
                <w:szCs w:val="20"/>
                <w:color w:val="auto"/>
              </w:rPr>
            </w:pPr>
            <w:r>
              <w:rPr>
                <w:rFonts w:ascii="Arial" w:cs="Arial" w:eastAsia="Arial" w:hAnsi="Arial"/>
                <w:sz w:val="18"/>
                <w:szCs w:val="18"/>
                <w:color w:val="auto"/>
              </w:rPr>
              <w:t>10.7†</w:t>
            </w: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0"/>
              </w:rPr>
              <w:t>Settlement Agreement and Release, dated as of June 26, 2014, by and between Civeo Corporation and Ronald Green (incorporated herein</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by reference to Exhibit 10.7 to the Quarterly Report on Form 10-Q (File No. 001-36246) filed on August 13, 2014).</w:t>
            </w:r>
          </w:p>
        </w:tc>
      </w:tr>
      <w:tr>
        <w:trPr>
          <w:trHeight w:val="418"/>
        </w:trPr>
        <w:tc>
          <w:tcPr>
            <w:tcW w:w="1200" w:type="dxa"/>
            <w:vAlign w:val="bottom"/>
            <w:gridSpan w:val="3"/>
          </w:tcPr>
          <w:p>
            <w:pPr>
              <w:spacing w:after="0"/>
              <w:rPr>
                <w:sz w:val="20"/>
                <w:szCs w:val="20"/>
                <w:color w:val="auto"/>
              </w:rPr>
            </w:pPr>
            <w:r>
              <w:rPr>
                <w:rFonts w:ascii="Arial" w:cs="Arial" w:eastAsia="Arial" w:hAnsi="Arial"/>
                <w:sz w:val="18"/>
                <w:szCs w:val="18"/>
                <w:color w:val="auto"/>
              </w:rPr>
              <w:t>10.8†</w:t>
            </w: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4"/>
              </w:rPr>
              <w:t>2014 Equity Participation Plan of Civeo Corporation (incorporated herein by reference to Exhibit 10.2 to the Current Report on Form 8-</w:t>
            </w:r>
          </w:p>
        </w:tc>
      </w:tr>
      <w:tr>
        <w:trPr>
          <w:trHeight w:val="230"/>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w w:val="95"/>
              </w:rPr>
              <w:t>Form of Civeo Corporation Annual Incentive Compensation Plan (incorporated herein by reference to Exhibit 10.7 to the Registration</w:t>
            </w: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10.9†</w:t>
            </w:r>
          </w:p>
        </w:tc>
        <w:tc>
          <w:tcPr>
            <w:tcW w:w="10260" w:type="dxa"/>
            <w:vAlign w:val="bottom"/>
            <w:gridSpan w:val="5"/>
          </w:tcPr>
          <w:p>
            <w:pPr>
              <w:ind w:left="180"/>
              <w:spacing w:after="0"/>
              <w:rPr>
                <w:sz w:val="20"/>
                <w:szCs w:val="20"/>
                <w:color w:val="auto"/>
              </w:rPr>
            </w:pPr>
            <w:r>
              <w:rPr>
                <w:rFonts w:ascii="Arial" w:cs="Arial" w:eastAsia="Arial" w:hAnsi="Arial"/>
                <w:sz w:val="18"/>
                <w:szCs w:val="18"/>
                <w:color w:val="auto"/>
              </w:rPr>
              <w:t>Statement on Form 10 (File No. 001-36246) filed on April 22, 2014).</w:t>
            </w:r>
          </w:p>
        </w:tc>
      </w:tr>
      <w:tr>
        <w:trPr>
          <w:trHeight w:val="729"/>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60" w:type="dxa"/>
            <w:vAlign w:val="bottom"/>
            <w:gridSpan w:val="2"/>
          </w:tcPr>
          <w:p>
            <w:pPr>
              <w:ind w:left="438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05"/>
        </w:trPr>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20" w:type="dxa"/>
            <w:vAlign w:val="bottom"/>
          </w:tcPr>
          <w:p>
            <w:pPr>
              <w:spacing w:after="0"/>
              <w:rPr>
                <w:sz w:val="9"/>
                <w:szCs w:val="9"/>
                <w:color w:val="auto"/>
              </w:rPr>
            </w:pPr>
          </w:p>
        </w:tc>
      </w:tr>
      <w:tr>
        <w:trPr>
          <w:trHeight w:val="61"/>
        </w:trPr>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4" w:right="19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40"/>
              <w:spacing w:after="0"/>
              <w:rPr>
                <w:sz w:val="20"/>
                <w:szCs w:val="20"/>
                <w:color w:val="auto"/>
              </w:rPr>
            </w:pPr>
            <w:r>
              <w:rPr>
                <w:rFonts w:ascii="Arial" w:cs="Arial" w:eastAsia="Arial" w:hAnsi="Arial"/>
                <w:sz w:val="18"/>
                <w:szCs w:val="18"/>
                <w:color w:val="auto"/>
                <w:w w:val="93"/>
              </w:rPr>
              <w:t>Form of Canadian Long-Term Incentive Plan (incorporated herein by reference to Exhibit 10.8 to the Registration Statement on Form 10</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440"/>
              <w:spacing w:after="0"/>
              <w:rPr>
                <w:sz w:val="20"/>
                <w:szCs w:val="20"/>
                <w:color w:val="auto"/>
              </w:rPr>
            </w:pPr>
            <w:r>
              <w:rPr>
                <w:rFonts w:ascii="Arial" w:cs="Arial" w:eastAsia="Arial" w:hAnsi="Arial"/>
                <w:sz w:val="18"/>
                <w:szCs w:val="18"/>
                <w:color w:val="auto"/>
                <w:w w:val="93"/>
              </w:rPr>
              <w:t>Form of Employee Non-Qualified Stock Option Agreement under the 2014 Equity Participation Plan of Civeo Corporation (incorporated</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herein by reference to Exhibit 10.9 to the Registration Statement on Form 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440"/>
              <w:spacing w:after="0"/>
              <w:rPr>
                <w:sz w:val="20"/>
                <w:szCs w:val="20"/>
                <w:color w:val="auto"/>
              </w:rPr>
            </w:pPr>
            <w:r>
              <w:rPr>
                <w:rFonts w:ascii="Arial" w:cs="Arial" w:eastAsia="Arial" w:hAnsi="Arial"/>
                <w:sz w:val="18"/>
                <w:szCs w:val="18"/>
                <w:color w:val="auto"/>
                <w:w w:val="93"/>
              </w:rPr>
              <w:t>Form of Restricted Stock Agreement under the 2014 Equity Participation Plan of Civeo Corporation (incorporated herein by reference to</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Exhibit 10.10 to the Registration Statement on Form 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440"/>
              <w:spacing w:after="0"/>
              <w:rPr>
                <w:sz w:val="20"/>
                <w:szCs w:val="20"/>
                <w:color w:val="auto"/>
              </w:rPr>
            </w:pPr>
            <w:r>
              <w:rPr>
                <w:rFonts w:ascii="Arial" w:cs="Arial" w:eastAsia="Arial" w:hAnsi="Arial"/>
                <w:sz w:val="18"/>
                <w:szCs w:val="18"/>
                <w:color w:val="auto"/>
                <w:w w:val="97"/>
              </w:rPr>
              <w:t>Form of Non-Employee Director Restricted Stock Agreement (incorporated herein by reference to Exhibit 10.11 to the Registration</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Statement on Form 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440"/>
              <w:spacing w:after="0"/>
              <w:rPr>
                <w:sz w:val="20"/>
                <w:szCs w:val="20"/>
                <w:color w:val="auto"/>
              </w:rPr>
            </w:pPr>
            <w:r>
              <w:rPr>
                <w:rFonts w:ascii="Arial" w:cs="Arial" w:eastAsia="Arial" w:hAnsi="Arial"/>
                <w:sz w:val="18"/>
                <w:szCs w:val="18"/>
                <w:color w:val="auto"/>
                <w:w w:val="93"/>
              </w:rPr>
              <w:t>Form of Deferred Stock Agreement (Australia) (incorporated herein by reference to Exhibit 10.12 to the Registration Statement on Form</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440"/>
              <w:spacing w:after="0"/>
              <w:rPr>
                <w:sz w:val="20"/>
                <w:szCs w:val="20"/>
                <w:color w:val="auto"/>
              </w:rPr>
            </w:pPr>
            <w:r>
              <w:rPr>
                <w:rFonts w:ascii="Arial" w:cs="Arial" w:eastAsia="Arial" w:hAnsi="Arial"/>
                <w:sz w:val="18"/>
                <w:szCs w:val="18"/>
                <w:color w:val="auto"/>
                <w:w w:val="91"/>
              </w:rPr>
              <w:t>Form of Deferred Stock Agreement (Canada) (incorporated herein by reference to Exhibit 10.13 to the Registration Statement on Form 10</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440"/>
              <w:spacing w:after="0"/>
              <w:rPr>
                <w:sz w:val="20"/>
                <w:szCs w:val="20"/>
                <w:color w:val="auto"/>
              </w:rPr>
            </w:pPr>
            <w:r>
              <w:rPr>
                <w:rFonts w:ascii="Arial" w:cs="Arial" w:eastAsia="Arial" w:hAnsi="Arial"/>
                <w:sz w:val="18"/>
                <w:szCs w:val="18"/>
                <w:color w:val="auto"/>
                <w:w w:val="93"/>
              </w:rPr>
              <w:t>Form of Executive Agreement of Bradley J. Dodson (incorporated herein by reference to Exhibit 10.14 to the Registration Statement on</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Form 10 (File No. 001-36246) filed on April 22, 2014).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440"/>
              <w:spacing w:after="0"/>
              <w:rPr>
                <w:sz w:val="20"/>
                <w:szCs w:val="20"/>
                <w:color w:val="auto"/>
              </w:rPr>
            </w:pPr>
            <w:r>
              <w:rPr>
                <w:rFonts w:ascii="Arial" w:cs="Arial" w:eastAsia="Arial" w:hAnsi="Arial"/>
                <w:sz w:val="18"/>
                <w:szCs w:val="18"/>
                <w:color w:val="auto"/>
                <w:w w:val="94"/>
              </w:rPr>
              <w:t>Form of Phantom Unit Agreement under the 2014 Equity Participation Plan of Civeo Corporation. (incorporated herein by reference to</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Exhibit 10.17 to the Annual Report on Form 10-K (File No. 001-36246) filed on March 13,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440"/>
              <w:spacing w:after="0"/>
              <w:rPr>
                <w:sz w:val="20"/>
                <w:szCs w:val="20"/>
                <w:color w:val="auto"/>
              </w:rPr>
            </w:pPr>
            <w:r>
              <w:rPr>
                <w:rFonts w:ascii="Arial" w:cs="Arial" w:eastAsia="Arial" w:hAnsi="Arial"/>
                <w:sz w:val="18"/>
                <w:szCs w:val="18"/>
                <w:color w:val="auto"/>
                <w:w w:val="91"/>
              </w:rPr>
              <w:t>Executive Agreement between Civeo Corporation and Frank C. Steininger, dated May 4, 2015 (incorporated herein by reference to Exhibit</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10.1 to the Current Report on Form 8-K (File No. 001-36246) filed on May 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440"/>
              <w:spacing w:after="0"/>
              <w:rPr>
                <w:sz w:val="20"/>
                <w:szCs w:val="20"/>
                <w:color w:val="auto"/>
              </w:rPr>
            </w:pPr>
            <w:r>
              <w:rPr>
                <w:rFonts w:ascii="Arial" w:cs="Arial" w:eastAsia="Arial" w:hAnsi="Arial"/>
                <w:sz w:val="18"/>
                <w:szCs w:val="18"/>
                <w:color w:val="auto"/>
                <w:w w:val="90"/>
              </w:rPr>
              <w:t>Executive Services Agreement, dated May 30, 2012, between Peter McCann and The Mac Services Group Pty Ltd. (incorporated herein by</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reference to Exhibit 10.3 to the Current Report on Form 8-K12B (File No. 001-36246) filed on July 17,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440"/>
              <w:spacing w:after="0"/>
              <w:rPr>
                <w:sz w:val="20"/>
                <w:szCs w:val="20"/>
                <w:color w:val="auto"/>
              </w:rPr>
            </w:pPr>
            <w:r>
              <w:rPr>
                <w:rFonts w:ascii="Arial" w:cs="Arial" w:eastAsia="Arial" w:hAnsi="Arial"/>
                <w:sz w:val="18"/>
                <w:szCs w:val="18"/>
                <w:color w:val="auto"/>
                <w:w w:val="94"/>
              </w:rPr>
              <w:t>Dual Employment Agreement of Bradley J. Dodson (incorporated herein by reference to Exhibit 10.4 to the Current Report on Form 8-</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440"/>
              <w:spacing w:after="0"/>
              <w:rPr>
                <w:sz w:val="20"/>
                <w:szCs w:val="20"/>
                <w:color w:val="auto"/>
              </w:rPr>
            </w:pPr>
            <w:r>
              <w:rPr>
                <w:rFonts w:ascii="Arial" w:cs="Arial" w:eastAsia="Arial" w:hAnsi="Arial"/>
                <w:sz w:val="18"/>
                <w:szCs w:val="18"/>
                <w:color w:val="auto"/>
                <w:w w:val="93"/>
              </w:rPr>
              <w:t>Dual Employment Agreement of Frank C. Steininger (incorporated herein by reference to Exhibit 10.5 to the Current Report on Form 8-</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440"/>
              <w:spacing w:after="0"/>
              <w:rPr>
                <w:sz w:val="20"/>
                <w:szCs w:val="20"/>
                <w:color w:val="auto"/>
              </w:rPr>
            </w:pPr>
            <w:r>
              <w:rPr>
                <w:rFonts w:ascii="Arial" w:cs="Arial" w:eastAsia="Arial" w:hAnsi="Arial"/>
                <w:sz w:val="18"/>
                <w:szCs w:val="18"/>
                <w:color w:val="auto"/>
                <w:w w:val="92"/>
              </w:rPr>
              <w:t>Executive Agreement between Civeo Corporation and Peter McCann, dated August 17, 2015 (incorporated herein by reference to Exhibit</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10.1 to the Current Report on Form 8-K (File No. 001-36246) filed on August 27,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440"/>
              <w:spacing w:after="0"/>
              <w:rPr>
                <w:sz w:val="20"/>
                <w:szCs w:val="20"/>
                <w:color w:val="auto"/>
              </w:rPr>
            </w:pPr>
            <w:r>
              <w:rPr>
                <w:rFonts w:ascii="Arial" w:cs="Arial" w:eastAsia="Arial" w:hAnsi="Arial"/>
                <w:sz w:val="18"/>
                <w:szCs w:val="18"/>
                <w:color w:val="auto"/>
                <w:w w:val="94"/>
              </w:rPr>
              <w:t>Variation to Executive Services Agreement between Civeo Pty Ltd and Peter McCann, dated August 17, 2015 (incorporated herein by</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reference to Exhibit 10.2 to the Current Report on Form 8-K (File No. 001-36246) filed on August 27,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440"/>
              <w:spacing w:after="0"/>
              <w:rPr>
                <w:sz w:val="20"/>
                <w:szCs w:val="20"/>
                <w:color w:val="auto"/>
              </w:rPr>
            </w:pPr>
            <w:r>
              <w:rPr>
                <w:rFonts w:ascii="Arial" w:cs="Arial" w:eastAsia="Arial" w:hAnsi="Arial"/>
                <w:sz w:val="18"/>
                <w:szCs w:val="18"/>
                <w:color w:val="auto"/>
                <w:w w:val="93"/>
              </w:rPr>
              <w:t>Dual Employment Agreement (Canada) of Allan Schoening, dated July 16, 2015 (incorporated herein by reference to Exhibit 10.8 to the</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Quarterly Report on Form 10-Q (File No. 001-36246) filed on November 3, 2015).</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440"/>
              <w:spacing w:after="0"/>
              <w:rPr>
                <w:sz w:val="20"/>
                <w:szCs w:val="20"/>
                <w:color w:val="auto"/>
              </w:rPr>
            </w:pPr>
            <w:r>
              <w:rPr>
                <w:rFonts w:ascii="Arial" w:cs="Arial" w:eastAsia="Arial" w:hAnsi="Arial"/>
                <w:sz w:val="18"/>
                <w:szCs w:val="18"/>
                <w:color w:val="auto"/>
                <w:w w:val="92"/>
              </w:rPr>
              <w:t>Dual Employment Agreement (United States) of Allan Schoening, dated July 16, 2015 (incorporated herein by reference to Exhibit 10.9 to</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the Quarterly Report on Form 10-Q (File No. 001-36246) filed on November 3, 2015).</w:t>
            </w:r>
          </w:p>
        </w:tc>
      </w:tr>
      <w:tr>
        <w:trPr>
          <w:trHeight w:val="472"/>
        </w:trPr>
        <w:tc>
          <w:tcPr>
            <w:tcW w:w="94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440"/>
              <w:spacing w:after="0"/>
              <w:rPr>
                <w:sz w:val="20"/>
                <w:szCs w:val="20"/>
                <w:color w:val="auto"/>
              </w:rPr>
            </w:pPr>
            <w:r>
              <w:rPr>
                <w:rFonts w:ascii="Arial" w:cs="Arial" w:eastAsia="Arial" w:hAnsi="Arial"/>
                <w:sz w:val="18"/>
                <w:szCs w:val="18"/>
                <w:color w:val="auto"/>
                <w:w w:val="95"/>
              </w:rPr>
              <w:t>Executive Agreement between Civeo Corporation and Mike Ridley, effective May 4, 2015 (incorporated herein by reference to Exhibit</w:t>
            </w:r>
          </w:p>
        </w:tc>
      </w:tr>
      <w:tr>
        <w:trPr>
          <w:trHeight w:val="230"/>
        </w:trPr>
        <w:tc>
          <w:tcPr>
            <w:tcW w:w="940" w:type="dxa"/>
            <w:vAlign w:val="bottom"/>
          </w:tcPr>
          <w:p>
            <w:pPr>
              <w:spacing w:after="0"/>
              <w:rPr>
                <w:sz w:val="20"/>
                <w:szCs w:val="20"/>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10.10 to the Quarterly Report on Form 10-Q (File No. 001-36246) filed on November 3, 2015).</w:t>
            </w:r>
          </w:p>
        </w:tc>
      </w:tr>
      <w:tr>
        <w:trPr>
          <w:trHeight w:val="729"/>
        </w:trPr>
        <w:tc>
          <w:tcPr>
            <w:tcW w:w="940" w:type="dxa"/>
            <w:vAlign w:val="bottom"/>
          </w:tcPr>
          <w:p>
            <w:pPr>
              <w:spacing w:after="0"/>
              <w:rPr>
                <w:sz w:val="24"/>
                <w:szCs w:val="24"/>
                <w:color w:val="auto"/>
              </w:rPr>
            </w:pPr>
          </w:p>
        </w:tc>
        <w:tc>
          <w:tcPr>
            <w:tcW w:w="10520" w:type="dxa"/>
            <w:vAlign w:val="bottom"/>
          </w:tcPr>
          <w:p>
            <w:pPr>
              <w:ind w:left="4640"/>
              <w:spacing w:after="0"/>
              <w:rPr>
                <w:sz w:val="20"/>
                <w:szCs w:val="20"/>
                <w:color w:val="auto"/>
              </w:rPr>
            </w:pPr>
            <w:r>
              <w:rPr>
                <w:rFonts w:ascii="Arial" w:cs="Arial" w:eastAsia="Arial" w:hAnsi="Arial"/>
                <w:sz w:val="18"/>
                <w:szCs w:val="18"/>
                <w:color w:val="auto"/>
              </w:rPr>
              <w:t>122</w:t>
            </w:r>
          </w:p>
        </w:tc>
      </w:tr>
      <w:tr>
        <w:trPr>
          <w:trHeight w:val="105"/>
        </w:trPr>
        <w:tc>
          <w:tcPr>
            <w:tcW w:w="940" w:type="dxa"/>
            <w:vAlign w:val="bottom"/>
          </w:tcPr>
          <w:p>
            <w:pPr>
              <w:spacing w:after="0"/>
              <w:rPr>
                <w:sz w:val="9"/>
                <w:szCs w:val="9"/>
                <w:color w:val="auto"/>
              </w:rPr>
            </w:pPr>
          </w:p>
        </w:tc>
        <w:tc>
          <w:tcPr>
            <w:tcW w:w="10520" w:type="dxa"/>
            <w:vAlign w:val="bottom"/>
          </w:tcPr>
          <w:p>
            <w:pPr>
              <w:spacing w:after="0"/>
              <w:rPr>
                <w:sz w:val="9"/>
                <w:szCs w:val="9"/>
                <w:color w:val="auto"/>
              </w:rPr>
            </w:pPr>
          </w:p>
        </w:tc>
      </w:tr>
      <w:tr>
        <w:trPr>
          <w:trHeight w:val="61"/>
        </w:trPr>
        <w:tc>
          <w:tcPr>
            <w:tcW w:w="940" w:type="dxa"/>
            <w:vAlign w:val="bottom"/>
            <w:shd w:val="clear" w:color="auto" w:fill="808080"/>
          </w:tcPr>
          <w:p>
            <w:pPr>
              <w:spacing w:after="0"/>
              <w:rPr>
                <w:sz w:val="5"/>
                <w:szCs w:val="5"/>
                <w:color w:val="auto"/>
              </w:rPr>
            </w:pPr>
          </w:p>
        </w:tc>
        <w:tc>
          <w:tcPr>
            <w:tcW w:w="105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10420" w:type="dxa"/>
            <w:vAlign w:val="bottom"/>
          </w:tcPr>
          <w:p>
            <w:pPr>
              <w:ind w:left="400"/>
              <w:spacing w:after="0"/>
              <w:rPr>
                <w:sz w:val="20"/>
                <w:szCs w:val="20"/>
                <w:color w:val="auto"/>
              </w:rPr>
            </w:pPr>
            <w:r>
              <w:rPr>
                <w:rFonts w:ascii="Arial" w:cs="Arial" w:eastAsia="Arial" w:hAnsi="Arial"/>
                <w:sz w:val="18"/>
                <w:szCs w:val="18"/>
                <w:color w:val="auto"/>
                <w:w w:val="92"/>
              </w:rPr>
              <w:t>Executive Change of Control Severance Agreement between Civeo Corporation and Allan Schoening, dated July 13, 2015 (incorporated</w:t>
            </w:r>
          </w:p>
        </w:tc>
      </w:tr>
      <w:tr>
        <w:trPr>
          <w:trHeight w:val="230"/>
        </w:trPr>
        <w:tc>
          <w:tcPr>
            <w:tcW w:w="980" w:type="dxa"/>
            <w:vAlign w:val="bottom"/>
          </w:tcPr>
          <w:p>
            <w:pPr>
              <w:spacing w:after="0"/>
              <w:rPr>
                <w:sz w:val="20"/>
                <w:szCs w:val="20"/>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herein by reference to Exhibit 10.11 to the Quarterly Report on Form 10-Q (File No. 001-36246) filed on November 3, 2015).</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10420" w:type="dxa"/>
            <w:vAlign w:val="bottom"/>
          </w:tcPr>
          <w:p>
            <w:pPr>
              <w:ind w:left="400"/>
              <w:spacing w:after="0"/>
              <w:rPr>
                <w:sz w:val="20"/>
                <w:szCs w:val="20"/>
                <w:color w:val="auto"/>
              </w:rPr>
            </w:pPr>
            <w:r>
              <w:rPr>
                <w:rFonts w:ascii="Arial" w:cs="Arial" w:eastAsia="Arial" w:hAnsi="Arial"/>
                <w:sz w:val="18"/>
                <w:szCs w:val="18"/>
                <w:color w:val="auto"/>
                <w:w w:val="93"/>
              </w:rPr>
              <w:t>Executive Agreement between Civeo Corporation and Allan Schoening, dated December 15, 2014 (incorporated herein by reference to</w:t>
            </w:r>
          </w:p>
        </w:tc>
      </w:tr>
      <w:tr>
        <w:trPr>
          <w:trHeight w:val="230"/>
        </w:trPr>
        <w:tc>
          <w:tcPr>
            <w:tcW w:w="980" w:type="dxa"/>
            <w:vAlign w:val="bottom"/>
          </w:tcPr>
          <w:p>
            <w:pPr>
              <w:spacing w:after="0"/>
              <w:rPr>
                <w:sz w:val="20"/>
                <w:szCs w:val="20"/>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10.12 to the Quarterly Report on Form 10-Q (File No. 001-36246) filed on November 3, 2015).</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10.29</w:t>
            </w:r>
          </w:p>
        </w:tc>
        <w:tc>
          <w:tcPr>
            <w:tcW w:w="10420" w:type="dxa"/>
            <w:vAlign w:val="bottom"/>
          </w:tcPr>
          <w:p>
            <w:pPr>
              <w:ind w:left="400"/>
              <w:spacing w:after="0"/>
              <w:rPr>
                <w:sz w:val="20"/>
                <w:szCs w:val="20"/>
                <w:color w:val="auto"/>
              </w:rPr>
            </w:pPr>
            <w:r>
              <w:rPr>
                <w:rFonts w:ascii="Arial" w:cs="Arial" w:eastAsia="Arial" w:hAnsi="Arial"/>
                <w:sz w:val="18"/>
                <w:szCs w:val="18"/>
                <w:color w:val="auto"/>
                <w:w w:val="97"/>
              </w:rPr>
              <w:t>First Amendment to Syndicated Facility Agreement, dated as of May 13, 2015, by and among Civeo Corporation, Civeo Canadian</w:t>
            </w:r>
          </w:p>
        </w:tc>
      </w:tr>
      <w:tr>
        <w:trPr>
          <w:trHeight w:val="216"/>
        </w:trPr>
        <w:tc>
          <w:tcPr>
            <w:tcW w:w="9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6"/>
              </w:rPr>
              <w:t>Holdings ULC, Civeo Canada Inc., Civeo Premium Camp Services Ltd., and Civeo PTY Limited as Borrowers, the Lenders named</w:t>
            </w:r>
          </w:p>
        </w:tc>
      </w:tr>
      <w:tr>
        <w:trPr>
          <w:trHeight w:val="216"/>
        </w:trPr>
        <w:tc>
          <w:tcPr>
            <w:tcW w:w="9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5"/>
              </w:rPr>
              <w:t>therein, Royal Bank of Canada, as Administrative Agent, U.S. Collateral Agent, Canadian Administrative Agent, Canadian Collateral</w:t>
            </w:r>
          </w:p>
        </w:tc>
      </w:tr>
      <w:tr>
        <w:trPr>
          <w:trHeight w:val="216"/>
        </w:trPr>
        <w:tc>
          <w:tcPr>
            <w:tcW w:w="9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5"/>
              </w:rPr>
              <w:t>Agent and an Issuing Bank and RBC Europe Limited, as Australian Administrative Agent, Australian Collateral Agent and an Issuing</w:t>
            </w:r>
          </w:p>
        </w:tc>
      </w:tr>
      <w:tr>
        <w:trPr>
          <w:trHeight w:val="230"/>
        </w:trPr>
        <w:tc>
          <w:tcPr>
            <w:tcW w:w="980" w:type="dxa"/>
            <w:vAlign w:val="bottom"/>
          </w:tcPr>
          <w:p>
            <w:pPr>
              <w:spacing w:after="0"/>
              <w:rPr>
                <w:sz w:val="20"/>
                <w:szCs w:val="20"/>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3"/>
              </w:rPr>
              <w:t>Bank (incorporated herein by reference to Exhibit 10.1 to the Current Report on Form 8-K (File No. 001-36246) filed on May 19, 2015).</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21.1*</w:t>
            </w:r>
          </w:p>
        </w:tc>
        <w:tc>
          <w:tcPr>
            <w:tcW w:w="10420" w:type="dxa"/>
            <w:vAlign w:val="bottom"/>
          </w:tcPr>
          <w:p>
            <w:pPr>
              <w:ind w:left="400"/>
              <w:spacing w:after="0"/>
              <w:rPr>
                <w:sz w:val="20"/>
                <w:szCs w:val="20"/>
                <w:color w:val="auto"/>
              </w:rPr>
            </w:pPr>
            <w:r>
              <w:rPr>
                <w:rFonts w:ascii="Arial" w:cs="Arial" w:eastAsia="Arial" w:hAnsi="Arial"/>
                <w:sz w:val="18"/>
                <w:szCs w:val="18"/>
                <w:color w:val="auto"/>
              </w:rPr>
              <w:t>List of Significant Subsidiaries of Civeo Corporation.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0420" w:type="dxa"/>
            <w:vAlign w:val="bottom"/>
          </w:tcPr>
          <w:p>
            <w:pPr>
              <w:ind w:left="400"/>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00"/>
              <w:spacing w:after="0"/>
              <w:rPr>
                <w:sz w:val="20"/>
                <w:szCs w:val="20"/>
                <w:color w:val="auto"/>
              </w:rPr>
            </w:pPr>
            <w:r>
              <w:rPr>
                <w:rFonts w:ascii="Arial" w:cs="Arial" w:eastAsia="Arial" w:hAnsi="Arial"/>
                <w:sz w:val="18"/>
                <w:szCs w:val="18"/>
                <w:color w:val="auto"/>
                <w:w w:val="94"/>
              </w:rPr>
              <w:t>— Certification of Chief Executive Officer of Civeo Corporation. pursuant to Rules 13a-14(a) or 15d-14(a) under the Securities Exchange</w:t>
            </w:r>
          </w:p>
        </w:tc>
      </w:tr>
      <w:tr>
        <w:trPr>
          <w:trHeight w:val="230"/>
        </w:trPr>
        <w:tc>
          <w:tcPr>
            <w:tcW w:w="980" w:type="dxa"/>
            <w:vAlign w:val="bottom"/>
          </w:tcPr>
          <w:p>
            <w:pPr>
              <w:spacing w:after="0"/>
              <w:rPr>
                <w:sz w:val="20"/>
                <w:szCs w:val="20"/>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Act of 1934.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200"/>
              <w:spacing w:after="0"/>
              <w:rPr>
                <w:sz w:val="20"/>
                <w:szCs w:val="20"/>
                <w:color w:val="auto"/>
              </w:rPr>
            </w:pPr>
            <w:r>
              <w:rPr>
                <w:rFonts w:ascii="Arial" w:cs="Arial" w:eastAsia="Arial" w:hAnsi="Arial"/>
                <w:sz w:val="18"/>
                <w:szCs w:val="18"/>
                <w:color w:val="auto"/>
                <w:w w:val="91"/>
              </w:rPr>
              <w:t>— Certification of Chief Financial Officer of Civeo Corporation. pursuant to Rules 13a-14(a) or 15d-14(a) under the Securities Exchange Act</w:t>
            </w:r>
          </w:p>
        </w:tc>
      </w:tr>
      <w:tr>
        <w:trPr>
          <w:trHeight w:val="230"/>
        </w:trPr>
        <w:tc>
          <w:tcPr>
            <w:tcW w:w="980" w:type="dxa"/>
            <w:vAlign w:val="bottom"/>
          </w:tcPr>
          <w:p>
            <w:pPr>
              <w:spacing w:after="0"/>
              <w:rPr>
                <w:sz w:val="20"/>
                <w:szCs w:val="20"/>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of 1934.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200"/>
              <w:spacing w:after="0"/>
              <w:rPr>
                <w:sz w:val="20"/>
                <w:szCs w:val="20"/>
                <w:color w:val="auto"/>
              </w:rPr>
            </w:pPr>
            <w:r>
              <w:rPr>
                <w:rFonts w:ascii="Arial" w:cs="Arial" w:eastAsia="Arial" w:hAnsi="Arial"/>
                <w:sz w:val="18"/>
                <w:szCs w:val="18"/>
                <w:color w:val="auto"/>
                <w:w w:val="94"/>
              </w:rPr>
              <w:t>— Certification of Chief Executive Officer of Civeo Corporation. pursuant to Rules 13a-14(b) or 15d-14(b) under the Securities Exchange</w:t>
            </w:r>
          </w:p>
        </w:tc>
      </w:tr>
      <w:tr>
        <w:trPr>
          <w:trHeight w:val="230"/>
        </w:trPr>
        <w:tc>
          <w:tcPr>
            <w:tcW w:w="980" w:type="dxa"/>
            <w:vAlign w:val="bottom"/>
          </w:tcPr>
          <w:p>
            <w:pPr>
              <w:spacing w:after="0"/>
              <w:rPr>
                <w:sz w:val="20"/>
                <w:szCs w:val="20"/>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Act of 1934.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tcPr>
          <w:p>
            <w:pPr>
              <w:ind w:left="200"/>
              <w:spacing w:after="0"/>
              <w:rPr>
                <w:sz w:val="20"/>
                <w:szCs w:val="20"/>
                <w:color w:val="auto"/>
              </w:rPr>
            </w:pPr>
            <w:r>
              <w:rPr>
                <w:rFonts w:ascii="Arial" w:cs="Arial" w:eastAsia="Arial" w:hAnsi="Arial"/>
                <w:sz w:val="18"/>
                <w:szCs w:val="18"/>
                <w:color w:val="auto"/>
                <w:w w:val="91"/>
              </w:rPr>
              <w:t>— Certification of Chief Financial Officer of Civeo Corporation. pursuant to Rules 13a-14(b) or 15d-14(b) under the Securities Exchange Act</w:t>
            </w:r>
          </w:p>
        </w:tc>
      </w:tr>
      <w:tr>
        <w:trPr>
          <w:trHeight w:val="230"/>
        </w:trPr>
        <w:tc>
          <w:tcPr>
            <w:tcW w:w="980" w:type="dxa"/>
            <w:vAlign w:val="bottom"/>
          </w:tcPr>
          <w:p>
            <w:pPr>
              <w:spacing w:after="0"/>
              <w:rPr>
                <w:sz w:val="20"/>
                <w:szCs w:val="20"/>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of 1934.</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00"/>
              <w:spacing w:after="0"/>
              <w:rPr>
                <w:sz w:val="20"/>
                <w:szCs w:val="20"/>
                <w:color w:val="auto"/>
              </w:rPr>
            </w:pPr>
            <w:r>
              <w:rPr>
                <w:rFonts w:ascii="Arial" w:cs="Arial" w:eastAsia="Arial" w:hAnsi="Arial"/>
                <w:sz w:val="18"/>
                <w:szCs w:val="18"/>
                <w:color w:val="auto"/>
              </w:rPr>
              <w:t>— XBRL Instance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0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2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0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00"/>
              <w:spacing w:after="0"/>
              <w:rPr>
                <w:sz w:val="20"/>
                <w:szCs w:val="20"/>
                <w:color w:val="auto"/>
              </w:rPr>
            </w:pPr>
            <w:r>
              <w:rPr>
                <w:rFonts w:ascii="Arial" w:cs="Arial" w:eastAsia="Arial" w:hAnsi="Arial"/>
                <w:sz w:val="18"/>
                <w:szCs w:val="18"/>
                <w:color w:val="auto"/>
              </w:rPr>
              <w:t>— XBRL Taxonomy Extension Presentation Linkbase Document</w:t>
            </w:r>
          </w:p>
        </w:tc>
      </w:tr>
    </w:tbl>
    <w:p>
      <w:pPr>
        <w:spacing w:after="0" w:line="202"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right="6320" w:firstLine="8"/>
        <w:spacing w:after="0" w:line="492" w:lineRule="auto"/>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 Furnished herewith.</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20"/>
          </w:cols>
          <w:pgMar w:left="240" w:top="584" w:right="239" w:bottom="1440" w:gutter="0" w:footer="0" w:header="0"/>
        </w:sectPr>
      </w:pPr>
    </w:p>
    <w:bookmarkStart w:id="128" w:name="page129"/>
    <w:bookmarkEnd w:id="128"/>
    <w:p>
      <w:pPr>
        <w:ind w:left="10540"/>
        <w:spacing w:after="0"/>
        <w:rPr>
          <w:sz w:val="20"/>
          <w:szCs w:val="20"/>
          <w:color w:val="auto"/>
        </w:rPr>
      </w:pPr>
      <w:r>
        <w:rPr>
          <w:rFonts w:ascii="Arial" w:cs="Arial" w:eastAsia="Arial" w:hAnsi="Arial"/>
          <w:sz w:val="16"/>
          <w:szCs w:val="16"/>
          <w:color w:val="auto"/>
        </w:rPr>
        <w:t>Exhibit 21.1</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SIGNIFICANT SUBSIDIARIES OF CIVEO CORPORATION</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Entity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Civeo Premium Camp Services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 Mars Holdings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Investments BC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Lodge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U.S.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Mars Coöperatief 1 U.A.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Civeo Holding Company 1 Pty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Civeo Pty Ltd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Organization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BC, Canada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BC, Canada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BC, Canada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BC, Canada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Australia</w:t>
      </w:r>
    </w:p>
    <w:p>
      <w:pPr>
        <w:spacing w:after="0" w:line="200" w:lineRule="exact"/>
        <w:rPr>
          <w:sz w:val="20"/>
          <w:szCs w:val="20"/>
          <w:color w:val="auto"/>
        </w:rPr>
      </w:pPr>
    </w:p>
    <w:p>
      <w:pPr>
        <w:sectPr>
          <w:pgSz w:w="11900" w:h="16838" w:orient="portrait"/>
          <w:cols w:equalWidth="0" w:num="2">
            <w:col w:w="9000" w:space="720"/>
            <w:col w:w="1700"/>
          </w:cols>
          <w:pgMar w:left="240" w:top="125" w:right="23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333-196292, as amended) pertaining to the 2014 Equity Participation Plan of Civeo Corporation of our reports dated February 26, 2016, with respect to the consolidated financial statements of Civeo Corporation and subsidiaries’ and the effectiveness of internal control over financial reporting of Civeo Corporation and subsidiaries’, incorporated by reference in this Annual Report (Form 10-K)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337"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ind w:left="920" w:hanging="324"/>
        <w:spacing w:after="0" w:line="342" w:lineRule="auto"/>
        <w:tabs>
          <w:tab w:leader="none" w:pos="9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40" w:hanging="320"/>
        <w:spacing w:after="0" w:line="308" w:lineRule="auto"/>
        <w:tabs>
          <w:tab w:leader="none" w:pos="12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1240" w:right="300" w:hanging="320"/>
        <w:spacing w:after="0" w:line="277" w:lineRule="auto"/>
        <w:tabs>
          <w:tab w:leader="none" w:pos="12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/s/Bradley J. Dodson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-130810</wp:posOffset>
            </wp:positionV>
            <wp:extent cx="25298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60"/>
          </w:cols>
          <w:pgMar w:left="300" w:top="58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and have:</w:t>
      </w:r>
    </w:p>
    <w:p>
      <w:pPr>
        <w:spacing w:after="0" w:line="210" w:lineRule="exact"/>
        <w:rPr>
          <w:rFonts w:ascii="Arial" w:cs="Arial" w:eastAsia="Arial" w:hAnsi="Arial"/>
          <w:sz w:val="16"/>
          <w:szCs w:val="16"/>
          <w:color w:val="auto"/>
        </w:rPr>
      </w:pPr>
    </w:p>
    <w:p>
      <w:pPr>
        <w:jc w:val="both"/>
        <w:ind w:left="1300" w:right="12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3" w:name="page134"/>
    <w:bookmarkEnd w:id="133"/>
    <w:p>
      <w:pPr>
        <w:ind w:left="920" w:hanging="324"/>
        <w:spacing w:after="0" w:line="342" w:lineRule="auto"/>
        <w:tabs>
          <w:tab w:leader="none" w:pos="9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40" w:hanging="320"/>
        <w:spacing w:after="0" w:line="308" w:lineRule="auto"/>
        <w:tabs>
          <w:tab w:leader="none" w:pos="12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40" w:right="20" w:hanging="320"/>
        <w:spacing w:after="0" w:line="277" w:lineRule="auto"/>
        <w:tabs>
          <w:tab w:leader="none" w:pos="12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Frank C. Steininger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-130810</wp:posOffset>
            </wp:positionV>
            <wp:extent cx="25298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360"/>
          </w:cols>
          <w:pgMar w:left="300" w:top="58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Annual Report on Form 10-K for the twelve month period ended December 31, 2015 filed with the Securities and Exchange Commission (the “Report”), I, Bradley J. Dodson, President and Chief Executive Officer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/s/Bradley J. Dodson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February 26, 2016</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Annual Report on Form 10-K for the twelve month period ended December 31, 2015 filed with the Securities and Exchange Commission (the “Report”), I, Frank C. Steininger, Senior Vice President, Chief Financial Officer and Treasurer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/s/Frank C. Steininger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February 26,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upperLetter"/>
      <w:start w:val="24"/>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lowerRoman"/>
      <w:start w:val="6"/>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decimal"/>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lowerRoman"/>
      <w:start w:val="1"/>
    </w:lvl>
  </w:abstractNum>
  <w:abstractNum w:abstractNumId="43">
    <w:nsid w:val="D34B6A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lowerRoman"/>
      <w:start w:val="2"/>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1."/>
      <w:numFmt w:val="decimal"/>
      <w:start w:val="2"/>
    </w:lvl>
  </w:abstractNum>
  <w:abstractNum w:abstractNumId="50">
    <w:nsid w:val="310C50B3"/>
    <w:multiLevelType w:val="hybridMultilevel"/>
    <w:lvl w:ilvl="0">
      <w:lvlJc w:val="left"/>
      <w:lvlText w:val="%1."/>
      <w:numFmt w:val="decimal"/>
      <w:start w:val="3"/>
    </w:lvl>
  </w:abstractNum>
  <w:abstractNum w:abstractNumId="51">
    <w:nsid w:val="5FF87E05"/>
    <w:multiLevelType w:val="hybridMultilevel"/>
    <w:lvl w:ilvl="0">
      <w:lvlJc w:val="left"/>
      <w:lvlText w:val="%1."/>
      <w:numFmt w:val="decimal"/>
      <w:start w:val="4"/>
    </w:lvl>
  </w:abstractNum>
  <w:abstractNum w:abstractNumId="52">
    <w:nsid w:val="2F305DEF"/>
    <w:multiLevelType w:val="hybridMultilevel"/>
    <w:lvl w:ilvl="0">
      <w:lvlJc w:val="left"/>
      <w:lvlText w:val="%1."/>
      <w:numFmt w:val="decimal"/>
      <w:start w:val="5"/>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1."/>
      <w:numFmt w:val="decimal"/>
      <w:start w:val="7"/>
    </w:lvl>
  </w:abstractNum>
  <w:abstractNum w:abstractNumId="55">
    <w:nsid w:val="4AD084E9"/>
    <w:multiLevelType w:val="hybridMultilevel"/>
    <w:lvl w:ilvl="0">
      <w:lvlJc w:val="left"/>
      <w:lvlText w:val="%1."/>
      <w:numFmt w:val="decimal"/>
      <w:start w:val="8"/>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decimal"/>
      <w:start w:val="17"/>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18"/>
    </w:lvl>
  </w:abstractNum>
  <w:abstractNum w:abstractNumId="63">
    <w:nsid w:val="98A3148"/>
    <w:multiLevelType w:val="hybridMultilevel"/>
    <w:lvl w:ilvl="0">
      <w:lvlJc w:val="left"/>
      <w:lvlText w:val="(%1)"/>
      <w:numFmt w:val="decimal"/>
      <w:start w:val="1"/>
    </w:lvl>
    <w:lvl w:ilvl="1">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1)"/>
      <w:numFmt w:val="decimal"/>
      <w:start w:val="4"/>
    </w:lvl>
    <w:lvl w:ilvl="1">
      <w:lvlJc w:val="left"/>
      <w:lvlText w:val="●"/>
      <w:numFmt w:val="bullet"/>
      <w:start w:val="1"/>
    </w:lvl>
  </w:abstractNum>
  <w:abstractNum w:abstractNumId="66">
    <w:nsid w:val="42C296BD"/>
    <w:multiLevelType w:val="hybridMultilevel"/>
    <w:lvl w:ilvl="0">
      <w:lvlJc w:val="left"/>
      <w:lvlText w:val="(%1)"/>
      <w:numFmt w:val="decimal"/>
      <w:start w:val="5"/>
    </w:lvl>
    <w:lvl w:ilvl="1">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1."/>
      <w:numFmt w:val="decimal"/>
      <w:start w:val="20"/>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decimal"/>
      <w:start w:val="5"/>
    </w:lvl>
    <w:lvl w:ilvl="1">
      <w:lvlJc w:val="left"/>
      <w:lvlText w:val="%2."/>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5"/>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2019-12-08T23:59:36Z</dcterms:created>
  <dcterms:modified xsi:type="dcterms:W3CDTF">2019-12-08T23:59:36Z</dcterms:modified>
</cp:coreProperties>
</file>