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Washington, D.C. 20549</w:t>
      </w:r>
    </w:p>
    <w:p>
      <w:pPr>
        <w:spacing w:after="0" w:line="10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10-Q</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860" w:right="1880" w:hanging="811"/>
        <w:spacing w:after="0" w:line="328"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2019</w:t>
      </w:r>
    </w:p>
    <w:p>
      <w:pPr>
        <w:spacing w:after="0" w:line="1" w:lineRule="exact"/>
        <w:rPr>
          <w:sz w:val="24"/>
          <w:szCs w:val="24"/>
          <w:color w:val="auto"/>
        </w:rPr>
      </w:pPr>
    </w:p>
    <w:p>
      <w:pPr>
        <w:jc w:val="center"/>
        <w:ind w:left="480"/>
        <w:spacing w:after="0"/>
        <w:rPr>
          <w:sz w:val="20"/>
          <w:szCs w:val="20"/>
          <w:color w:val="auto"/>
        </w:rPr>
      </w:pPr>
      <w:r>
        <w:rPr>
          <w:rFonts w:ascii="Arial" w:cs="Arial" w:eastAsia="Arial" w:hAnsi="Arial"/>
          <w:sz w:val="18"/>
          <w:szCs w:val="18"/>
          <w:color w:val="auto"/>
        </w:rPr>
        <w:t>OR</w:t>
      </w:r>
    </w:p>
    <w:p>
      <w:pPr>
        <w:spacing w:after="0" w:line="171" w:lineRule="exact"/>
        <w:rPr>
          <w:sz w:val="24"/>
          <w:szCs w:val="24"/>
          <w:color w:val="auto"/>
        </w:rPr>
      </w:pPr>
    </w:p>
    <w:p>
      <w:pPr>
        <w:ind w:left="40"/>
        <w:spacing w:after="0"/>
        <w:tabs>
          <w:tab w:leader="none" w:pos="8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PURSUANT TO SECTION 13 OR 15(d) OF THE SECURITIES EXCHANGE ACT OF 1934</w:t>
      </w:r>
    </w:p>
    <w:p>
      <w:pPr>
        <w:spacing w:after="0" w:line="333" w:lineRule="exact"/>
        <w:rPr>
          <w:sz w:val="24"/>
          <w:szCs w:val="24"/>
          <w:color w:val="auto"/>
        </w:rPr>
      </w:pPr>
    </w:p>
    <w:p>
      <w:pPr>
        <w:ind w:left="860"/>
        <w:spacing w:after="0"/>
        <w:rPr>
          <w:sz w:val="20"/>
          <w:szCs w:val="20"/>
          <w:color w:val="auto"/>
        </w:rPr>
      </w:pPr>
      <w:r>
        <w:rPr>
          <w:rFonts w:ascii="Arial" w:cs="Arial" w:eastAsia="Arial" w:hAnsi="Arial"/>
          <w:sz w:val="18"/>
          <w:szCs w:val="18"/>
          <w:color w:val="auto"/>
        </w:rPr>
        <w:t>For the transition period from _________________________ to _________________________</w:t>
      </w:r>
    </w:p>
    <w:p>
      <w:pPr>
        <w:spacing w:after="0" w:line="9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001-36246</w:t>
      </w:r>
    </w:p>
    <w:p>
      <w:pPr>
        <w:spacing w:after="0" w:line="118"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97155</wp:posOffset>
            </wp:positionV>
            <wp:extent cx="13804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0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316" w:lineRule="exact"/>
        <w:rPr>
          <w:sz w:val="24"/>
          <w:szCs w:val="24"/>
          <w:color w:val="auto"/>
        </w:rPr>
      </w:pPr>
    </w:p>
    <w:tbl>
      <w:tblPr>
        <w:tblLayout w:type="fixed"/>
        <w:tblInd w:w="110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92"/>
              </w:rPr>
              <w:t>British Columbia, Canada</w:t>
            </w:r>
          </w:p>
        </w:tc>
        <w:tc>
          <w:tcPr>
            <w:tcW w:w="5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280" w:type="dxa"/>
            <w:vAlign w:val="bottom"/>
            <w:gridSpan w:val="5"/>
          </w:tcPr>
          <w:p>
            <w:pPr>
              <w:jc w:val="right"/>
              <w:ind w:right="920"/>
              <w:spacing w:after="0"/>
              <w:rPr>
                <w:sz w:val="20"/>
                <w:szCs w:val="20"/>
                <w:color w:val="auto"/>
              </w:rPr>
            </w:pPr>
            <w:r>
              <w:rPr>
                <w:rFonts w:ascii="Arial" w:cs="Arial" w:eastAsia="Arial" w:hAnsi="Arial"/>
                <w:sz w:val="18"/>
                <w:szCs w:val="18"/>
                <w:color w:val="auto"/>
              </w:rPr>
              <w:t>98-1253716</w:t>
            </w:r>
          </w:p>
        </w:tc>
      </w:tr>
      <w:tr>
        <w:trPr>
          <w:trHeight w:val="20"/>
        </w:trPr>
        <w:tc>
          <w:tcPr>
            <w:tcW w:w="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3240" w:type="dxa"/>
            <w:vAlign w:val="bottom"/>
            <w:gridSpan w:val="5"/>
          </w:tcPr>
          <w:p>
            <w:pPr>
              <w:jc w:val="center"/>
              <w:ind w:left="193"/>
              <w:spacing w:after="0"/>
              <w:rPr>
                <w:sz w:val="20"/>
                <w:szCs w:val="20"/>
                <w:color w:val="auto"/>
              </w:rPr>
            </w:pPr>
            <w:r>
              <w:rPr>
                <w:rFonts w:ascii="Arial" w:cs="Arial" w:eastAsia="Arial" w:hAnsi="Arial"/>
                <w:sz w:val="18"/>
                <w:szCs w:val="18"/>
                <w:color w:val="auto"/>
                <w:w w:val="92"/>
              </w:rPr>
              <w:t>(State or other jurisdiction of</w:t>
            </w:r>
          </w:p>
        </w:tc>
        <w:tc>
          <w:tcPr>
            <w:tcW w:w="2280" w:type="dxa"/>
            <w:vAlign w:val="bottom"/>
          </w:tcPr>
          <w:p>
            <w:pPr>
              <w:spacing w:after="0"/>
              <w:rPr>
                <w:sz w:val="24"/>
                <w:szCs w:val="24"/>
                <w:color w:val="auto"/>
              </w:rPr>
            </w:pPr>
          </w:p>
        </w:tc>
        <w:tc>
          <w:tcPr>
            <w:tcW w:w="3280" w:type="dxa"/>
            <w:vAlign w:val="bottom"/>
            <w:gridSpan w:val="5"/>
          </w:tcPr>
          <w:p>
            <w:pPr>
              <w:jc w:val="center"/>
              <w:ind w:left="494"/>
              <w:spacing w:after="0"/>
              <w:rPr>
                <w:sz w:val="20"/>
                <w:szCs w:val="20"/>
                <w:color w:val="auto"/>
              </w:rPr>
            </w:pPr>
            <w:r>
              <w:rPr>
                <w:rFonts w:ascii="Arial" w:cs="Arial" w:eastAsia="Arial" w:hAnsi="Arial"/>
                <w:sz w:val="18"/>
                <w:szCs w:val="18"/>
                <w:color w:val="auto"/>
                <w:w w:val="92"/>
              </w:rPr>
              <w:t>(I.R.S. Employer</w:t>
            </w:r>
          </w:p>
        </w:tc>
      </w:tr>
      <w:tr>
        <w:trPr>
          <w:trHeight w:val="270"/>
        </w:trPr>
        <w:tc>
          <w:tcPr>
            <w:tcW w:w="3240" w:type="dxa"/>
            <w:vAlign w:val="bottom"/>
            <w:gridSpan w:val="5"/>
          </w:tcPr>
          <w:p>
            <w:pPr>
              <w:jc w:val="center"/>
              <w:ind w:left="193"/>
              <w:spacing w:after="0"/>
              <w:rPr>
                <w:sz w:val="20"/>
                <w:szCs w:val="20"/>
                <w:color w:val="auto"/>
              </w:rPr>
            </w:pPr>
            <w:r>
              <w:rPr>
                <w:rFonts w:ascii="Arial" w:cs="Arial" w:eastAsia="Arial" w:hAnsi="Arial"/>
                <w:sz w:val="18"/>
                <w:szCs w:val="18"/>
                <w:color w:val="auto"/>
                <w:w w:val="92"/>
              </w:rPr>
              <w:t>incorporation or organization)</w:t>
            </w:r>
          </w:p>
        </w:tc>
        <w:tc>
          <w:tcPr>
            <w:tcW w:w="2280" w:type="dxa"/>
            <w:vAlign w:val="bottom"/>
          </w:tcPr>
          <w:p>
            <w:pPr>
              <w:spacing w:after="0"/>
              <w:rPr>
                <w:sz w:val="23"/>
                <w:szCs w:val="23"/>
                <w:color w:val="auto"/>
              </w:rPr>
            </w:pPr>
          </w:p>
        </w:tc>
        <w:tc>
          <w:tcPr>
            <w:tcW w:w="3280" w:type="dxa"/>
            <w:vAlign w:val="bottom"/>
            <w:gridSpan w:val="5"/>
          </w:tcPr>
          <w:p>
            <w:pPr>
              <w:jc w:val="center"/>
              <w:ind w:left="494"/>
              <w:spacing w:after="0"/>
              <w:rPr>
                <w:sz w:val="20"/>
                <w:szCs w:val="20"/>
                <w:color w:val="auto"/>
              </w:rPr>
            </w:pPr>
            <w:r>
              <w:rPr>
                <w:rFonts w:ascii="Arial" w:cs="Arial" w:eastAsia="Arial" w:hAnsi="Arial"/>
                <w:sz w:val="18"/>
                <w:szCs w:val="18"/>
                <w:color w:val="auto"/>
                <w:w w:val="95"/>
              </w:rPr>
              <w:t>Identification No.)</w:t>
            </w:r>
          </w:p>
        </w:tc>
      </w:tr>
      <w:tr>
        <w:trPr>
          <w:trHeight w:val="500"/>
        </w:trPr>
        <w:tc>
          <w:tcPr>
            <w:tcW w:w="5520" w:type="dxa"/>
            <w:vAlign w:val="bottom"/>
            <w:gridSpan w:val="6"/>
          </w:tcPr>
          <w:p>
            <w:pPr>
              <w:jc w:val="center"/>
              <w:ind w:right="1936"/>
              <w:spacing w:after="0"/>
              <w:rPr>
                <w:sz w:val="20"/>
                <w:szCs w:val="20"/>
                <w:color w:val="auto"/>
              </w:rPr>
            </w:pPr>
            <w:r>
              <w:rPr>
                <w:rFonts w:ascii="Arial" w:cs="Arial" w:eastAsia="Arial" w:hAnsi="Arial"/>
                <w:sz w:val="18"/>
                <w:szCs w:val="18"/>
                <w:color w:val="auto"/>
                <w:w w:val="90"/>
              </w:rPr>
              <w:t>Three Allen Center, 333 Clay Street, Suite 4980,</w:t>
            </w:r>
          </w:p>
        </w:tc>
        <w:tc>
          <w:tcPr>
            <w:tcW w:w="170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77002</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820" w:type="dxa"/>
            <w:vAlign w:val="bottom"/>
          </w:tcPr>
          <w:p>
            <w:pPr>
              <w:spacing w:after="0"/>
              <w:rPr>
                <w:sz w:val="21"/>
                <w:szCs w:val="21"/>
                <w:color w:val="auto"/>
              </w:rPr>
            </w:pPr>
          </w:p>
        </w:tc>
        <w:tc>
          <w:tcPr>
            <w:tcW w:w="2420" w:type="dxa"/>
            <w:vAlign w:val="bottom"/>
            <w:gridSpan w:val="4"/>
          </w:tcPr>
          <w:p>
            <w:pPr>
              <w:jc w:val="center"/>
              <w:ind w:right="450"/>
              <w:spacing w:after="0"/>
              <w:rPr>
                <w:sz w:val="20"/>
                <w:szCs w:val="20"/>
                <w:color w:val="auto"/>
              </w:rPr>
            </w:pPr>
            <w:r>
              <w:rPr>
                <w:rFonts w:ascii="Arial" w:cs="Arial" w:eastAsia="Arial" w:hAnsi="Arial"/>
                <w:sz w:val="18"/>
                <w:szCs w:val="18"/>
                <w:color w:val="auto"/>
                <w:w w:val="88"/>
              </w:rPr>
              <w:t>Houston, Texas</w:t>
            </w:r>
          </w:p>
        </w:tc>
        <w:tc>
          <w:tcPr>
            <w:tcW w:w="2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780" w:type="dxa"/>
            <w:vAlign w:val="bottom"/>
            <w:gridSpan w:val="4"/>
          </w:tcPr>
          <w:p>
            <w:pPr>
              <w:jc w:val="center"/>
              <w:ind w:right="920"/>
              <w:spacing w:after="0"/>
              <w:rPr>
                <w:sz w:val="20"/>
                <w:szCs w:val="20"/>
                <w:color w:val="auto"/>
              </w:rPr>
            </w:pPr>
            <w:r>
              <w:rPr>
                <w:rFonts w:ascii="Arial" w:cs="Arial" w:eastAsia="Arial" w:hAnsi="Arial"/>
                <w:sz w:val="18"/>
                <w:szCs w:val="18"/>
                <w:color w:val="auto"/>
                <w:w w:val="91"/>
              </w:rPr>
              <w:t>(Zip Code)</w:t>
            </w:r>
          </w:p>
        </w:tc>
      </w:tr>
      <w:tr>
        <w:trPr>
          <w:trHeight w:val="20"/>
        </w:trPr>
        <w:tc>
          <w:tcPr>
            <w:tcW w:w="120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3240" w:type="dxa"/>
            <w:vAlign w:val="bottom"/>
            <w:gridSpan w:val="5"/>
          </w:tcPr>
          <w:p>
            <w:pPr>
              <w:jc w:val="center"/>
              <w:ind w:left="173"/>
              <w:spacing w:after="0"/>
              <w:rPr>
                <w:sz w:val="20"/>
                <w:szCs w:val="20"/>
                <w:color w:val="auto"/>
              </w:rPr>
            </w:pPr>
            <w:r>
              <w:rPr>
                <w:rFonts w:ascii="Arial" w:cs="Arial" w:eastAsia="Arial" w:hAnsi="Arial"/>
                <w:sz w:val="18"/>
                <w:szCs w:val="18"/>
                <w:color w:val="auto"/>
                <w:w w:val="92"/>
              </w:rPr>
              <w:t>(Address of principal executive offices)</w:t>
            </w:r>
          </w:p>
        </w:tc>
        <w:tc>
          <w:tcPr>
            <w:tcW w:w="2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jc w:val="right"/>
              <w:ind w:right="196"/>
              <w:spacing w:after="0"/>
              <w:rPr>
                <w:sz w:val="20"/>
                <w:szCs w:val="20"/>
                <w:color w:val="auto"/>
              </w:rPr>
            </w:pPr>
            <w:r>
              <w:rPr>
                <w:rFonts w:ascii="Arial" w:cs="Arial" w:eastAsia="Arial" w:hAnsi="Arial"/>
                <w:sz w:val="18"/>
                <w:szCs w:val="18"/>
                <w:color w:val="auto"/>
              </w:rPr>
              <w:t>(713) 510-2400</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00" w:type="dxa"/>
            <w:vAlign w:val="bottom"/>
            <w:gridSpan w:val="7"/>
          </w:tcPr>
          <w:p>
            <w:pPr>
              <w:jc w:val="center"/>
              <w:ind w:right="214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59"/>
        </w:trPr>
        <w:tc>
          <w:tcPr>
            <w:tcW w:w="3240" w:type="dxa"/>
            <w:vAlign w:val="bottom"/>
            <w:gridSpan w:val="5"/>
          </w:tcPr>
          <w:p>
            <w:pPr>
              <w:jc w:val="center"/>
              <w:ind w:right="870"/>
              <w:spacing w:after="0"/>
              <w:rPr>
                <w:sz w:val="20"/>
                <w:szCs w:val="20"/>
                <w:color w:val="auto"/>
              </w:rPr>
            </w:pPr>
            <w:r>
              <w:rPr>
                <w:rFonts w:ascii="Arial" w:cs="Arial" w:eastAsia="Arial" w:hAnsi="Arial"/>
                <w:sz w:val="16"/>
                <w:szCs w:val="16"/>
                <w:color w:val="auto"/>
                <w:w w:val="92"/>
              </w:rPr>
              <w:t>Title of Each Class</w:t>
            </w:r>
          </w:p>
        </w:tc>
        <w:tc>
          <w:tcPr>
            <w:tcW w:w="2280" w:type="dxa"/>
            <w:vAlign w:val="bottom"/>
          </w:tcPr>
          <w:p>
            <w:pPr>
              <w:jc w:val="center"/>
              <w:ind w:right="1036"/>
              <w:spacing w:after="0"/>
              <w:rPr>
                <w:sz w:val="20"/>
                <w:szCs w:val="20"/>
                <w:color w:val="auto"/>
              </w:rPr>
            </w:pPr>
            <w:r>
              <w:rPr>
                <w:rFonts w:ascii="Arial" w:cs="Arial" w:eastAsia="Arial" w:hAnsi="Arial"/>
                <w:sz w:val="16"/>
                <w:szCs w:val="16"/>
                <w:color w:val="auto"/>
                <w:w w:val="92"/>
              </w:rPr>
              <w:t>Trading Symbol</w:t>
            </w:r>
          </w:p>
        </w:tc>
        <w:tc>
          <w:tcPr>
            <w:tcW w:w="3280" w:type="dxa"/>
            <w:vAlign w:val="bottom"/>
            <w:gridSpan w:val="5"/>
          </w:tcPr>
          <w:p>
            <w:pPr>
              <w:jc w:val="center"/>
              <w:ind w:left="174"/>
              <w:spacing w:after="0"/>
              <w:rPr>
                <w:sz w:val="20"/>
                <w:szCs w:val="20"/>
                <w:color w:val="auto"/>
              </w:rPr>
            </w:pPr>
            <w:r>
              <w:rPr>
                <w:rFonts w:ascii="Arial" w:cs="Arial" w:eastAsia="Arial" w:hAnsi="Arial"/>
                <w:sz w:val="16"/>
                <w:szCs w:val="16"/>
                <w:color w:val="auto"/>
                <w:w w:val="91"/>
              </w:rPr>
              <w:t>Name of Each Exchange on Which Registered</w:t>
            </w:r>
          </w:p>
        </w:tc>
      </w:tr>
      <w:tr>
        <w:trPr>
          <w:trHeight w:val="257"/>
        </w:trPr>
        <w:tc>
          <w:tcPr>
            <w:tcW w:w="3240" w:type="dxa"/>
            <w:vAlign w:val="bottom"/>
            <w:gridSpan w:val="5"/>
          </w:tcPr>
          <w:p>
            <w:pPr>
              <w:jc w:val="center"/>
              <w:ind w:right="870"/>
              <w:spacing w:after="0"/>
              <w:rPr>
                <w:sz w:val="20"/>
                <w:szCs w:val="20"/>
                <w:color w:val="auto"/>
              </w:rPr>
            </w:pPr>
            <w:r>
              <w:rPr>
                <w:rFonts w:ascii="Arial" w:cs="Arial" w:eastAsia="Arial" w:hAnsi="Arial"/>
                <w:sz w:val="16"/>
                <w:szCs w:val="16"/>
                <w:color w:val="auto"/>
                <w:w w:val="90"/>
              </w:rPr>
              <w:t>Common Shares, no par value</w:t>
            </w:r>
          </w:p>
        </w:tc>
        <w:tc>
          <w:tcPr>
            <w:tcW w:w="2280" w:type="dxa"/>
            <w:vAlign w:val="bottom"/>
          </w:tcPr>
          <w:p>
            <w:pPr>
              <w:jc w:val="center"/>
              <w:ind w:right="1036"/>
              <w:spacing w:after="0"/>
              <w:rPr>
                <w:sz w:val="20"/>
                <w:szCs w:val="20"/>
                <w:color w:val="auto"/>
              </w:rPr>
            </w:pPr>
            <w:r>
              <w:rPr>
                <w:rFonts w:ascii="Arial" w:cs="Arial" w:eastAsia="Arial" w:hAnsi="Arial"/>
                <w:sz w:val="16"/>
                <w:szCs w:val="16"/>
                <w:color w:val="auto"/>
                <w:w w:val="96"/>
              </w:rPr>
              <w:t>CVEO</w:t>
            </w:r>
          </w:p>
        </w:tc>
        <w:tc>
          <w:tcPr>
            <w:tcW w:w="3280" w:type="dxa"/>
            <w:vAlign w:val="bottom"/>
            <w:gridSpan w:val="5"/>
          </w:tcPr>
          <w:p>
            <w:pPr>
              <w:jc w:val="center"/>
              <w:ind w:left="174"/>
              <w:spacing w:after="0"/>
              <w:rPr>
                <w:sz w:val="20"/>
                <w:szCs w:val="20"/>
                <w:color w:val="auto"/>
              </w:rPr>
            </w:pPr>
            <w:r>
              <w:rPr>
                <w:rFonts w:ascii="Arial" w:cs="Arial" w:eastAsia="Arial" w:hAnsi="Arial"/>
                <w:sz w:val="16"/>
                <w:szCs w:val="16"/>
                <w:color w:val="auto"/>
                <w:w w:val="91"/>
              </w:rPr>
              <w:t>New York Stock Exchange</w:t>
            </w:r>
          </w:p>
        </w:tc>
      </w:tr>
    </w:tbl>
    <w:p>
      <w:pPr>
        <w:spacing w:after="0" w:line="122" w:lineRule="exact"/>
        <w:rPr>
          <w:sz w:val="24"/>
          <w:szCs w:val="24"/>
          <w:color w:val="auto"/>
        </w:rPr>
      </w:pPr>
    </w:p>
    <w:p>
      <w:pPr>
        <w:ind w:right="100"/>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0" w:lineRule="exact"/>
        <w:rPr>
          <w:sz w:val="24"/>
          <w:szCs w:val="24"/>
          <w:color w:val="auto"/>
        </w:rPr>
      </w:pPr>
    </w:p>
    <w:p>
      <w:pPr>
        <w:ind w:left="3580"/>
        <w:spacing w:after="0"/>
        <w:tabs>
          <w:tab w:leader="none" w:pos="832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12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0" w:lineRule="exact"/>
        <w:rPr>
          <w:sz w:val="24"/>
          <w:szCs w:val="24"/>
          <w:color w:val="auto"/>
        </w:rPr>
      </w:pPr>
    </w:p>
    <w:p>
      <w:pPr>
        <w:ind w:left="3580"/>
        <w:spacing w:after="0"/>
        <w:tabs>
          <w:tab w:leader="none" w:pos="832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123" w:lineRule="exact"/>
        <w:rPr>
          <w:sz w:val="24"/>
          <w:szCs w:val="24"/>
          <w:color w:val="auto"/>
        </w:rPr>
      </w:pPr>
    </w:p>
    <w:p>
      <w:pPr>
        <w:ind w:right="6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sectPr>
      </w:pPr>
    </w:p>
    <w:p>
      <w:pPr>
        <w:spacing w:after="0" w:line="1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Large Accelerated Filer [ ]</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 [X]</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 [ ]</w:t>
      </w:r>
    </w:p>
    <w:p>
      <w:pPr>
        <w:spacing w:after="0" w:line="200" w:lineRule="exact"/>
        <w:rPr>
          <w:sz w:val="24"/>
          <w:szCs w:val="24"/>
          <w:color w:val="auto"/>
        </w:rPr>
      </w:pPr>
    </w:p>
    <w:p>
      <w:pPr>
        <w:sectPr>
          <w:pgSz w:w="11900" w:h="16838" w:orient="portrait"/>
          <w:cols w:equalWidth="0" w:num="3">
            <w:col w:w="4680" w:space="720"/>
            <w:col w:w="2340" w:space="720"/>
            <w:col w:w="2960"/>
          </w:cols>
          <w:pgMar w:left="240" w:top="233" w:right="239" w:bottom="1440" w:gutter="0" w:footer="0" w:header="0"/>
          <w:type w:val="continuous"/>
        </w:sectPr>
      </w:pPr>
    </w:p>
    <w:p>
      <w:pPr>
        <w:spacing w:after="0" w:line="56"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 [ ]</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ind w:right="4160"/>
        <w:spacing w:after="0"/>
        <w:rPr>
          <w:sz w:val="20"/>
          <w:szCs w:val="20"/>
          <w:color w:val="auto"/>
        </w:rPr>
      </w:pPr>
      <w:r>
        <w:rPr>
          <w:rFonts w:ascii="Arial" w:cs="Arial" w:eastAsia="Arial" w:hAnsi="Arial"/>
          <w:sz w:val="13"/>
          <w:szCs w:val="13"/>
          <w:color w:val="auto"/>
        </w:rPr>
        <w:t>Smaller Reporting Company [ ]</w:t>
      </w:r>
    </w:p>
    <w:p>
      <w:pPr>
        <w:spacing w:after="0" w:line="188" w:lineRule="exact"/>
        <w:rPr>
          <w:sz w:val="24"/>
          <w:szCs w:val="24"/>
          <w:color w:val="auto"/>
        </w:rPr>
      </w:pPr>
    </w:p>
    <w:p>
      <w:pPr>
        <w:sectPr>
          <w:pgSz w:w="11900" w:h="16838" w:orient="portrait"/>
          <w:cols w:equalWidth="0" w:num="2">
            <w:col w:w="4680" w:space="720"/>
            <w:col w:w="6020"/>
          </w:cols>
          <w:pgMar w:left="240" w:top="233" w:right="239" w:bottom="1440" w:gutter="0" w:footer="0" w:header="0"/>
          <w:type w:val="continuous"/>
        </w:sectPr>
      </w:pPr>
    </w:p>
    <w:p>
      <w:pPr>
        <w:ind w:right="16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63" w:lineRule="exact"/>
        <w:rPr>
          <w:sz w:val="24"/>
          <w:szCs w:val="24"/>
          <w:color w:val="auto"/>
        </w:rPr>
      </w:pPr>
    </w:p>
    <w:p>
      <w:pPr>
        <w:ind w:left="3600"/>
        <w:spacing w:after="0"/>
        <w:tabs>
          <w:tab w:leader="none" w:pos="8300" w:val="left"/>
        </w:tabs>
        <w:rPr>
          <w:sz w:val="20"/>
          <w:szCs w:val="20"/>
          <w:color w:val="auto"/>
        </w:rPr>
      </w:pPr>
      <w:r>
        <w:rPr>
          <w:rFonts w:ascii="Arial" w:cs="Arial" w:eastAsia="Arial" w:hAnsi="Arial"/>
          <w:sz w:val="14"/>
          <w:szCs w:val="14"/>
          <w:color w:val="auto"/>
        </w:rPr>
        <w:t>YES [ ]</w:t>
      </w:r>
      <w:r>
        <w:rPr>
          <w:sz w:val="20"/>
          <w:szCs w:val="20"/>
          <w:color w:val="auto"/>
        </w:rPr>
        <w:tab/>
      </w:r>
      <w:r>
        <w:rPr>
          <w:rFonts w:ascii="Arial" w:cs="Arial" w:eastAsia="Arial" w:hAnsi="Arial"/>
          <w:sz w:val="14"/>
          <w:szCs w:val="14"/>
          <w:color w:val="auto"/>
        </w:rPr>
        <w:t>NO [X ]</w:t>
      </w:r>
    </w:p>
    <w:p>
      <w:pPr>
        <w:spacing w:after="0" w:line="177" w:lineRule="exact"/>
        <w:rPr>
          <w:sz w:val="24"/>
          <w:szCs w:val="24"/>
          <w:color w:val="auto"/>
        </w:rPr>
      </w:pPr>
    </w:p>
    <w:p>
      <w:pPr>
        <w:spacing w:after="0"/>
        <w:rPr>
          <w:sz w:val="20"/>
          <w:szCs w:val="20"/>
          <w:color w:val="auto"/>
        </w:rPr>
      </w:pPr>
      <w:r>
        <w:rPr>
          <w:rFonts w:ascii="Arial" w:cs="Arial" w:eastAsia="Arial" w:hAnsi="Arial"/>
          <w:sz w:val="14"/>
          <w:szCs w:val="14"/>
          <w:color w:val="auto"/>
        </w:rPr>
        <w:t>The Registrant had 169,531,595 common shares outstanding as of July 22, 2019.</w:t>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159"/>
        <w:spacing w:after="0"/>
        <w:rPr>
          <w:sz w:val="20"/>
          <w:szCs w:val="20"/>
          <w:color w:val="auto"/>
        </w:rPr>
      </w:pPr>
      <w:r>
        <w:rPr>
          <w:rFonts w:ascii="Arial" w:cs="Arial" w:eastAsia="Arial" w:hAnsi="Arial"/>
          <w:sz w:val="18"/>
          <w:szCs w:val="18"/>
          <w:color w:val="auto"/>
        </w:rPr>
        <w:t>CIVEO CORPORATION</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INDEX</w:t>
      </w:r>
    </w:p>
    <w:p>
      <w:pPr>
        <w:spacing w:after="0" w:line="271" w:lineRule="exact"/>
        <w:rPr>
          <w:sz w:val="20"/>
          <w:szCs w:val="20"/>
          <w:color w:val="auto"/>
        </w:rPr>
      </w:pPr>
    </w:p>
    <w:p>
      <w:pPr>
        <w:ind w:left="10620"/>
        <w:spacing w:after="0"/>
        <w:rPr>
          <w:sz w:val="20"/>
          <w:szCs w:val="20"/>
          <w:color w:val="auto"/>
        </w:rPr>
      </w:pPr>
      <w:r>
        <w:rPr>
          <w:rFonts w:ascii="Arial" w:cs="Arial" w:eastAsia="Arial" w:hAnsi="Arial"/>
          <w:sz w:val="14"/>
          <w:szCs w:val="14"/>
          <w:b w:val="1"/>
          <w:bCs w:val="1"/>
          <w:u w:val="single" w:color="auto"/>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9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73"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Consolidated Financial Statements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10740" w:type="dxa"/>
            <w:vAlign w:val="bottom"/>
          </w:tcPr>
          <w:p>
            <w:pPr>
              <w:ind w:left="340"/>
              <w:spacing w:after="0"/>
              <w:rPr>
                <w:sz w:val="20"/>
                <w:szCs w:val="20"/>
                <w:color w:val="auto"/>
              </w:rPr>
            </w:pPr>
            <w:r>
              <w:rPr>
                <w:rFonts w:ascii="Arial" w:cs="Arial" w:eastAsia="Arial" w:hAnsi="Arial"/>
                <w:sz w:val="14"/>
                <w:szCs w:val="14"/>
                <w:color w:val="auto"/>
              </w:rPr>
              <w:t>Unaudited Consolidated Statements of Operations for the Three and Six Months Ended June 30, 2019 and 2018</w:t>
            </w:r>
          </w:p>
        </w:tc>
        <w:tc>
          <w:tcPr>
            <w:tcW w:w="140" w:type="dxa"/>
            <w:vAlign w:val="bottom"/>
            <w:gridSpan w:val="2"/>
          </w:tcPr>
          <w:p>
            <w:pPr>
              <w:jc w:val="right"/>
              <w:spacing w:after="0"/>
              <w:rPr>
                <w:rFonts w:ascii="Arial" w:cs="Arial" w:eastAsia="Arial" w:hAnsi="Arial"/>
                <w:sz w:val="14"/>
                <w:szCs w:val="14"/>
                <w:color w:val="0000EE"/>
              </w:rPr>
            </w:pPr>
            <w:hyperlink w:anchor="page3">
              <w:r>
                <w:rPr>
                  <w:rFonts w:ascii="Arial" w:cs="Arial" w:eastAsia="Arial" w:hAnsi="Arial"/>
                  <w:sz w:val="14"/>
                  <w:szCs w:val="14"/>
                  <w:color w:val="0000EE"/>
                </w:rPr>
                <w:t>3</w:t>
              </w:r>
            </w:hyperlink>
          </w:p>
        </w:tc>
        <w:tc>
          <w:tcPr>
            <w:tcW w:w="40" w:type="dxa"/>
            <w:vAlign w:val="bottom"/>
          </w:tcPr>
          <w:p>
            <w:pPr>
              <w:spacing w:after="0"/>
              <w:rPr>
                <w:sz w:val="14"/>
                <w:szCs w:val="14"/>
                <w:color w:val="auto"/>
              </w:rPr>
            </w:pPr>
          </w:p>
        </w:tc>
      </w:tr>
      <w:tr>
        <w:trPr>
          <w:trHeight w:val="21"/>
        </w:trPr>
        <w:tc>
          <w:tcPr>
            <w:tcW w:w="480" w:type="dxa"/>
            <w:vAlign w:val="bottom"/>
          </w:tcPr>
          <w:p>
            <w:pPr>
              <w:spacing w:after="0" w:line="20" w:lineRule="exact"/>
              <w:rPr>
                <w:sz w:val="1"/>
                <w:szCs w:val="1"/>
                <w:color w:val="auto"/>
              </w:rPr>
            </w:pPr>
          </w:p>
        </w:tc>
        <w:tc>
          <w:tcPr>
            <w:tcW w:w="10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2"/>
        </w:trPr>
        <w:tc>
          <w:tcPr>
            <w:tcW w:w="480" w:type="dxa"/>
            <w:vAlign w:val="bottom"/>
            <w:shd w:val="clear" w:color="auto" w:fill="CCEEFF"/>
          </w:tcPr>
          <w:p>
            <w:pPr>
              <w:spacing w:after="0"/>
              <w:rPr>
                <w:sz w:val="14"/>
                <w:szCs w:val="14"/>
                <w:color w:val="auto"/>
              </w:rPr>
            </w:pPr>
          </w:p>
        </w:tc>
        <w:tc>
          <w:tcPr>
            <w:tcW w:w="10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Unaudited Consolidated Statements of Comprehensive Loss for the Three and Six Months Ended June 30, 2019 and 2018</w:t>
            </w:r>
          </w:p>
        </w:tc>
        <w:tc>
          <w:tcPr>
            <w:tcW w:w="140" w:type="dxa"/>
            <w:vAlign w:val="bottom"/>
            <w:gridSpan w:val="2"/>
            <w:shd w:val="clear" w:color="auto" w:fill="CCEEFF"/>
          </w:tcPr>
          <w:p>
            <w:pPr>
              <w:jc w:val="right"/>
              <w:spacing w:after="0"/>
              <w:rPr>
                <w:rFonts w:ascii="Arial" w:cs="Arial" w:eastAsia="Arial" w:hAnsi="Arial"/>
                <w:sz w:val="14"/>
                <w:szCs w:val="14"/>
                <w:color w:val="0000EE"/>
              </w:rPr>
            </w:pPr>
            <w:hyperlink w:anchor="page4">
              <w:r>
                <w:rPr>
                  <w:rFonts w:ascii="Arial" w:cs="Arial" w:eastAsia="Arial" w:hAnsi="Arial"/>
                  <w:sz w:val="14"/>
                  <w:szCs w:val="14"/>
                  <w:color w:val="0000EE"/>
                </w:rPr>
                <w:t>4</w:t>
              </w:r>
            </w:hyperlink>
          </w:p>
        </w:tc>
        <w:tc>
          <w:tcPr>
            <w:tcW w:w="40" w:type="dxa"/>
            <w:vAlign w:val="bottom"/>
            <w:shd w:val="clear" w:color="auto" w:fill="CCEEFF"/>
          </w:tcPr>
          <w:p>
            <w:pPr>
              <w:spacing w:after="0"/>
              <w:rPr>
                <w:sz w:val="14"/>
                <w:szCs w:val="14"/>
                <w:color w:val="auto"/>
              </w:rPr>
            </w:pPr>
          </w:p>
        </w:tc>
      </w:tr>
      <w:tr>
        <w:trPr>
          <w:trHeight w:val="21"/>
        </w:trPr>
        <w:tc>
          <w:tcPr>
            <w:tcW w:w="480" w:type="dxa"/>
            <w:vAlign w:val="bottom"/>
            <w:tcBorders>
              <w:top w:val="single" w:sz="8" w:color="CCEEFF"/>
            </w:tcBorders>
            <w:shd w:val="clear" w:color="auto" w:fill="CCEEFF"/>
          </w:tcPr>
          <w:p>
            <w:pPr>
              <w:spacing w:after="0" w:line="20" w:lineRule="exact"/>
              <w:rPr>
                <w:sz w:val="1"/>
                <w:szCs w:val="1"/>
                <w:color w:val="auto"/>
              </w:rPr>
            </w:pPr>
          </w:p>
        </w:tc>
        <w:tc>
          <w:tcPr>
            <w:tcW w:w="10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480" w:type="dxa"/>
            <w:vAlign w:val="bottom"/>
          </w:tcPr>
          <w:p>
            <w:pPr>
              <w:spacing w:after="0"/>
              <w:rPr>
                <w:sz w:val="14"/>
                <w:szCs w:val="14"/>
                <w:color w:val="auto"/>
              </w:rPr>
            </w:pPr>
          </w:p>
        </w:tc>
        <w:tc>
          <w:tcPr>
            <w:tcW w:w="10740" w:type="dxa"/>
            <w:vAlign w:val="bottom"/>
          </w:tcPr>
          <w:p>
            <w:pPr>
              <w:ind w:left="340"/>
              <w:spacing w:after="0"/>
              <w:rPr>
                <w:sz w:val="20"/>
                <w:szCs w:val="20"/>
                <w:color w:val="auto"/>
              </w:rPr>
            </w:pPr>
            <w:r>
              <w:rPr>
                <w:rFonts w:ascii="Arial" w:cs="Arial" w:eastAsia="Arial" w:hAnsi="Arial"/>
                <w:sz w:val="14"/>
                <w:szCs w:val="14"/>
                <w:color w:val="auto"/>
              </w:rPr>
              <w:t>Consolidated Balance Sheets – as of June 30, 2019 (unaudited) and December 31, 2018</w:t>
            </w:r>
          </w:p>
        </w:tc>
        <w:tc>
          <w:tcPr>
            <w:tcW w:w="140" w:type="dxa"/>
            <w:vAlign w:val="bottom"/>
            <w:gridSpan w:val="2"/>
          </w:tcPr>
          <w:p>
            <w:pPr>
              <w:jc w:val="right"/>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40" w:type="dxa"/>
            <w:vAlign w:val="bottom"/>
          </w:tcPr>
          <w:p>
            <w:pPr>
              <w:spacing w:after="0"/>
              <w:rPr>
                <w:sz w:val="14"/>
                <w:szCs w:val="14"/>
                <w:color w:val="auto"/>
              </w:rPr>
            </w:pPr>
          </w:p>
        </w:tc>
      </w:tr>
      <w:tr>
        <w:trPr>
          <w:trHeight w:val="21"/>
        </w:trPr>
        <w:tc>
          <w:tcPr>
            <w:tcW w:w="480" w:type="dxa"/>
            <w:vAlign w:val="bottom"/>
          </w:tcPr>
          <w:p>
            <w:pPr>
              <w:spacing w:after="0" w:line="20" w:lineRule="exact"/>
              <w:rPr>
                <w:sz w:val="1"/>
                <w:szCs w:val="1"/>
                <w:color w:val="auto"/>
              </w:rPr>
            </w:pPr>
          </w:p>
        </w:tc>
        <w:tc>
          <w:tcPr>
            <w:tcW w:w="10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2"/>
        </w:trPr>
        <w:tc>
          <w:tcPr>
            <w:tcW w:w="480" w:type="dxa"/>
            <w:vAlign w:val="bottom"/>
            <w:shd w:val="clear" w:color="auto" w:fill="CCEEFF"/>
          </w:tcPr>
          <w:p>
            <w:pPr>
              <w:spacing w:after="0"/>
              <w:rPr>
                <w:sz w:val="14"/>
                <w:szCs w:val="14"/>
                <w:color w:val="auto"/>
              </w:rPr>
            </w:pPr>
          </w:p>
        </w:tc>
        <w:tc>
          <w:tcPr>
            <w:tcW w:w="10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Unaudited Consolidated Statements of Changes in Shareholders’ Equity for the Three and Six Months Ended June 30, 2019 and 2018</w:t>
            </w:r>
          </w:p>
        </w:tc>
        <w:tc>
          <w:tcPr>
            <w:tcW w:w="140" w:type="dxa"/>
            <w:vAlign w:val="bottom"/>
            <w:gridSpan w:val="2"/>
            <w:shd w:val="clear" w:color="auto" w:fill="CCEEFF"/>
          </w:tcPr>
          <w:p>
            <w:pPr>
              <w:jc w:val="right"/>
              <w:spacing w:after="0"/>
              <w:rPr>
                <w:rFonts w:ascii="Arial" w:cs="Arial" w:eastAsia="Arial" w:hAnsi="Arial"/>
                <w:sz w:val="14"/>
                <w:szCs w:val="14"/>
                <w:color w:val="0000EE"/>
              </w:rPr>
            </w:pPr>
            <w:hyperlink w:anchor="page6">
              <w:r>
                <w:rPr>
                  <w:rFonts w:ascii="Arial" w:cs="Arial" w:eastAsia="Arial" w:hAnsi="Arial"/>
                  <w:sz w:val="14"/>
                  <w:szCs w:val="14"/>
                  <w:color w:val="0000EE"/>
                </w:rPr>
                <w:t>6</w:t>
              </w:r>
            </w:hyperlink>
          </w:p>
        </w:tc>
        <w:tc>
          <w:tcPr>
            <w:tcW w:w="40" w:type="dxa"/>
            <w:vAlign w:val="bottom"/>
            <w:shd w:val="clear" w:color="auto" w:fill="CCEEFF"/>
          </w:tcPr>
          <w:p>
            <w:pPr>
              <w:spacing w:after="0"/>
              <w:rPr>
                <w:sz w:val="14"/>
                <w:szCs w:val="14"/>
                <w:color w:val="auto"/>
              </w:rPr>
            </w:pPr>
          </w:p>
        </w:tc>
      </w:tr>
      <w:tr>
        <w:trPr>
          <w:trHeight w:val="21"/>
        </w:trPr>
        <w:tc>
          <w:tcPr>
            <w:tcW w:w="480" w:type="dxa"/>
            <w:vAlign w:val="bottom"/>
            <w:tcBorders>
              <w:top w:val="single" w:sz="8" w:color="CCEEFF"/>
            </w:tcBorders>
            <w:shd w:val="clear" w:color="auto" w:fill="CCEEFF"/>
          </w:tcPr>
          <w:p>
            <w:pPr>
              <w:spacing w:after="0" w:line="20" w:lineRule="exact"/>
              <w:rPr>
                <w:sz w:val="1"/>
                <w:szCs w:val="1"/>
                <w:color w:val="auto"/>
              </w:rPr>
            </w:pPr>
          </w:p>
        </w:tc>
        <w:tc>
          <w:tcPr>
            <w:tcW w:w="10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480" w:type="dxa"/>
            <w:vAlign w:val="bottom"/>
          </w:tcPr>
          <w:p>
            <w:pPr>
              <w:spacing w:after="0"/>
              <w:rPr>
                <w:sz w:val="14"/>
                <w:szCs w:val="14"/>
                <w:color w:val="auto"/>
              </w:rPr>
            </w:pPr>
          </w:p>
        </w:tc>
        <w:tc>
          <w:tcPr>
            <w:tcW w:w="10740" w:type="dxa"/>
            <w:vAlign w:val="bottom"/>
          </w:tcPr>
          <w:p>
            <w:pPr>
              <w:ind w:left="340"/>
              <w:spacing w:after="0"/>
              <w:rPr>
                <w:sz w:val="20"/>
                <w:szCs w:val="20"/>
                <w:color w:val="auto"/>
              </w:rPr>
            </w:pPr>
            <w:r>
              <w:rPr>
                <w:rFonts w:ascii="Arial" w:cs="Arial" w:eastAsia="Arial" w:hAnsi="Arial"/>
                <w:sz w:val="14"/>
                <w:szCs w:val="14"/>
                <w:color w:val="auto"/>
              </w:rPr>
              <w:t>Unaudited Consolidated Statements of Cash Flows for the Six Months Ended June 30, 2019 and 2018</w:t>
            </w:r>
          </w:p>
        </w:tc>
        <w:tc>
          <w:tcPr>
            <w:tcW w:w="140" w:type="dxa"/>
            <w:vAlign w:val="bottom"/>
            <w:gridSpan w:val="2"/>
          </w:tcPr>
          <w:p>
            <w:pPr>
              <w:jc w:val="right"/>
              <w:spacing w:after="0"/>
              <w:rPr>
                <w:rFonts w:ascii="Arial" w:cs="Arial" w:eastAsia="Arial" w:hAnsi="Arial"/>
                <w:sz w:val="14"/>
                <w:szCs w:val="14"/>
                <w:color w:val="0000EE"/>
              </w:rPr>
            </w:pPr>
            <w:hyperlink w:anchor="page7">
              <w:r>
                <w:rPr>
                  <w:rFonts w:ascii="Arial" w:cs="Arial" w:eastAsia="Arial" w:hAnsi="Arial"/>
                  <w:sz w:val="14"/>
                  <w:szCs w:val="14"/>
                  <w:color w:val="0000EE"/>
                </w:rPr>
                <w:t>7</w:t>
              </w:r>
            </w:hyperlink>
          </w:p>
        </w:tc>
        <w:tc>
          <w:tcPr>
            <w:tcW w:w="40" w:type="dxa"/>
            <w:vAlign w:val="bottom"/>
          </w:tcPr>
          <w:p>
            <w:pPr>
              <w:spacing w:after="0"/>
              <w:rPr>
                <w:sz w:val="14"/>
                <w:szCs w:val="14"/>
                <w:color w:val="auto"/>
              </w:rPr>
            </w:pPr>
          </w:p>
        </w:tc>
      </w:tr>
      <w:tr>
        <w:trPr>
          <w:trHeight w:val="21"/>
        </w:trPr>
        <w:tc>
          <w:tcPr>
            <w:tcW w:w="480" w:type="dxa"/>
            <w:vAlign w:val="bottom"/>
          </w:tcPr>
          <w:p>
            <w:pPr>
              <w:spacing w:after="0" w:line="20" w:lineRule="exact"/>
              <w:rPr>
                <w:sz w:val="1"/>
                <w:szCs w:val="1"/>
                <w:color w:val="auto"/>
              </w:rPr>
            </w:pPr>
          </w:p>
        </w:tc>
        <w:tc>
          <w:tcPr>
            <w:tcW w:w="10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80" w:type="dxa"/>
            <w:vAlign w:val="bottom"/>
            <w:shd w:val="clear" w:color="auto" w:fill="CCEEFF"/>
          </w:tcPr>
          <w:p>
            <w:pPr>
              <w:spacing w:after="0"/>
              <w:rPr>
                <w:sz w:val="15"/>
                <w:szCs w:val="15"/>
                <w:color w:val="auto"/>
              </w:rPr>
            </w:pPr>
          </w:p>
        </w:tc>
        <w:tc>
          <w:tcPr>
            <w:tcW w:w="10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Notes to Unaudited Consolidated Financial Statements</w:t>
            </w:r>
          </w:p>
        </w:tc>
        <w:tc>
          <w:tcPr>
            <w:tcW w:w="140" w:type="dxa"/>
            <w:vAlign w:val="bottom"/>
            <w:gridSpan w:val="2"/>
            <w:shd w:val="clear" w:color="auto" w:fill="CCEEFF"/>
          </w:tcPr>
          <w:p>
            <w:pPr>
              <w:jc w:val="right"/>
              <w:spacing w:after="0"/>
              <w:rPr>
                <w:rFonts w:ascii="Arial" w:cs="Arial" w:eastAsia="Arial" w:hAnsi="Arial"/>
                <w:sz w:val="14"/>
                <w:szCs w:val="14"/>
                <w:color w:val="0000EE"/>
              </w:rPr>
            </w:pPr>
            <w:hyperlink w:anchor="page8">
              <w:r>
                <w:rPr>
                  <w:rFonts w:ascii="Arial" w:cs="Arial" w:eastAsia="Arial" w:hAnsi="Arial"/>
                  <w:sz w:val="14"/>
                  <w:szCs w:val="14"/>
                  <w:color w:val="0000EE"/>
                </w:rPr>
                <w:t>8</w:t>
              </w:r>
            </w:hyperlink>
          </w:p>
        </w:tc>
        <w:tc>
          <w:tcPr>
            <w:tcW w:w="40" w:type="dxa"/>
            <w:vAlign w:val="bottom"/>
            <w:shd w:val="clear" w:color="auto" w:fill="CCEEFF"/>
          </w:tcPr>
          <w:p>
            <w:pPr>
              <w:spacing w:after="0"/>
              <w:rPr>
                <w:sz w:val="15"/>
                <w:szCs w:val="15"/>
                <w:color w:val="auto"/>
              </w:rPr>
            </w:pPr>
          </w:p>
        </w:tc>
      </w:tr>
      <w:tr>
        <w:trPr>
          <w:trHeight w:val="284"/>
        </w:trPr>
        <w:tc>
          <w:tcPr>
            <w:tcW w:w="11220" w:type="dxa"/>
            <w:vAlign w:val="bottom"/>
            <w:tcBorders>
              <w:top w:val="single" w:sz="8" w:color="CCEEFF"/>
            </w:tcBorders>
            <w:gridSpan w:val="2"/>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188"/>
        </w:trPr>
        <w:tc>
          <w:tcPr>
            <w:tcW w:w="11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Cautionary Statement Regarding Forward-Looking Statements</w:t>
            </w:r>
          </w:p>
        </w:tc>
        <w:tc>
          <w:tcPr>
            <w:tcW w:w="140" w:type="dxa"/>
            <w:vAlign w:val="bottom"/>
            <w:tcBorders>
              <w:bottom w:val="single" w:sz="8" w:color="0000EE"/>
            </w:tcBorders>
            <w:gridSpan w:val="2"/>
            <w:shd w:val="clear" w:color="auto" w:fill="CCEEFF"/>
          </w:tcPr>
          <w:p>
            <w:pPr>
              <w:jc w:val="right"/>
              <w:spacing w:after="0"/>
              <w:rPr>
                <w:rFonts w:ascii="Arial" w:cs="Arial" w:eastAsia="Arial" w:hAnsi="Arial"/>
                <w:sz w:val="14"/>
                <w:szCs w:val="14"/>
                <w:color w:val="0000EE"/>
                <w:w w:val="76"/>
              </w:rPr>
            </w:pPr>
            <w:hyperlink w:anchor="page23">
              <w:r>
                <w:rPr>
                  <w:rFonts w:ascii="Arial" w:cs="Arial" w:eastAsia="Arial" w:hAnsi="Arial"/>
                  <w:sz w:val="14"/>
                  <w:szCs w:val="14"/>
                  <w:color w:val="0000EE"/>
                  <w:w w:val="76"/>
                </w:rPr>
                <w:t>23</w:t>
              </w:r>
            </w:hyperlink>
          </w:p>
        </w:tc>
        <w:tc>
          <w:tcPr>
            <w:tcW w:w="40" w:type="dxa"/>
            <w:vAlign w:val="bottom"/>
            <w:tcBorders>
              <w:bottom w:val="single" w:sz="8" w:color="CCEEFF"/>
            </w:tcBorders>
            <w:shd w:val="clear" w:color="auto" w:fill="CCEEFF"/>
          </w:tcPr>
          <w:p>
            <w:pPr>
              <w:spacing w:after="0"/>
              <w:rPr>
                <w:sz w:val="15"/>
                <w:szCs w:val="15"/>
                <w:color w:val="auto"/>
              </w:rPr>
            </w:pPr>
          </w:p>
        </w:tc>
      </w:tr>
      <w:tr>
        <w:trPr>
          <w:trHeight w:val="284"/>
        </w:trPr>
        <w:tc>
          <w:tcPr>
            <w:tcW w:w="11220" w:type="dxa"/>
            <w:vAlign w:val="bottom"/>
            <w:tcBorders>
              <w:top w:val="single" w:sz="8" w:color="CCEEFF"/>
            </w:tcBorders>
            <w:gridSpan w:val="2"/>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188"/>
        </w:trPr>
        <w:tc>
          <w:tcPr>
            <w:tcW w:w="11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40" w:type="dxa"/>
            <w:vAlign w:val="bottom"/>
            <w:tcBorders>
              <w:bottom w:val="single" w:sz="8" w:color="0000EE"/>
            </w:tcBorders>
            <w:gridSpan w:val="2"/>
            <w:shd w:val="clear" w:color="auto" w:fill="CCEEFF"/>
          </w:tcPr>
          <w:p>
            <w:pPr>
              <w:jc w:val="right"/>
              <w:spacing w:after="0"/>
              <w:rPr>
                <w:rFonts w:ascii="Arial" w:cs="Arial" w:eastAsia="Arial" w:hAnsi="Arial"/>
                <w:sz w:val="14"/>
                <w:szCs w:val="14"/>
                <w:color w:val="0000EE"/>
                <w:w w:val="76"/>
              </w:rPr>
            </w:pPr>
            <w:hyperlink w:anchor="page23">
              <w:r>
                <w:rPr>
                  <w:rFonts w:ascii="Arial" w:cs="Arial" w:eastAsia="Arial" w:hAnsi="Arial"/>
                  <w:sz w:val="14"/>
                  <w:szCs w:val="14"/>
                  <w:color w:val="0000EE"/>
                  <w:w w:val="76"/>
                </w:rPr>
                <w:t>23</w:t>
              </w:r>
            </w:hyperlink>
          </w:p>
        </w:tc>
        <w:tc>
          <w:tcPr>
            <w:tcW w:w="40" w:type="dxa"/>
            <w:vAlign w:val="bottom"/>
            <w:tcBorders>
              <w:bottom w:val="single" w:sz="8" w:color="CCEEFF"/>
            </w:tcBorders>
            <w:shd w:val="clear" w:color="auto" w:fill="CCEEFF"/>
          </w:tcPr>
          <w:p>
            <w:pPr>
              <w:spacing w:after="0"/>
              <w:rPr>
                <w:sz w:val="15"/>
                <w:szCs w:val="15"/>
                <w:color w:val="auto"/>
              </w:rPr>
            </w:pPr>
          </w:p>
        </w:tc>
      </w:tr>
      <w:tr>
        <w:trPr>
          <w:trHeight w:val="284"/>
        </w:trPr>
        <w:tc>
          <w:tcPr>
            <w:tcW w:w="11220" w:type="dxa"/>
            <w:vAlign w:val="bottom"/>
            <w:tcBorders>
              <w:top w:val="single" w:sz="8" w:color="CCEEFF"/>
            </w:tcBorders>
            <w:gridSpan w:val="2"/>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188"/>
        </w:trPr>
        <w:tc>
          <w:tcPr>
            <w:tcW w:w="11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40" w:type="dxa"/>
            <w:vAlign w:val="bottom"/>
            <w:tcBorders>
              <w:bottom w:val="single" w:sz="8" w:color="0000EE"/>
            </w:tcBorders>
            <w:gridSpan w:val="2"/>
            <w:shd w:val="clear" w:color="auto" w:fill="CCEEFF"/>
          </w:tcPr>
          <w:p>
            <w:pPr>
              <w:jc w:val="right"/>
              <w:spacing w:after="0"/>
              <w:rPr>
                <w:rFonts w:ascii="Arial" w:cs="Arial" w:eastAsia="Arial" w:hAnsi="Arial"/>
                <w:sz w:val="14"/>
                <w:szCs w:val="14"/>
                <w:color w:val="0000EE"/>
                <w:w w:val="76"/>
              </w:rPr>
            </w:pPr>
            <w:hyperlink w:anchor="page43">
              <w:r>
                <w:rPr>
                  <w:rFonts w:ascii="Arial" w:cs="Arial" w:eastAsia="Arial" w:hAnsi="Arial"/>
                  <w:sz w:val="14"/>
                  <w:szCs w:val="14"/>
                  <w:color w:val="0000EE"/>
                  <w:w w:val="76"/>
                </w:rPr>
                <w:t>43</w:t>
              </w:r>
            </w:hyperlink>
          </w:p>
        </w:tc>
        <w:tc>
          <w:tcPr>
            <w:tcW w:w="40" w:type="dxa"/>
            <w:vAlign w:val="bottom"/>
            <w:tcBorders>
              <w:bottom w:val="single" w:sz="8" w:color="CCEEFF"/>
            </w:tcBorders>
            <w:shd w:val="clear" w:color="auto" w:fill="CCEEFF"/>
          </w:tcPr>
          <w:p>
            <w:pPr>
              <w:spacing w:after="0"/>
              <w:rPr>
                <w:sz w:val="15"/>
                <w:szCs w:val="15"/>
                <w:color w:val="auto"/>
              </w:rPr>
            </w:pPr>
          </w:p>
        </w:tc>
      </w:tr>
      <w:tr>
        <w:trPr>
          <w:trHeight w:val="284"/>
        </w:trPr>
        <w:tc>
          <w:tcPr>
            <w:tcW w:w="480" w:type="dxa"/>
            <w:vAlign w:val="bottom"/>
            <w:tcBorders>
              <w:top w:val="single" w:sz="8" w:color="CCEEFF"/>
            </w:tcBorders>
          </w:tcPr>
          <w:p>
            <w:pPr>
              <w:spacing w:after="0"/>
              <w:rPr>
                <w:sz w:val="24"/>
                <w:szCs w:val="24"/>
                <w:color w:val="auto"/>
              </w:rPr>
            </w:pPr>
          </w:p>
        </w:tc>
        <w:tc>
          <w:tcPr>
            <w:tcW w:w="107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188"/>
        </w:trPr>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8"/>
              </w:rPr>
              <w:t>Item 4.</w:t>
            </w:r>
          </w:p>
        </w:tc>
        <w:tc>
          <w:tcPr>
            <w:tcW w:w="10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Controls and Procedures</w:t>
            </w:r>
          </w:p>
        </w:tc>
        <w:tc>
          <w:tcPr>
            <w:tcW w:w="140" w:type="dxa"/>
            <w:vAlign w:val="bottom"/>
            <w:tcBorders>
              <w:bottom w:val="single" w:sz="8" w:color="0000EE"/>
            </w:tcBorders>
            <w:gridSpan w:val="2"/>
            <w:shd w:val="clear" w:color="auto" w:fill="CCEEFF"/>
          </w:tcPr>
          <w:p>
            <w:pPr>
              <w:jc w:val="right"/>
              <w:spacing w:after="0"/>
              <w:rPr>
                <w:rFonts w:ascii="Arial" w:cs="Arial" w:eastAsia="Arial" w:hAnsi="Arial"/>
                <w:sz w:val="14"/>
                <w:szCs w:val="14"/>
                <w:color w:val="0000EE"/>
                <w:w w:val="76"/>
              </w:rPr>
            </w:pPr>
            <w:hyperlink w:anchor="page43">
              <w:r>
                <w:rPr>
                  <w:rFonts w:ascii="Arial" w:cs="Arial" w:eastAsia="Arial" w:hAnsi="Arial"/>
                  <w:sz w:val="14"/>
                  <w:szCs w:val="14"/>
                  <w:color w:val="0000EE"/>
                  <w:w w:val="76"/>
                </w:rPr>
                <w:t>43</w:t>
              </w:r>
            </w:hyperlink>
          </w:p>
        </w:tc>
        <w:tc>
          <w:tcPr>
            <w:tcW w:w="40" w:type="dxa"/>
            <w:vAlign w:val="bottom"/>
            <w:tcBorders>
              <w:bottom w:val="single" w:sz="8" w:color="CCEEFF"/>
            </w:tcBorders>
            <w:shd w:val="clear" w:color="auto" w:fill="CCEEFF"/>
          </w:tcPr>
          <w:p>
            <w:pPr>
              <w:spacing w:after="0"/>
              <w:rPr>
                <w:sz w:val="15"/>
                <w:szCs w:val="15"/>
                <w:color w:val="auto"/>
              </w:rPr>
            </w:pPr>
          </w:p>
        </w:tc>
      </w:tr>
      <w:tr>
        <w:trPr>
          <w:trHeight w:val="284"/>
        </w:trPr>
        <w:tc>
          <w:tcPr>
            <w:tcW w:w="480" w:type="dxa"/>
            <w:vAlign w:val="bottom"/>
            <w:tcBorders>
              <w:top w:val="single" w:sz="8" w:color="CCEEFF"/>
            </w:tcBorders>
          </w:tcPr>
          <w:p>
            <w:pPr>
              <w:spacing w:after="0"/>
              <w:rPr>
                <w:sz w:val="24"/>
                <w:szCs w:val="24"/>
                <w:color w:val="auto"/>
              </w:rPr>
            </w:pPr>
          </w:p>
        </w:tc>
        <w:tc>
          <w:tcPr>
            <w:tcW w:w="107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284"/>
        </w:trPr>
        <w:tc>
          <w:tcPr>
            <w:tcW w:w="480" w:type="dxa"/>
            <w:vAlign w:val="bottom"/>
            <w:shd w:val="clear" w:color="auto" w:fill="CCEEFF"/>
          </w:tcPr>
          <w:p>
            <w:pPr>
              <w:spacing w:after="0"/>
              <w:rPr>
                <w:sz w:val="24"/>
                <w:szCs w:val="24"/>
                <w:color w:val="auto"/>
              </w:rPr>
            </w:pPr>
          </w:p>
        </w:tc>
        <w:tc>
          <w:tcPr>
            <w:tcW w:w="10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191"/>
        </w:trPr>
        <w:tc>
          <w:tcPr>
            <w:tcW w:w="480" w:type="dxa"/>
            <w:vAlign w:val="bottom"/>
          </w:tcPr>
          <w:p>
            <w:pPr>
              <w:spacing w:after="0"/>
              <w:rPr>
                <w:sz w:val="16"/>
                <w:szCs w:val="16"/>
                <w:color w:val="auto"/>
              </w:rPr>
            </w:pPr>
          </w:p>
        </w:tc>
        <w:tc>
          <w:tcPr>
            <w:tcW w:w="10740" w:type="dxa"/>
            <w:vAlign w:val="bottom"/>
          </w:tcPr>
          <w:p>
            <w:pPr>
              <w:ind w:left="980"/>
              <w:spacing w:after="0"/>
              <w:rPr>
                <w:sz w:val="20"/>
                <w:szCs w:val="20"/>
                <w:color w:val="auto"/>
              </w:rPr>
            </w:pPr>
            <w:r>
              <w:rPr>
                <w:rFonts w:ascii="Arial" w:cs="Arial" w:eastAsia="Arial" w:hAnsi="Arial"/>
                <w:sz w:val="14"/>
                <w:szCs w:val="14"/>
                <w:color w:val="auto"/>
              </w:rPr>
              <w:t>Part II -- OTHER INFORMATION</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80"/>
        </w:trPr>
        <w:tc>
          <w:tcPr>
            <w:tcW w:w="480" w:type="dxa"/>
            <w:vAlign w:val="bottom"/>
          </w:tcPr>
          <w:p>
            <w:pPr>
              <w:spacing w:after="0"/>
              <w:rPr>
                <w:sz w:val="6"/>
                <w:szCs w:val="6"/>
                <w:color w:val="auto"/>
              </w:rPr>
            </w:pPr>
          </w:p>
        </w:tc>
        <w:tc>
          <w:tcPr>
            <w:tcW w:w="107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84"/>
        </w:trPr>
        <w:tc>
          <w:tcPr>
            <w:tcW w:w="480" w:type="dxa"/>
            <w:vAlign w:val="bottom"/>
            <w:shd w:val="clear" w:color="auto" w:fill="CCEEFF"/>
          </w:tcPr>
          <w:p>
            <w:pPr>
              <w:spacing w:after="0"/>
              <w:rPr>
                <w:sz w:val="24"/>
                <w:szCs w:val="24"/>
                <w:color w:val="auto"/>
              </w:rPr>
            </w:pPr>
          </w:p>
        </w:tc>
        <w:tc>
          <w:tcPr>
            <w:tcW w:w="10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162"/>
        </w:trPr>
        <w:tc>
          <w:tcPr>
            <w:tcW w:w="480" w:type="dxa"/>
            <w:vAlign w:val="bottom"/>
          </w:tcPr>
          <w:p>
            <w:pPr>
              <w:ind w:left="40"/>
              <w:spacing w:after="0"/>
              <w:rPr>
                <w:sz w:val="20"/>
                <w:szCs w:val="20"/>
                <w:color w:val="auto"/>
              </w:rPr>
            </w:pPr>
            <w:r>
              <w:rPr>
                <w:rFonts w:ascii="Arial" w:cs="Arial" w:eastAsia="Arial" w:hAnsi="Arial"/>
                <w:sz w:val="14"/>
                <w:szCs w:val="14"/>
                <w:color w:val="auto"/>
                <w:w w:val="98"/>
              </w:rPr>
              <w:t>Item 1.</w:t>
            </w:r>
          </w:p>
        </w:tc>
        <w:tc>
          <w:tcPr>
            <w:tcW w:w="10740" w:type="dxa"/>
            <w:vAlign w:val="bottom"/>
          </w:tcPr>
          <w:p>
            <w:pPr>
              <w:ind w:left="140"/>
              <w:spacing w:after="0"/>
              <w:rPr>
                <w:sz w:val="20"/>
                <w:szCs w:val="20"/>
                <w:color w:val="auto"/>
              </w:rPr>
            </w:pPr>
            <w:r>
              <w:rPr>
                <w:rFonts w:ascii="Arial" w:cs="Arial" w:eastAsia="Arial" w:hAnsi="Arial"/>
                <w:sz w:val="14"/>
                <w:szCs w:val="14"/>
                <w:color w:val="auto"/>
              </w:rPr>
              <w:t>Legal Proceedings</w:t>
            </w:r>
          </w:p>
        </w:tc>
        <w:tc>
          <w:tcPr>
            <w:tcW w:w="140" w:type="dxa"/>
            <w:vAlign w:val="bottom"/>
            <w:tcBorders>
              <w:bottom w:val="single" w:sz="8" w:color="0000EE"/>
            </w:tcBorders>
            <w:gridSpan w:val="2"/>
          </w:tcPr>
          <w:p>
            <w:pPr>
              <w:jc w:val="right"/>
              <w:spacing w:after="0"/>
              <w:rPr>
                <w:rFonts w:ascii="Arial" w:cs="Arial" w:eastAsia="Arial" w:hAnsi="Arial"/>
                <w:sz w:val="14"/>
                <w:szCs w:val="14"/>
                <w:color w:val="0000EE"/>
                <w:w w:val="76"/>
              </w:rPr>
            </w:pPr>
            <w:hyperlink w:anchor="page44">
              <w:r>
                <w:rPr>
                  <w:rFonts w:ascii="Arial" w:cs="Arial" w:eastAsia="Arial" w:hAnsi="Arial"/>
                  <w:sz w:val="14"/>
                  <w:szCs w:val="14"/>
                  <w:color w:val="0000EE"/>
                  <w:w w:val="76"/>
                </w:rPr>
                <w:t>44</w:t>
              </w:r>
            </w:hyperlink>
          </w:p>
        </w:tc>
        <w:tc>
          <w:tcPr>
            <w:tcW w:w="40" w:type="dxa"/>
            <w:vAlign w:val="bottom"/>
          </w:tcPr>
          <w:p>
            <w:pPr>
              <w:spacing w:after="0"/>
              <w:rPr>
                <w:sz w:val="14"/>
                <w:szCs w:val="14"/>
                <w:color w:val="auto"/>
              </w:rPr>
            </w:pPr>
          </w:p>
        </w:tc>
      </w:tr>
      <w:tr>
        <w:trPr>
          <w:trHeight w:val="21"/>
        </w:trPr>
        <w:tc>
          <w:tcPr>
            <w:tcW w:w="480" w:type="dxa"/>
            <w:vAlign w:val="bottom"/>
          </w:tcPr>
          <w:p>
            <w:pPr>
              <w:spacing w:after="0" w:line="20" w:lineRule="exact"/>
              <w:rPr>
                <w:sz w:val="1"/>
                <w:szCs w:val="1"/>
                <w:color w:val="auto"/>
              </w:rPr>
            </w:pPr>
          </w:p>
        </w:tc>
        <w:tc>
          <w:tcPr>
            <w:tcW w:w="10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4"/>
        </w:trPr>
        <w:tc>
          <w:tcPr>
            <w:tcW w:w="1122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162"/>
        </w:trPr>
        <w:tc>
          <w:tcPr>
            <w:tcW w:w="11220" w:type="dxa"/>
            <w:vAlign w:val="bottom"/>
            <w:gridSpan w:val="2"/>
          </w:tcPr>
          <w:p>
            <w:pPr>
              <w:ind w:left="40"/>
              <w:spacing w:after="0"/>
              <w:rPr>
                <w:sz w:val="20"/>
                <w:szCs w:val="20"/>
                <w:color w:val="auto"/>
              </w:rPr>
            </w:pPr>
            <w:r>
              <w:rPr>
                <w:rFonts w:ascii="Arial" w:cs="Arial" w:eastAsia="Arial" w:hAnsi="Arial"/>
                <w:sz w:val="14"/>
                <w:szCs w:val="14"/>
                <w:color w:val="auto"/>
              </w:rPr>
              <w:t>Item 1A. Risk Factors</w:t>
            </w:r>
          </w:p>
        </w:tc>
        <w:tc>
          <w:tcPr>
            <w:tcW w:w="140" w:type="dxa"/>
            <w:vAlign w:val="bottom"/>
            <w:tcBorders>
              <w:bottom w:val="single" w:sz="8" w:color="0000EE"/>
            </w:tcBorders>
            <w:gridSpan w:val="2"/>
          </w:tcPr>
          <w:p>
            <w:pPr>
              <w:jc w:val="right"/>
              <w:spacing w:after="0"/>
              <w:rPr>
                <w:rFonts w:ascii="Arial" w:cs="Arial" w:eastAsia="Arial" w:hAnsi="Arial"/>
                <w:sz w:val="14"/>
                <w:szCs w:val="14"/>
                <w:color w:val="0000EE"/>
                <w:w w:val="76"/>
              </w:rPr>
            </w:pPr>
            <w:hyperlink w:anchor="page44">
              <w:r>
                <w:rPr>
                  <w:rFonts w:ascii="Arial" w:cs="Arial" w:eastAsia="Arial" w:hAnsi="Arial"/>
                  <w:sz w:val="14"/>
                  <w:szCs w:val="14"/>
                  <w:color w:val="0000EE"/>
                  <w:w w:val="76"/>
                </w:rPr>
                <w:t>44</w:t>
              </w:r>
            </w:hyperlink>
          </w:p>
        </w:tc>
        <w:tc>
          <w:tcPr>
            <w:tcW w:w="40" w:type="dxa"/>
            <w:vAlign w:val="bottom"/>
          </w:tcPr>
          <w:p>
            <w:pPr>
              <w:spacing w:after="0"/>
              <w:rPr>
                <w:sz w:val="14"/>
                <w:szCs w:val="14"/>
                <w:color w:val="auto"/>
              </w:rPr>
            </w:pPr>
          </w:p>
        </w:tc>
      </w:tr>
      <w:tr>
        <w:trPr>
          <w:trHeight w:val="21"/>
        </w:trPr>
        <w:tc>
          <w:tcPr>
            <w:tcW w:w="480" w:type="dxa"/>
            <w:vAlign w:val="bottom"/>
          </w:tcPr>
          <w:p>
            <w:pPr>
              <w:spacing w:after="0" w:line="20" w:lineRule="exact"/>
              <w:rPr>
                <w:sz w:val="1"/>
                <w:szCs w:val="1"/>
                <w:color w:val="auto"/>
              </w:rPr>
            </w:pPr>
          </w:p>
        </w:tc>
        <w:tc>
          <w:tcPr>
            <w:tcW w:w="10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4"/>
        </w:trPr>
        <w:tc>
          <w:tcPr>
            <w:tcW w:w="480" w:type="dxa"/>
            <w:vAlign w:val="bottom"/>
            <w:shd w:val="clear" w:color="auto" w:fill="CCEEFF"/>
          </w:tcPr>
          <w:p>
            <w:pPr>
              <w:spacing w:after="0"/>
              <w:rPr>
                <w:sz w:val="24"/>
                <w:szCs w:val="24"/>
                <w:color w:val="auto"/>
              </w:rPr>
            </w:pPr>
          </w:p>
        </w:tc>
        <w:tc>
          <w:tcPr>
            <w:tcW w:w="10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162"/>
        </w:trPr>
        <w:tc>
          <w:tcPr>
            <w:tcW w:w="480" w:type="dxa"/>
            <w:vAlign w:val="bottom"/>
          </w:tcPr>
          <w:p>
            <w:pPr>
              <w:ind w:left="40"/>
              <w:spacing w:after="0"/>
              <w:rPr>
                <w:sz w:val="20"/>
                <w:szCs w:val="20"/>
                <w:color w:val="auto"/>
              </w:rPr>
            </w:pPr>
            <w:r>
              <w:rPr>
                <w:rFonts w:ascii="Arial" w:cs="Arial" w:eastAsia="Arial" w:hAnsi="Arial"/>
                <w:sz w:val="14"/>
                <w:szCs w:val="14"/>
                <w:color w:val="auto"/>
                <w:w w:val="98"/>
              </w:rPr>
              <w:t>Item 2.</w:t>
            </w:r>
          </w:p>
        </w:tc>
        <w:tc>
          <w:tcPr>
            <w:tcW w:w="10740" w:type="dxa"/>
            <w:vAlign w:val="bottom"/>
          </w:tcPr>
          <w:p>
            <w:pPr>
              <w:ind w:left="40"/>
              <w:spacing w:after="0"/>
              <w:rPr>
                <w:sz w:val="20"/>
                <w:szCs w:val="20"/>
                <w:color w:val="auto"/>
              </w:rPr>
            </w:pPr>
            <w:r>
              <w:rPr>
                <w:rFonts w:ascii="Arial" w:cs="Arial" w:eastAsia="Arial" w:hAnsi="Arial"/>
                <w:sz w:val="14"/>
                <w:szCs w:val="14"/>
                <w:color w:val="auto"/>
              </w:rPr>
              <w:t>Unregistered Sales of Equity Securities and Use of Proceeds</w:t>
            </w:r>
          </w:p>
        </w:tc>
        <w:tc>
          <w:tcPr>
            <w:tcW w:w="140" w:type="dxa"/>
            <w:vAlign w:val="bottom"/>
            <w:tcBorders>
              <w:bottom w:val="single" w:sz="8" w:color="0000EE"/>
            </w:tcBorders>
            <w:gridSpan w:val="2"/>
          </w:tcPr>
          <w:p>
            <w:pPr>
              <w:jc w:val="right"/>
              <w:spacing w:after="0"/>
              <w:rPr>
                <w:rFonts w:ascii="Arial" w:cs="Arial" w:eastAsia="Arial" w:hAnsi="Arial"/>
                <w:sz w:val="14"/>
                <w:szCs w:val="14"/>
                <w:color w:val="0000EE"/>
                <w:w w:val="76"/>
              </w:rPr>
            </w:pPr>
            <w:hyperlink w:anchor="page44">
              <w:r>
                <w:rPr>
                  <w:rFonts w:ascii="Arial" w:cs="Arial" w:eastAsia="Arial" w:hAnsi="Arial"/>
                  <w:sz w:val="14"/>
                  <w:szCs w:val="14"/>
                  <w:color w:val="0000EE"/>
                  <w:w w:val="76"/>
                </w:rPr>
                <w:t>44</w:t>
              </w:r>
            </w:hyperlink>
          </w:p>
        </w:tc>
        <w:tc>
          <w:tcPr>
            <w:tcW w:w="40" w:type="dxa"/>
            <w:vAlign w:val="bottom"/>
          </w:tcPr>
          <w:p>
            <w:pPr>
              <w:spacing w:after="0"/>
              <w:rPr>
                <w:sz w:val="14"/>
                <w:szCs w:val="14"/>
                <w:color w:val="auto"/>
              </w:rPr>
            </w:pPr>
          </w:p>
        </w:tc>
      </w:tr>
      <w:tr>
        <w:trPr>
          <w:trHeight w:val="21"/>
        </w:trPr>
        <w:tc>
          <w:tcPr>
            <w:tcW w:w="480" w:type="dxa"/>
            <w:vAlign w:val="bottom"/>
          </w:tcPr>
          <w:p>
            <w:pPr>
              <w:spacing w:after="0" w:line="20" w:lineRule="exact"/>
              <w:rPr>
                <w:sz w:val="1"/>
                <w:szCs w:val="1"/>
                <w:color w:val="auto"/>
              </w:rPr>
            </w:pPr>
          </w:p>
        </w:tc>
        <w:tc>
          <w:tcPr>
            <w:tcW w:w="10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4"/>
        </w:trPr>
        <w:tc>
          <w:tcPr>
            <w:tcW w:w="480" w:type="dxa"/>
            <w:vAlign w:val="bottom"/>
            <w:shd w:val="clear" w:color="auto" w:fill="CCEEFF"/>
          </w:tcPr>
          <w:p>
            <w:pPr>
              <w:spacing w:after="0"/>
              <w:rPr>
                <w:sz w:val="24"/>
                <w:szCs w:val="24"/>
                <w:color w:val="auto"/>
              </w:rPr>
            </w:pPr>
          </w:p>
        </w:tc>
        <w:tc>
          <w:tcPr>
            <w:tcW w:w="10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162"/>
        </w:trPr>
        <w:tc>
          <w:tcPr>
            <w:tcW w:w="480" w:type="dxa"/>
            <w:vAlign w:val="bottom"/>
          </w:tcPr>
          <w:p>
            <w:pPr>
              <w:ind w:left="40"/>
              <w:spacing w:after="0"/>
              <w:rPr>
                <w:sz w:val="20"/>
                <w:szCs w:val="20"/>
                <w:color w:val="auto"/>
              </w:rPr>
            </w:pPr>
            <w:r>
              <w:rPr>
                <w:rFonts w:ascii="Arial" w:cs="Arial" w:eastAsia="Arial" w:hAnsi="Arial"/>
                <w:sz w:val="14"/>
                <w:szCs w:val="14"/>
                <w:color w:val="auto"/>
                <w:w w:val="98"/>
              </w:rPr>
              <w:t>Item 6.</w:t>
            </w:r>
          </w:p>
        </w:tc>
        <w:tc>
          <w:tcPr>
            <w:tcW w:w="10740" w:type="dxa"/>
            <w:vAlign w:val="bottom"/>
          </w:tcPr>
          <w:p>
            <w:pPr>
              <w:ind w:left="140"/>
              <w:spacing w:after="0"/>
              <w:rPr>
                <w:sz w:val="20"/>
                <w:szCs w:val="20"/>
                <w:color w:val="auto"/>
              </w:rPr>
            </w:pPr>
            <w:r>
              <w:rPr>
                <w:rFonts w:ascii="Arial" w:cs="Arial" w:eastAsia="Arial" w:hAnsi="Arial"/>
                <w:sz w:val="14"/>
                <w:szCs w:val="14"/>
                <w:color w:val="auto"/>
              </w:rPr>
              <w:t>Exhibits</w:t>
            </w:r>
          </w:p>
        </w:tc>
        <w:tc>
          <w:tcPr>
            <w:tcW w:w="140" w:type="dxa"/>
            <w:vAlign w:val="bottom"/>
            <w:tcBorders>
              <w:bottom w:val="single" w:sz="8" w:color="0000EE"/>
            </w:tcBorders>
            <w:gridSpan w:val="2"/>
          </w:tcPr>
          <w:p>
            <w:pPr>
              <w:jc w:val="right"/>
              <w:spacing w:after="0"/>
              <w:rPr>
                <w:rFonts w:ascii="Arial" w:cs="Arial" w:eastAsia="Arial" w:hAnsi="Arial"/>
                <w:sz w:val="14"/>
                <w:szCs w:val="14"/>
                <w:color w:val="0000EE"/>
                <w:w w:val="76"/>
              </w:rPr>
            </w:pPr>
            <w:hyperlink w:anchor="page45">
              <w:r>
                <w:rPr>
                  <w:rFonts w:ascii="Arial" w:cs="Arial" w:eastAsia="Arial" w:hAnsi="Arial"/>
                  <w:sz w:val="14"/>
                  <w:szCs w:val="14"/>
                  <w:color w:val="0000EE"/>
                  <w:w w:val="76"/>
                </w:rPr>
                <w:t>45</w:t>
              </w:r>
            </w:hyperlink>
          </w:p>
        </w:tc>
        <w:tc>
          <w:tcPr>
            <w:tcW w:w="40" w:type="dxa"/>
            <w:vAlign w:val="bottom"/>
          </w:tcPr>
          <w:p>
            <w:pPr>
              <w:spacing w:after="0"/>
              <w:rPr>
                <w:sz w:val="14"/>
                <w:szCs w:val="14"/>
                <w:color w:val="auto"/>
              </w:rPr>
            </w:pPr>
          </w:p>
        </w:tc>
      </w:tr>
      <w:tr>
        <w:trPr>
          <w:trHeight w:val="21"/>
        </w:trPr>
        <w:tc>
          <w:tcPr>
            <w:tcW w:w="480" w:type="dxa"/>
            <w:vAlign w:val="bottom"/>
          </w:tcPr>
          <w:p>
            <w:pPr>
              <w:spacing w:after="0" w:line="20" w:lineRule="exact"/>
              <w:rPr>
                <w:sz w:val="1"/>
                <w:szCs w:val="1"/>
                <w:color w:val="auto"/>
              </w:rPr>
            </w:pPr>
          </w:p>
        </w:tc>
        <w:tc>
          <w:tcPr>
            <w:tcW w:w="10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4"/>
        </w:trPr>
        <w:tc>
          <w:tcPr>
            <w:tcW w:w="480" w:type="dxa"/>
            <w:vAlign w:val="bottom"/>
            <w:shd w:val="clear" w:color="auto" w:fill="CCEEFF"/>
          </w:tcPr>
          <w:p>
            <w:pPr>
              <w:spacing w:after="0"/>
              <w:rPr>
                <w:sz w:val="24"/>
                <w:szCs w:val="24"/>
                <w:color w:val="auto"/>
              </w:rPr>
            </w:pPr>
          </w:p>
        </w:tc>
        <w:tc>
          <w:tcPr>
            <w:tcW w:w="10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162"/>
        </w:trPr>
        <w:tc>
          <w:tcPr>
            <w:tcW w:w="480" w:type="dxa"/>
            <w:vAlign w:val="bottom"/>
          </w:tcPr>
          <w:p>
            <w:pPr>
              <w:spacing w:after="0"/>
              <w:rPr>
                <w:sz w:val="14"/>
                <w:szCs w:val="14"/>
                <w:color w:val="auto"/>
              </w:rPr>
            </w:pPr>
          </w:p>
        </w:tc>
        <w:tc>
          <w:tcPr>
            <w:tcW w:w="10740" w:type="dxa"/>
            <w:vAlign w:val="bottom"/>
          </w:tcPr>
          <w:p>
            <w:pPr>
              <w:ind w:left="340"/>
              <w:spacing w:after="0"/>
              <w:rPr>
                <w:sz w:val="20"/>
                <w:szCs w:val="20"/>
                <w:color w:val="auto"/>
              </w:rPr>
            </w:pPr>
            <w:r>
              <w:rPr>
                <w:rFonts w:ascii="Arial" w:cs="Arial" w:eastAsia="Arial" w:hAnsi="Arial"/>
                <w:sz w:val="14"/>
                <w:szCs w:val="14"/>
                <w:color w:val="auto"/>
              </w:rPr>
              <w:t>(a) Index of Exhibits</w:t>
            </w:r>
          </w:p>
        </w:tc>
        <w:tc>
          <w:tcPr>
            <w:tcW w:w="140" w:type="dxa"/>
            <w:vAlign w:val="bottom"/>
            <w:tcBorders>
              <w:bottom w:val="single" w:sz="8" w:color="0000EE"/>
            </w:tcBorders>
            <w:gridSpan w:val="2"/>
          </w:tcPr>
          <w:p>
            <w:pPr>
              <w:jc w:val="right"/>
              <w:spacing w:after="0"/>
              <w:rPr>
                <w:rFonts w:ascii="Arial" w:cs="Arial" w:eastAsia="Arial" w:hAnsi="Arial"/>
                <w:sz w:val="14"/>
                <w:szCs w:val="14"/>
                <w:color w:val="0000EE"/>
                <w:w w:val="76"/>
              </w:rPr>
            </w:pPr>
            <w:hyperlink w:anchor="page45">
              <w:r>
                <w:rPr>
                  <w:rFonts w:ascii="Arial" w:cs="Arial" w:eastAsia="Arial" w:hAnsi="Arial"/>
                  <w:sz w:val="14"/>
                  <w:szCs w:val="14"/>
                  <w:color w:val="0000EE"/>
                  <w:w w:val="76"/>
                </w:rPr>
                <w:t>45</w:t>
              </w:r>
            </w:hyperlink>
          </w:p>
        </w:tc>
        <w:tc>
          <w:tcPr>
            <w:tcW w:w="40" w:type="dxa"/>
            <w:vAlign w:val="bottom"/>
          </w:tcPr>
          <w:p>
            <w:pPr>
              <w:spacing w:after="0"/>
              <w:rPr>
                <w:sz w:val="14"/>
                <w:szCs w:val="14"/>
                <w:color w:val="auto"/>
              </w:rPr>
            </w:pPr>
          </w:p>
        </w:tc>
      </w:tr>
      <w:tr>
        <w:trPr>
          <w:trHeight w:val="21"/>
        </w:trPr>
        <w:tc>
          <w:tcPr>
            <w:tcW w:w="480" w:type="dxa"/>
            <w:vAlign w:val="bottom"/>
          </w:tcPr>
          <w:p>
            <w:pPr>
              <w:spacing w:after="0" w:line="20" w:lineRule="exact"/>
              <w:rPr>
                <w:sz w:val="1"/>
                <w:szCs w:val="1"/>
                <w:color w:val="auto"/>
              </w:rPr>
            </w:pPr>
          </w:p>
        </w:tc>
        <w:tc>
          <w:tcPr>
            <w:tcW w:w="10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4"/>
        </w:trPr>
        <w:tc>
          <w:tcPr>
            <w:tcW w:w="1122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162"/>
        </w:trPr>
        <w:tc>
          <w:tcPr>
            <w:tcW w:w="11220" w:type="dxa"/>
            <w:vAlign w:val="bottom"/>
            <w:gridSpan w:val="2"/>
          </w:tcPr>
          <w:p>
            <w:pPr>
              <w:ind w:left="40"/>
              <w:spacing w:after="0"/>
              <w:rPr>
                <w:sz w:val="20"/>
                <w:szCs w:val="20"/>
                <w:color w:val="auto"/>
              </w:rPr>
            </w:pPr>
            <w:r>
              <w:rPr>
                <w:rFonts w:ascii="Arial" w:cs="Arial" w:eastAsia="Arial" w:hAnsi="Arial"/>
                <w:sz w:val="14"/>
                <w:szCs w:val="14"/>
                <w:color w:val="auto"/>
              </w:rPr>
              <w:t>Signature Page</w:t>
            </w:r>
          </w:p>
        </w:tc>
        <w:tc>
          <w:tcPr>
            <w:tcW w:w="140" w:type="dxa"/>
            <w:vAlign w:val="bottom"/>
            <w:tcBorders>
              <w:bottom w:val="single" w:sz="8" w:color="0000EE"/>
            </w:tcBorders>
            <w:gridSpan w:val="2"/>
          </w:tcPr>
          <w:p>
            <w:pPr>
              <w:jc w:val="right"/>
              <w:spacing w:after="0"/>
              <w:rPr>
                <w:rFonts w:ascii="Arial" w:cs="Arial" w:eastAsia="Arial" w:hAnsi="Arial"/>
                <w:sz w:val="14"/>
                <w:szCs w:val="14"/>
                <w:color w:val="0000EE"/>
                <w:w w:val="76"/>
              </w:rPr>
            </w:pPr>
            <w:hyperlink w:anchor="page46">
              <w:r>
                <w:rPr>
                  <w:rFonts w:ascii="Arial" w:cs="Arial" w:eastAsia="Arial" w:hAnsi="Arial"/>
                  <w:sz w:val="14"/>
                  <w:szCs w:val="14"/>
                  <w:color w:val="0000EE"/>
                  <w:w w:val="76"/>
                </w:rPr>
                <w:t>46</w:t>
              </w:r>
            </w:hyperlink>
          </w:p>
        </w:tc>
        <w:tc>
          <w:tcPr>
            <w:tcW w:w="40" w:type="dxa"/>
            <w:vAlign w:val="bottom"/>
          </w:tcPr>
          <w:p>
            <w:pPr>
              <w:spacing w:after="0"/>
              <w:rPr>
                <w:sz w:val="14"/>
                <w:szCs w:val="14"/>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68" w:right="25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6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3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r>
      <w:tr>
        <w:trPr>
          <w:trHeight w:val="256"/>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64"/>
        </w:trPr>
        <w:tc>
          <w:tcPr>
            <w:tcW w:w="6340" w:type="dxa"/>
            <w:vAlign w:val="bottom"/>
          </w:tcPr>
          <w:p>
            <w:pPr>
              <w:ind w:left="160"/>
              <w:spacing w:after="0"/>
              <w:rPr>
                <w:sz w:val="20"/>
                <w:szCs w:val="20"/>
                <w:color w:val="auto"/>
              </w:rPr>
            </w:pPr>
            <w:r>
              <w:rPr>
                <w:rFonts w:ascii="Arial" w:cs="Arial" w:eastAsia="Arial" w:hAnsi="Arial"/>
                <w:sz w:val="14"/>
                <w:szCs w:val="14"/>
                <w:color w:val="auto"/>
              </w:rPr>
              <w:t>Service and other</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112,719</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122,069</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212,798</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215,152</w:t>
            </w:r>
          </w:p>
        </w:tc>
      </w:tr>
      <w:tr>
        <w:trPr>
          <w:trHeight w:val="276"/>
        </w:trPr>
        <w:tc>
          <w:tcPr>
            <w:tcW w:w="6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Rental</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7,625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14,115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7,738</w:t>
            </w:r>
          </w:p>
        </w:tc>
      </w:tr>
      <w:tr>
        <w:trPr>
          <w:trHeight w:val="264"/>
        </w:trPr>
        <w:tc>
          <w:tcPr>
            <w:tcW w:w="63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Product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3,691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3,790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8,791</w:t>
            </w:r>
          </w:p>
        </w:tc>
      </w:tr>
      <w:tr>
        <w:trPr>
          <w:trHeight w:val="256"/>
        </w:trPr>
        <w:tc>
          <w:tcPr>
            <w:tcW w:w="63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122,153</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130,177</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230,703</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231,681</w:t>
            </w:r>
          </w:p>
        </w:tc>
      </w:tr>
      <w:tr>
        <w:trPr>
          <w:trHeight w:val="258"/>
        </w:trPr>
        <w:tc>
          <w:tcPr>
            <w:tcW w:w="63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6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Service and other costs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77,659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81,694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150,303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150,500</w:t>
            </w:r>
          </w:p>
        </w:tc>
      </w:tr>
      <w:tr>
        <w:trPr>
          <w:trHeight w:val="264"/>
        </w:trPr>
        <w:tc>
          <w:tcPr>
            <w:tcW w:w="6340" w:type="dxa"/>
            <w:vAlign w:val="bottom"/>
          </w:tcPr>
          <w:p>
            <w:pPr>
              <w:ind w:left="160"/>
              <w:spacing w:after="0"/>
              <w:rPr>
                <w:sz w:val="20"/>
                <w:szCs w:val="20"/>
                <w:color w:val="auto"/>
              </w:rPr>
            </w:pPr>
            <w:r>
              <w:rPr>
                <w:rFonts w:ascii="Arial" w:cs="Arial" w:eastAsia="Arial" w:hAnsi="Arial"/>
                <w:sz w:val="14"/>
                <w:szCs w:val="14"/>
                <w:color w:val="auto"/>
              </w:rPr>
              <w:t>Rental costs</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6,357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5,318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11,507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9,840</w:t>
            </w:r>
          </w:p>
        </w:tc>
      </w:tr>
      <w:tr>
        <w:trPr>
          <w:trHeight w:val="276"/>
        </w:trPr>
        <w:tc>
          <w:tcPr>
            <w:tcW w:w="6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Product costs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6,816</w:t>
            </w:r>
          </w:p>
        </w:tc>
      </w:tr>
      <w:tr>
        <w:trPr>
          <w:trHeight w:val="264"/>
        </w:trPr>
        <w:tc>
          <w:tcPr>
            <w:tcW w:w="6340" w:type="dxa"/>
            <w:vAlign w:val="bottom"/>
          </w:tcPr>
          <w:p>
            <w:pPr>
              <w:ind w:left="16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12,530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21,821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28,626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38,335</w:t>
            </w:r>
          </w:p>
        </w:tc>
      </w:tr>
      <w:tr>
        <w:trPr>
          <w:trHeight w:val="276"/>
        </w:trPr>
        <w:tc>
          <w:tcPr>
            <w:tcW w:w="6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30,996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34,270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61,778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65,034</w:t>
            </w:r>
          </w:p>
        </w:tc>
      </w:tr>
      <w:tr>
        <w:trPr>
          <w:trHeight w:val="264"/>
        </w:trPr>
        <w:tc>
          <w:tcPr>
            <w:tcW w:w="6340" w:type="dxa"/>
            <w:vAlign w:val="bottom"/>
          </w:tcPr>
          <w:p>
            <w:pPr>
              <w:ind w:left="160"/>
              <w:spacing w:after="0"/>
              <w:rPr>
                <w:sz w:val="20"/>
                <w:szCs w:val="20"/>
                <w:color w:val="auto"/>
              </w:rPr>
            </w:pPr>
            <w:r>
              <w:rPr>
                <w:rFonts w:ascii="Arial" w:cs="Arial" w:eastAsia="Arial" w:hAnsi="Arial"/>
                <w:sz w:val="14"/>
                <w:szCs w:val="14"/>
                <w:color w:val="auto"/>
              </w:rPr>
              <w:t>Impairment expense</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5,546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5,546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28,661</w:t>
            </w:r>
          </w:p>
        </w:tc>
      </w:tr>
      <w:tr>
        <w:trPr>
          <w:trHeight w:val="270"/>
        </w:trPr>
        <w:tc>
          <w:tcPr>
            <w:tcW w:w="6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operating expense (income)</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511</w:t>
            </w:r>
          </w:p>
        </w:tc>
      </w:tr>
      <w:tr>
        <w:trPr>
          <w:trHeight w:val="250"/>
        </w:trPr>
        <w:tc>
          <w:tcPr>
            <w:tcW w:w="63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134,209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145,678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260,652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299,697</w:t>
            </w:r>
          </w:p>
        </w:tc>
      </w:tr>
      <w:tr>
        <w:trPr>
          <w:trHeight w:val="256"/>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(12,056)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(29,949)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(68,016)</w:t>
            </w:r>
          </w:p>
        </w:tc>
      </w:tr>
      <w:tr>
        <w:trPr>
          <w:trHeight w:val="270"/>
        </w:trPr>
        <w:tc>
          <w:tcPr>
            <w:tcW w:w="6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(6,720)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(12,925)</w:t>
            </w:r>
          </w:p>
        </w:tc>
      </w:tr>
      <w:tr>
        <w:trPr>
          <w:trHeight w:val="264"/>
        </w:trPr>
        <w:tc>
          <w:tcPr>
            <w:tcW w:w="634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(748)</w:t>
            </w:r>
          </w:p>
        </w:tc>
      </w:tr>
      <w:tr>
        <w:trPr>
          <w:trHeight w:val="276"/>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w:t>
            </w:r>
          </w:p>
        </w:tc>
      </w:tr>
      <w:tr>
        <w:trPr>
          <w:trHeight w:val="264"/>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4,033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2,511</w:t>
            </w:r>
          </w:p>
        </w:tc>
      </w:tr>
      <w:tr>
        <w:trPr>
          <w:trHeight w:val="256"/>
        </w:trPr>
        <w:tc>
          <w:tcPr>
            <w:tcW w:w="6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Loss before income taxes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(17,699)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(23,082)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(39,222)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(79,102)</w:t>
            </w:r>
          </w:p>
        </w:tc>
      </w:tr>
      <w:tr>
        <w:trPr>
          <w:trHeight w:val="264"/>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benefit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23,371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7,334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24,056</w:t>
            </w:r>
          </w:p>
        </w:tc>
      </w:tr>
      <w:tr>
        <w:trPr>
          <w:trHeight w:val="256"/>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(14,849)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(55,046)</w:t>
            </w:r>
          </w:p>
        </w:tc>
      </w:tr>
      <w:tr>
        <w:trPr>
          <w:trHeight w:val="264"/>
        </w:trPr>
        <w:tc>
          <w:tcPr>
            <w:tcW w:w="6340" w:type="dxa"/>
            <w:vAlign w:val="bottom"/>
          </w:tcPr>
          <w:p>
            <w:pPr>
              <w:ind w:left="160"/>
              <w:spacing w:after="0"/>
              <w:rPr>
                <w:sz w:val="20"/>
                <w:szCs w:val="20"/>
                <w:color w:val="auto"/>
              </w:rPr>
            </w:pPr>
            <w:r>
              <w:rPr>
                <w:rFonts w:ascii="Arial" w:cs="Arial" w:eastAsia="Arial" w:hAnsi="Arial"/>
                <w:sz w:val="14"/>
                <w:szCs w:val="14"/>
                <w:color w:val="auto"/>
              </w:rPr>
              <w:t>Less: Net income attributable to noncontrolling interest</w:t>
            </w:r>
          </w:p>
        </w:tc>
        <w:tc>
          <w:tcPr>
            <w:tcW w:w="26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244</w:t>
            </w:r>
          </w:p>
        </w:tc>
      </w:tr>
      <w:tr>
        <w:trPr>
          <w:trHeight w:val="256"/>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Civeo Corporation</w:t>
            </w:r>
          </w:p>
        </w:tc>
        <w:tc>
          <w:tcPr>
            <w:tcW w:w="2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(14,849)</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(31,888)</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(55,290)</w:t>
            </w:r>
          </w:p>
        </w:tc>
      </w:tr>
      <w:tr>
        <w:trPr>
          <w:trHeight w:val="264"/>
        </w:trPr>
        <w:tc>
          <w:tcPr>
            <w:tcW w:w="63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Less: Dividends attributable to Class A preferred shares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48,488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48,488</w:t>
            </w:r>
          </w:p>
        </w:tc>
      </w:tr>
      <w:tr>
        <w:trPr>
          <w:trHeight w:val="243"/>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Civeo common shareholders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(103,778)</w:t>
            </w:r>
          </w:p>
        </w:tc>
      </w:tr>
      <w:tr>
        <w:trPr>
          <w:trHeight w:val="20"/>
        </w:trPr>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1"/>
        </w:trPr>
        <w:tc>
          <w:tcPr>
            <w:tcW w:w="6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6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4"/>
        </w:trPr>
        <w:tc>
          <w:tcPr>
            <w:tcW w:w="6340" w:type="dxa"/>
            <w:vAlign w:val="bottom"/>
          </w:tcPr>
          <w:p>
            <w:pPr>
              <w:ind w:left="20"/>
              <w:spacing w:after="0"/>
              <w:rPr>
                <w:sz w:val="20"/>
                <w:szCs w:val="20"/>
                <w:color w:val="auto"/>
              </w:rPr>
            </w:pPr>
            <w:r>
              <w:rPr>
                <w:rFonts w:ascii="Arial" w:cs="Arial" w:eastAsia="Arial" w:hAnsi="Arial"/>
                <w:sz w:val="14"/>
                <w:szCs w:val="14"/>
                <w:b w:val="1"/>
                <w:bCs w:val="1"/>
                <w:color w:val="auto"/>
              </w:rPr>
              <w:t>Per Share Data (see Note 9)</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net loss per share attributable to Civeo Corporation common shareholders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(0.70)</w:t>
            </w:r>
          </w:p>
        </w:tc>
      </w:tr>
      <w:tr>
        <w:trPr>
          <w:trHeight w:val="270"/>
        </w:trPr>
        <w:tc>
          <w:tcPr>
            <w:tcW w:w="6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net loss per share attributable to Civeo Corporation common shareholders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(0.70)</w:t>
            </w:r>
          </w:p>
        </w:tc>
      </w:tr>
      <w:tr>
        <w:trPr>
          <w:trHeight w:val="270"/>
        </w:trPr>
        <w:tc>
          <w:tcPr>
            <w:tcW w:w="6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4"/>
        </w:trPr>
        <w:tc>
          <w:tcPr>
            <w:tcW w:w="6340" w:type="dxa"/>
            <w:vAlign w:val="bottom"/>
          </w:tcPr>
          <w:p>
            <w:pPr>
              <w:ind w:left="16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167,532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165,373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166,437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148,595</w:t>
            </w:r>
          </w:p>
        </w:tc>
      </w:tr>
      <w:tr>
        <w:trPr>
          <w:trHeight w:val="276"/>
        </w:trPr>
        <w:tc>
          <w:tcPr>
            <w:tcW w:w="6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167,532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165,373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166,437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148,595</w:t>
            </w:r>
          </w:p>
        </w:tc>
      </w:tr>
    </w:tbl>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140"/>
          </w:cols>
          <w:pgMar w:left="380" w:top="364" w:right="37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140"/>
          </w:cols>
          <w:pgMar w:left="380" w:top="364" w:right="379" w:bottom="1440" w:gutter="0" w:footer="0" w:header="0"/>
          <w:type w:val="continuous"/>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4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r>
      <w:tr>
        <w:trPr>
          <w:trHeight w:val="264"/>
        </w:trPr>
        <w:tc>
          <w:tcPr>
            <w:tcW w:w="63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r>
      <w:tr>
        <w:trPr>
          <w:trHeight w:val="297"/>
        </w:trPr>
        <w:tc>
          <w:tcPr>
            <w:tcW w:w="6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4"/>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(14,849)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(31,888)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(55,046)</w:t>
            </w:r>
          </w:p>
        </w:tc>
      </w:tr>
      <w:tr>
        <w:trPr>
          <w:trHeight w:val="297"/>
        </w:trPr>
        <w:tc>
          <w:tcPr>
            <w:tcW w:w="6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4"/>
        </w:trPr>
        <w:tc>
          <w:tcPr>
            <w:tcW w:w="63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Foreign currency translation adjustment, net of taxes of zero</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(16,434)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6,463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(24,255)</w:t>
            </w:r>
          </w:p>
        </w:tc>
      </w:tr>
      <w:tr>
        <w:trPr>
          <w:trHeight w:val="25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(16,434)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6,463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(24,255)</w:t>
            </w:r>
          </w:p>
        </w:tc>
      </w:tr>
      <w:tr>
        <w:trPr>
          <w:trHeight w:val="297"/>
        </w:trPr>
        <w:tc>
          <w:tcPr>
            <w:tcW w:w="6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(13,765)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(16,145)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(25,425)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(79,301)</w:t>
            </w:r>
          </w:p>
        </w:tc>
      </w:tr>
      <w:tr>
        <w:trPr>
          <w:trHeight w:val="264"/>
        </w:trPr>
        <w:tc>
          <w:tcPr>
            <w:tcW w:w="6300" w:type="dxa"/>
            <w:vAlign w:val="bottom"/>
          </w:tcPr>
          <w:p>
            <w:pPr>
              <w:ind w:left="160"/>
              <w:spacing w:after="0"/>
              <w:rPr>
                <w:sz w:val="20"/>
                <w:szCs w:val="20"/>
                <w:color w:val="auto"/>
              </w:rPr>
            </w:pPr>
            <w:r>
              <w:rPr>
                <w:rFonts w:ascii="Arial" w:cs="Arial" w:eastAsia="Arial" w:hAnsi="Arial"/>
                <w:sz w:val="14"/>
                <w:szCs w:val="14"/>
                <w:color w:val="auto"/>
              </w:rPr>
              <w:t>Less: Comprehensive income attributable to noncontrolling interest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242</w:t>
            </w:r>
          </w:p>
        </w:tc>
      </w:tr>
      <w:tr>
        <w:trPr>
          <w:trHeight w:val="243"/>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 attributable to Civeo Corporation</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(13,765)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(79,543)</w:t>
            </w:r>
          </w:p>
        </w:tc>
      </w:tr>
      <w:tr>
        <w:trPr>
          <w:trHeight w:val="20"/>
        </w:trPr>
        <w:tc>
          <w:tcPr>
            <w:tcW w:w="6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440" w:top="364" w:right="41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2"/>
              </w:rPr>
              <w:t>June 30, 2019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8"/>
              </w:rPr>
              <w:t>December 31, 2018</w:t>
            </w:r>
          </w:p>
        </w:tc>
      </w:tr>
      <w:tr>
        <w:trPr>
          <w:trHeight w:val="264"/>
        </w:trPr>
        <w:tc>
          <w:tcPr>
            <w:tcW w:w="20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(Unaudited)</w:t>
            </w: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20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760" w:type="dxa"/>
            <w:vAlign w:val="bottom"/>
            <w:shd w:val="clear" w:color="auto" w:fill="CCEEFF"/>
          </w:tcPr>
          <w:p>
            <w:pPr>
              <w:jc w:val="center"/>
              <w:ind w:right="3008"/>
              <w:spacing w:after="0"/>
              <w:rPr>
                <w:sz w:val="20"/>
                <w:szCs w:val="20"/>
                <w:color w:val="auto"/>
              </w:rPr>
            </w:pPr>
            <w:r>
              <w:rPr>
                <w:rFonts w:ascii="Arial" w:cs="Arial" w:eastAsia="Arial" w:hAnsi="Arial"/>
                <w:sz w:val="14"/>
                <w:szCs w:val="14"/>
                <w:color w:val="auto"/>
                <w:w w:val="94"/>
              </w:rPr>
              <w:t>ASSETS</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30"/>
        </w:trPr>
        <w:tc>
          <w:tcPr>
            <w:tcW w:w="2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70"/>
        </w:trPr>
        <w:tc>
          <w:tcPr>
            <w:tcW w:w="7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4"/>
        </w:trPr>
        <w:tc>
          <w:tcPr>
            <w:tcW w:w="7860" w:type="dxa"/>
            <w:vAlign w:val="bottom"/>
            <w:gridSpan w:val="3"/>
          </w:tcPr>
          <w:p>
            <w:pPr>
              <w:ind w:left="18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13,459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12,372</w:t>
            </w:r>
          </w:p>
        </w:tc>
      </w:tr>
      <w:tr>
        <w:trPr>
          <w:trHeight w:val="276"/>
        </w:trPr>
        <w:tc>
          <w:tcPr>
            <w:tcW w:w="78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Accounts receivable, net</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90,763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70,223</w:t>
            </w:r>
          </w:p>
        </w:tc>
      </w:tr>
      <w:tr>
        <w:trPr>
          <w:trHeight w:val="264"/>
        </w:trPr>
        <w:tc>
          <w:tcPr>
            <w:tcW w:w="7860" w:type="dxa"/>
            <w:vAlign w:val="bottom"/>
            <w:gridSpan w:val="3"/>
          </w:tcPr>
          <w:p>
            <w:pPr>
              <w:ind w:left="180"/>
              <w:spacing w:after="0"/>
              <w:rPr>
                <w:sz w:val="20"/>
                <w:szCs w:val="20"/>
                <w:color w:val="auto"/>
              </w:rPr>
            </w:pPr>
            <w:r>
              <w:rPr>
                <w:rFonts w:ascii="Arial" w:cs="Arial" w:eastAsia="Arial" w:hAnsi="Arial"/>
                <w:sz w:val="14"/>
                <w:szCs w:val="14"/>
                <w:color w:val="auto"/>
              </w:rPr>
              <w:t>Inventories</w:t>
            </w:r>
          </w:p>
        </w:tc>
        <w:tc>
          <w:tcPr>
            <w:tcW w:w="28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4,421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4,313</w:t>
            </w:r>
          </w:p>
        </w:tc>
      </w:tr>
      <w:tr>
        <w:trPr>
          <w:trHeight w:val="276"/>
        </w:trPr>
        <w:tc>
          <w:tcPr>
            <w:tcW w:w="78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7,036</w:t>
            </w:r>
          </w:p>
        </w:tc>
      </w:tr>
      <w:tr>
        <w:trPr>
          <w:trHeight w:val="264"/>
        </w:trPr>
        <w:tc>
          <w:tcPr>
            <w:tcW w:w="7860" w:type="dxa"/>
            <w:vAlign w:val="bottom"/>
            <w:gridSpan w:val="3"/>
          </w:tcPr>
          <w:p>
            <w:pPr>
              <w:ind w:left="180"/>
              <w:spacing w:after="0"/>
              <w:rPr>
                <w:sz w:val="20"/>
                <w:szCs w:val="20"/>
                <w:color w:val="auto"/>
              </w:rPr>
            </w:pPr>
            <w:r>
              <w:rPr>
                <w:rFonts w:ascii="Arial" w:cs="Arial" w:eastAsia="Arial" w:hAnsi="Arial"/>
                <w:sz w:val="14"/>
                <w:szCs w:val="14"/>
                <w:color w:val="auto"/>
              </w:rPr>
              <w:t>Other current assets</w:t>
            </w:r>
          </w:p>
        </w:tc>
        <w:tc>
          <w:tcPr>
            <w:tcW w:w="28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4,156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3,556</w:t>
            </w:r>
          </w:p>
        </w:tc>
      </w:tr>
      <w:tr>
        <w:trPr>
          <w:trHeight w:val="270"/>
        </w:trPr>
        <w:tc>
          <w:tcPr>
            <w:tcW w:w="78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Assets held for sale</w:t>
            </w:r>
          </w:p>
        </w:tc>
        <w:tc>
          <w:tcPr>
            <w:tcW w:w="2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8,228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10,297</w:t>
            </w:r>
          </w:p>
        </w:tc>
      </w:tr>
      <w:tr>
        <w:trPr>
          <w:trHeight w:val="250"/>
        </w:trPr>
        <w:tc>
          <w:tcPr>
            <w:tcW w:w="7860" w:type="dxa"/>
            <w:vAlign w:val="bottom"/>
            <w:gridSpan w:val="3"/>
          </w:tcPr>
          <w:p>
            <w:pPr>
              <w:ind w:left="38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21"/>
                <w:szCs w:val="21"/>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130,562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107,797</w:t>
            </w:r>
          </w:p>
        </w:tc>
      </w:tr>
      <w:tr>
        <w:trPr>
          <w:trHeight w:val="222"/>
        </w:trPr>
        <w:tc>
          <w:tcPr>
            <w:tcW w:w="2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64"/>
        </w:trPr>
        <w:tc>
          <w:tcPr>
            <w:tcW w:w="7860" w:type="dxa"/>
            <w:vAlign w:val="bottom"/>
            <w:gridSpan w:val="3"/>
          </w:tcPr>
          <w:p>
            <w:pPr>
              <w:ind w:left="40"/>
              <w:spacing w:after="0"/>
              <w:rPr>
                <w:sz w:val="20"/>
                <w:szCs w:val="20"/>
                <w:color w:val="auto"/>
              </w:rPr>
            </w:pPr>
            <w:r>
              <w:rPr>
                <w:rFonts w:ascii="Arial" w:cs="Arial" w:eastAsia="Arial" w:hAnsi="Arial"/>
                <w:sz w:val="14"/>
                <w:szCs w:val="14"/>
                <w:color w:val="auto"/>
              </w:rPr>
              <w:t>Property, plant and equipment, net</w:t>
            </w:r>
          </w:p>
        </w:tc>
        <w:tc>
          <w:tcPr>
            <w:tcW w:w="28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636,038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658,905</w:t>
            </w:r>
          </w:p>
        </w:tc>
      </w:tr>
      <w:tr>
        <w:trPr>
          <w:trHeight w:val="276"/>
        </w:trPr>
        <w:tc>
          <w:tcPr>
            <w:tcW w:w="7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121,674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114,207</w:t>
            </w:r>
          </w:p>
        </w:tc>
      </w:tr>
      <w:tr>
        <w:trPr>
          <w:trHeight w:val="264"/>
        </w:trPr>
        <w:tc>
          <w:tcPr>
            <w:tcW w:w="7860" w:type="dxa"/>
            <w:vAlign w:val="bottom"/>
            <w:gridSpan w:val="3"/>
          </w:tcPr>
          <w:p>
            <w:pPr>
              <w:ind w:left="40"/>
              <w:spacing w:after="0"/>
              <w:rPr>
                <w:sz w:val="20"/>
                <w:szCs w:val="20"/>
                <w:color w:val="auto"/>
              </w:rPr>
            </w:pPr>
            <w:r>
              <w:rPr>
                <w:rFonts w:ascii="Arial" w:cs="Arial" w:eastAsia="Arial" w:hAnsi="Arial"/>
                <w:sz w:val="14"/>
                <w:szCs w:val="14"/>
                <w:color w:val="auto"/>
              </w:rPr>
              <w:t>Other intangible assets, net</w:t>
            </w:r>
          </w:p>
        </w:tc>
        <w:tc>
          <w:tcPr>
            <w:tcW w:w="28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108,962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119,409</w:t>
            </w:r>
          </w:p>
        </w:tc>
      </w:tr>
      <w:tr>
        <w:trPr>
          <w:trHeight w:val="276"/>
        </w:trPr>
        <w:tc>
          <w:tcPr>
            <w:tcW w:w="7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78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Other noncurrent assets</w:t>
            </w: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1,359</w:t>
            </w:r>
          </w:p>
        </w:tc>
      </w:tr>
      <w:tr>
        <w:trPr>
          <w:trHeight w:val="243"/>
        </w:trPr>
        <w:tc>
          <w:tcPr>
            <w:tcW w:w="7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1,020,405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1,001,677</w:t>
            </w:r>
          </w:p>
        </w:tc>
      </w:tr>
      <w:tr>
        <w:trPr>
          <w:trHeight w:val="20"/>
        </w:trPr>
        <w:tc>
          <w:tcPr>
            <w:tcW w:w="2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2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70"/>
        </w:trPr>
        <w:tc>
          <w:tcPr>
            <w:tcW w:w="2080" w:type="dxa"/>
            <w:vAlign w:val="bottom"/>
            <w:shd w:val="clear" w:color="auto" w:fill="CCEEFF"/>
          </w:tcPr>
          <w:p>
            <w:pPr>
              <w:spacing w:after="0"/>
              <w:rPr>
                <w:sz w:val="23"/>
                <w:szCs w:val="23"/>
                <w:color w:val="auto"/>
              </w:rPr>
            </w:pPr>
          </w:p>
        </w:tc>
        <w:tc>
          <w:tcPr>
            <w:tcW w:w="5780" w:type="dxa"/>
            <w:vAlign w:val="bottom"/>
            <w:gridSpan w:val="2"/>
            <w:shd w:val="clear" w:color="auto" w:fill="CCEEFF"/>
          </w:tcPr>
          <w:p>
            <w:pPr>
              <w:jc w:val="center"/>
              <w:ind w:right="1988"/>
              <w:spacing w:after="0"/>
              <w:rPr>
                <w:sz w:val="20"/>
                <w:szCs w:val="20"/>
                <w:color w:val="auto"/>
              </w:rPr>
            </w:pPr>
            <w:r>
              <w:rPr>
                <w:rFonts w:ascii="Arial" w:cs="Arial" w:eastAsia="Arial" w:hAnsi="Arial"/>
                <w:sz w:val="14"/>
                <w:szCs w:val="14"/>
                <w:color w:val="auto"/>
              </w:rPr>
              <w:t>LIABILITIES AND SHAREHOLDERS’ EQUITY</w:t>
            </w: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16"/>
        </w:trPr>
        <w:tc>
          <w:tcPr>
            <w:tcW w:w="2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70"/>
        </w:trPr>
        <w:tc>
          <w:tcPr>
            <w:tcW w:w="7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4"/>
        </w:trPr>
        <w:tc>
          <w:tcPr>
            <w:tcW w:w="7860" w:type="dxa"/>
            <w:vAlign w:val="bottom"/>
            <w:gridSpan w:val="3"/>
          </w:tcPr>
          <w:p>
            <w:pPr>
              <w:ind w:left="180"/>
              <w:spacing w:after="0"/>
              <w:rPr>
                <w:sz w:val="20"/>
                <w:szCs w:val="20"/>
                <w:color w:val="auto"/>
              </w:rPr>
            </w:pPr>
            <w:r>
              <w:rPr>
                <w:rFonts w:ascii="Arial" w:cs="Arial" w:eastAsia="Arial" w:hAnsi="Arial"/>
                <w:sz w:val="14"/>
                <w:szCs w:val="14"/>
                <w:color w:val="auto"/>
              </w:rPr>
              <w:t>Accounts payable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30,796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28,334</w:t>
            </w:r>
          </w:p>
        </w:tc>
      </w:tr>
      <w:tr>
        <w:trPr>
          <w:trHeight w:val="276"/>
        </w:trPr>
        <w:tc>
          <w:tcPr>
            <w:tcW w:w="78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Accrued liabilities</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15,956</w:t>
            </w:r>
          </w:p>
        </w:tc>
      </w:tr>
      <w:tr>
        <w:trPr>
          <w:trHeight w:val="264"/>
        </w:trPr>
        <w:tc>
          <w:tcPr>
            <w:tcW w:w="7860" w:type="dxa"/>
            <w:vAlign w:val="bottom"/>
            <w:gridSpan w:val="3"/>
          </w:tcPr>
          <w:p>
            <w:pPr>
              <w:ind w:left="180"/>
              <w:spacing w:after="0"/>
              <w:rPr>
                <w:sz w:val="20"/>
                <w:szCs w:val="20"/>
                <w:color w:val="auto"/>
              </w:rPr>
            </w:pPr>
            <w:r>
              <w:rPr>
                <w:rFonts w:ascii="Arial" w:cs="Arial" w:eastAsia="Arial" w:hAnsi="Arial"/>
                <w:sz w:val="14"/>
                <w:szCs w:val="14"/>
                <w:color w:val="auto"/>
              </w:rPr>
              <w:t>Income taxes</w:t>
            </w:r>
          </w:p>
        </w:tc>
        <w:tc>
          <w:tcPr>
            <w:tcW w:w="28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310</w:t>
            </w:r>
          </w:p>
        </w:tc>
      </w:tr>
      <w:tr>
        <w:trPr>
          <w:trHeight w:val="276"/>
        </w:trPr>
        <w:tc>
          <w:tcPr>
            <w:tcW w:w="78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Current portion of long-term debt</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33,329</w:t>
            </w:r>
          </w:p>
        </w:tc>
      </w:tr>
      <w:tr>
        <w:trPr>
          <w:trHeight w:val="264"/>
        </w:trPr>
        <w:tc>
          <w:tcPr>
            <w:tcW w:w="7860" w:type="dxa"/>
            <w:vAlign w:val="bottom"/>
            <w:gridSpan w:val="3"/>
          </w:tcPr>
          <w:p>
            <w:pPr>
              <w:ind w:left="180"/>
              <w:spacing w:after="0"/>
              <w:rPr>
                <w:sz w:val="20"/>
                <w:szCs w:val="20"/>
                <w:color w:val="auto"/>
              </w:rPr>
            </w:pPr>
            <w:r>
              <w:rPr>
                <w:rFonts w:ascii="Arial" w:cs="Arial" w:eastAsia="Arial" w:hAnsi="Arial"/>
                <w:sz w:val="14"/>
                <w:szCs w:val="14"/>
                <w:color w:val="auto"/>
              </w:rPr>
              <w:t>Deferred revenue</w:t>
            </w:r>
          </w:p>
        </w:tc>
        <w:tc>
          <w:tcPr>
            <w:tcW w:w="28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2,621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3,035</w:t>
            </w:r>
          </w:p>
        </w:tc>
      </w:tr>
      <w:tr>
        <w:trPr>
          <w:trHeight w:val="270"/>
        </w:trPr>
        <w:tc>
          <w:tcPr>
            <w:tcW w:w="78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Other current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9,003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5,719</w:t>
            </w:r>
          </w:p>
        </w:tc>
      </w:tr>
      <w:tr>
        <w:trPr>
          <w:trHeight w:val="250"/>
        </w:trPr>
        <w:tc>
          <w:tcPr>
            <w:tcW w:w="7860" w:type="dxa"/>
            <w:vAlign w:val="bottom"/>
            <w:gridSpan w:val="3"/>
          </w:tcPr>
          <w:p>
            <w:pPr>
              <w:ind w:left="38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21"/>
                <w:szCs w:val="21"/>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92,506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86,683</w:t>
            </w:r>
          </w:p>
        </w:tc>
      </w:tr>
      <w:tr>
        <w:trPr>
          <w:trHeight w:val="222"/>
        </w:trPr>
        <w:tc>
          <w:tcPr>
            <w:tcW w:w="2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64"/>
        </w:trPr>
        <w:tc>
          <w:tcPr>
            <w:tcW w:w="7860" w:type="dxa"/>
            <w:vAlign w:val="bottom"/>
            <w:gridSpan w:val="3"/>
          </w:tcPr>
          <w:p>
            <w:pPr>
              <w:ind w:left="40"/>
              <w:spacing w:after="0"/>
              <w:rPr>
                <w:sz w:val="20"/>
                <w:szCs w:val="20"/>
                <w:color w:val="auto"/>
              </w:rPr>
            </w:pPr>
            <w:r>
              <w:rPr>
                <w:rFonts w:ascii="Arial" w:cs="Arial" w:eastAsia="Arial" w:hAnsi="Arial"/>
                <w:sz w:val="14"/>
                <w:szCs w:val="14"/>
                <w:color w:val="auto"/>
              </w:rPr>
              <w:t>Long-term debt, less current maturities</w:t>
            </w:r>
          </w:p>
        </w:tc>
        <w:tc>
          <w:tcPr>
            <w:tcW w:w="28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368,247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342,908</w:t>
            </w:r>
          </w:p>
        </w:tc>
      </w:tr>
      <w:tr>
        <w:trPr>
          <w:trHeight w:val="276"/>
        </w:trPr>
        <w:tc>
          <w:tcPr>
            <w:tcW w:w="7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18,442</w:t>
            </w:r>
          </w:p>
        </w:tc>
      </w:tr>
      <w:tr>
        <w:trPr>
          <w:trHeight w:val="264"/>
        </w:trPr>
        <w:tc>
          <w:tcPr>
            <w:tcW w:w="7860" w:type="dxa"/>
            <w:vAlign w:val="bottom"/>
            <w:gridSpan w:val="3"/>
          </w:tcPr>
          <w:p>
            <w:pPr>
              <w:ind w:left="40"/>
              <w:spacing w:after="0"/>
              <w:rPr>
                <w:sz w:val="20"/>
                <w:szCs w:val="20"/>
                <w:color w:val="auto"/>
              </w:rPr>
            </w:pPr>
            <w:r>
              <w:rPr>
                <w:rFonts w:ascii="Arial" w:cs="Arial" w:eastAsia="Arial" w:hAnsi="Arial"/>
                <w:sz w:val="14"/>
                <w:szCs w:val="14"/>
                <w:color w:val="auto"/>
              </w:rPr>
              <w:t>Operating lease liabilities</w:t>
            </w:r>
          </w:p>
        </w:tc>
        <w:tc>
          <w:tcPr>
            <w:tcW w:w="28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17,866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78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20,799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18,220</w:t>
            </w:r>
          </w:p>
        </w:tc>
      </w:tr>
      <w:tr>
        <w:trPr>
          <w:trHeight w:val="250"/>
        </w:trPr>
        <w:tc>
          <w:tcPr>
            <w:tcW w:w="7860" w:type="dxa"/>
            <w:vAlign w:val="bottom"/>
            <w:gridSpan w:val="3"/>
          </w:tcPr>
          <w:p>
            <w:pPr>
              <w:ind w:left="180"/>
              <w:spacing w:after="0"/>
              <w:rPr>
                <w:sz w:val="20"/>
                <w:szCs w:val="20"/>
                <w:color w:val="auto"/>
              </w:rPr>
            </w:pPr>
            <w:r>
              <w:rPr>
                <w:rFonts w:ascii="Arial" w:cs="Arial" w:eastAsia="Arial" w:hAnsi="Arial"/>
                <w:sz w:val="14"/>
                <w:szCs w:val="14"/>
                <w:color w:val="auto"/>
              </w:rPr>
              <w:t>Total liabilities</w:t>
            </w:r>
          </w:p>
        </w:tc>
        <w:tc>
          <w:tcPr>
            <w:tcW w:w="280" w:type="dxa"/>
            <w:vAlign w:val="bottom"/>
          </w:tcPr>
          <w:p>
            <w:pPr>
              <w:spacing w:after="0"/>
              <w:rPr>
                <w:sz w:val="21"/>
                <w:szCs w:val="21"/>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510,359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466,253</w:t>
            </w:r>
          </w:p>
        </w:tc>
      </w:tr>
      <w:tr>
        <w:trPr>
          <w:trHeight w:val="222"/>
        </w:trPr>
        <w:tc>
          <w:tcPr>
            <w:tcW w:w="2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64"/>
        </w:trPr>
        <w:tc>
          <w:tcPr>
            <w:tcW w:w="7860" w:type="dxa"/>
            <w:vAlign w:val="bottom"/>
            <w:gridSpan w:val="3"/>
          </w:tcPr>
          <w:p>
            <w:pPr>
              <w:ind w:left="40"/>
              <w:spacing w:after="0"/>
              <w:rPr>
                <w:sz w:val="20"/>
                <w:szCs w:val="20"/>
                <w:color w:val="auto"/>
              </w:rPr>
            </w:pPr>
            <w:r>
              <w:rPr>
                <w:rFonts w:ascii="Arial" w:cs="Arial" w:eastAsia="Arial" w:hAnsi="Arial"/>
                <w:sz w:val="14"/>
                <w:szCs w:val="14"/>
                <w:color w:val="auto"/>
              </w:rPr>
              <w:t>Commitments and contingencies (Note 12)</w:t>
            </w:r>
          </w:p>
        </w:tc>
        <w:tc>
          <w:tcPr>
            <w:tcW w:w="2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2"/>
        </w:trPr>
        <w:tc>
          <w:tcPr>
            <w:tcW w:w="2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64"/>
        </w:trPr>
        <w:tc>
          <w:tcPr>
            <w:tcW w:w="7860" w:type="dxa"/>
            <w:vAlign w:val="bottom"/>
            <w:gridSpan w:val="3"/>
          </w:tcPr>
          <w:p>
            <w:pPr>
              <w:ind w:left="40"/>
              <w:spacing w:after="0"/>
              <w:rPr>
                <w:sz w:val="20"/>
                <w:szCs w:val="20"/>
                <w:color w:val="auto"/>
              </w:rPr>
            </w:pPr>
            <w:r>
              <w:rPr>
                <w:rFonts w:ascii="Arial" w:cs="Arial" w:eastAsia="Arial" w:hAnsi="Arial"/>
                <w:sz w:val="14"/>
                <w:szCs w:val="14"/>
                <w:color w:val="auto"/>
              </w:rPr>
              <w:t>Shareholders’ Equity:</w:t>
            </w:r>
          </w:p>
        </w:tc>
        <w:tc>
          <w:tcPr>
            <w:tcW w:w="2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163"/>
        </w:trPr>
        <w:tc>
          <w:tcPr>
            <w:tcW w:w="78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w w:val="93"/>
              </w:rPr>
              <w:t>Preferred shares (Class A Series 1, no par value; 50,000,000 shares authorized, 9,042 shares issued and outstanding, respectively;</w:t>
            </w: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74"/>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3"/>
              </w:rPr>
              <w:t>aggregate liquidation preference</w:t>
            </w:r>
          </w:p>
        </w:tc>
        <w:tc>
          <w:tcPr>
            <w:tcW w:w="1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9"/>
                <w:shd w:val="clear" w:color="auto" w:fill="CCEEFF"/>
              </w:rPr>
              <w:t>of $92,698,094 as</w:t>
            </w:r>
          </w:p>
        </w:tc>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 June 30, 2019)</w:t>
            </w:r>
          </w:p>
        </w:tc>
        <w:tc>
          <w:tcPr>
            <w:tcW w:w="2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57,200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56,280</w:t>
            </w:r>
          </w:p>
        </w:tc>
      </w:tr>
      <w:tr>
        <w:trPr>
          <w:trHeight w:val="157"/>
        </w:trPr>
        <w:tc>
          <w:tcPr>
            <w:tcW w:w="7860" w:type="dxa"/>
            <w:vAlign w:val="bottom"/>
            <w:gridSpan w:val="3"/>
          </w:tcPr>
          <w:p>
            <w:pPr>
              <w:ind w:left="180"/>
              <w:spacing w:after="0" w:line="157" w:lineRule="exact"/>
              <w:rPr>
                <w:sz w:val="20"/>
                <w:szCs w:val="20"/>
                <w:color w:val="auto"/>
              </w:rPr>
            </w:pPr>
            <w:r>
              <w:rPr>
                <w:rFonts w:ascii="Arial" w:cs="Arial" w:eastAsia="Arial" w:hAnsi="Arial"/>
                <w:sz w:val="14"/>
                <w:szCs w:val="14"/>
                <w:color w:val="auto"/>
                <w:w w:val="91"/>
              </w:rPr>
              <w:t>Common shares (no par value; 550,000,000 shares authorized, 171,631,231 shares and 166,392,479 shares issued, respectively, and</w:t>
            </w: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88"/>
        </w:trPr>
        <w:tc>
          <w:tcPr>
            <w:tcW w:w="7860" w:type="dxa"/>
            <w:vAlign w:val="bottom"/>
            <w:gridSpan w:val="3"/>
          </w:tcPr>
          <w:p>
            <w:pPr>
              <w:ind w:left="180"/>
              <w:spacing w:after="0"/>
              <w:rPr>
                <w:sz w:val="20"/>
                <w:szCs w:val="20"/>
                <w:color w:val="auto"/>
              </w:rPr>
            </w:pPr>
            <w:r>
              <w:rPr>
                <w:rFonts w:ascii="Arial" w:cs="Arial" w:eastAsia="Arial" w:hAnsi="Arial"/>
                <w:sz w:val="14"/>
                <w:szCs w:val="14"/>
                <w:color w:val="auto"/>
              </w:rPr>
              <w:t>169,531,595 shares and 165,932,334 shares outstanding, respectively)</w:t>
            </w:r>
          </w:p>
        </w:tc>
        <w:tc>
          <w:tcPr>
            <w:tcW w:w="280" w:type="dxa"/>
            <w:vAlign w:val="bottom"/>
          </w:tcPr>
          <w:p>
            <w:pPr>
              <w:spacing w:after="0"/>
              <w:rPr>
                <w:sz w:val="16"/>
                <w:szCs w:val="16"/>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78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1,567,162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1,562,133</w:t>
            </w:r>
          </w:p>
        </w:tc>
      </w:tr>
      <w:tr>
        <w:trPr>
          <w:trHeight w:val="264"/>
        </w:trPr>
        <w:tc>
          <w:tcPr>
            <w:tcW w:w="7860" w:type="dxa"/>
            <w:vAlign w:val="bottom"/>
            <w:gridSpan w:val="3"/>
          </w:tcPr>
          <w:p>
            <w:pPr>
              <w:ind w:left="180"/>
              <w:spacing w:after="0"/>
              <w:rPr>
                <w:sz w:val="20"/>
                <w:szCs w:val="20"/>
                <w:color w:val="auto"/>
              </w:rPr>
            </w:pPr>
            <w:r>
              <w:rPr>
                <w:rFonts w:ascii="Arial" w:cs="Arial" w:eastAsia="Arial" w:hAnsi="Arial"/>
                <w:sz w:val="14"/>
                <w:szCs w:val="14"/>
                <w:color w:val="auto"/>
              </w:rPr>
              <w:t>Accumulated deficit</w:t>
            </w:r>
          </w:p>
        </w:tc>
        <w:tc>
          <w:tcPr>
            <w:tcW w:w="28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(744,058)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(710,551)</w:t>
            </w:r>
          </w:p>
        </w:tc>
      </w:tr>
      <w:tr>
        <w:trPr>
          <w:trHeight w:val="276"/>
        </w:trPr>
        <w:tc>
          <w:tcPr>
            <w:tcW w:w="78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Common shares held in treasury at cost, 2,099,636 and 460,145 shares, respectively</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w:t>
            </w:r>
          </w:p>
        </w:tc>
      </w:tr>
      <w:tr>
        <w:trPr>
          <w:trHeight w:val="264"/>
        </w:trPr>
        <w:tc>
          <w:tcPr>
            <w:tcW w:w="7860" w:type="dxa"/>
            <w:vAlign w:val="bottom"/>
            <w:tcBorders>
              <w:bottom w:val="single" w:sz="8" w:color="CCEEFF"/>
            </w:tcBorders>
            <w:gridSpan w:val="3"/>
          </w:tcPr>
          <w:p>
            <w:pPr>
              <w:ind w:left="18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(364,786)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(371,249)</w:t>
            </w:r>
          </w:p>
        </w:tc>
      </w:tr>
      <w:tr>
        <w:trPr>
          <w:trHeight w:val="250"/>
        </w:trPr>
        <w:tc>
          <w:tcPr>
            <w:tcW w:w="786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Total Civeo Corporation shareholders’ equity</w:t>
            </w:r>
          </w:p>
        </w:tc>
        <w:tc>
          <w:tcPr>
            <w:tcW w:w="2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510,046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535,424</w:t>
            </w:r>
          </w:p>
        </w:tc>
      </w:tr>
      <w:tr>
        <w:trPr>
          <w:trHeight w:val="250"/>
        </w:trPr>
        <w:tc>
          <w:tcPr>
            <w:tcW w:w="7860" w:type="dxa"/>
            <w:vAlign w:val="bottom"/>
            <w:gridSpan w:val="3"/>
          </w:tcPr>
          <w:p>
            <w:pPr>
              <w:ind w:left="40"/>
              <w:spacing w:after="0"/>
              <w:rPr>
                <w:sz w:val="20"/>
                <w:szCs w:val="20"/>
                <w:color w:val="auto"/>
              </w:rPr>
            </w:pPr>
            <w:r>
              <w:rPr>
                <w:rFonts w:ascii="Arial" w:cs="Arial" w:eastAsia="Arial" w:hAnsi="Arial"/>
                <w:sz w:val="14"/>
                <w:szCs w:val="14"/>
                <w:color w:val="auto"/>
              </w:rPr>
              <w:t>Noncontrolling interest</w:t>
            </w:r>
          </w:p>
        </w:tc>
        <w:tc>
          <w:tcPr>
            <w:tcW w:w="28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50"/>
        </w:trPr>
        <w:tc>
          <w:tcPr>
            <w:tcW w:w="7860" w:type="dxa"/>
            <w:vAlign w:val="bottom"/>
            <w:tcBorders>
              <w:top w:val="single" w:sz="8" w:color="CCEEFF"/>
            </w:tcBorders>
            <w:gridSpan w:val="3"/>
            <w:shd w:val="clear" w:color="auto" w:fill="CCEEFF"/>
          </w:tcPr>
          <w:p>
            <w:pPr>
              <w:ind w:left="180"/>
              <w:spacing w:after="0"/>
              <w:rPr>
                <w:sz w:val="20"/>
                <w:szCs w:val="20"/>
                <w:color w:val="auto"/>
              </w:rPr>
            </w:pPr>
            <w:r>
              <w:rPr>
                <w:rFonts w:ascii="Arial" w:cs="Arial" w:eastAsia="Arial" w:hAnsi="Arial"/>
                <w:sz w:val="14"/>
                <w:szCs w:val="14"/>
                <w:color w:val="auto"/>
              </w:rPr>
              <w:t>Total shareholders’ equity</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510,046</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535,424</w:t>
            </w:r>
          </w:p>
        </w:tc>
      </w:tr>
      <w:tr>
        <w:trPr>
          <w:trHeight w:val="243"/>
        </w:trPr>
        <w:tc>
          <w:tcPr>
            <w:tcW w:w="7860" w:type="dxa"/>
            <w:vAlign w:val="bottom"/>
            <w:gridSpan w:val="3"/>
          </w:tcPr>
          <w:p>
            <w:pPr>
              <w:ind w:left="380"/>
              <w:spacing w:after="0"/>
              <w:rPr>
                <w:sz w:val="20"/>
                <w:szCs w:val="20"/>
                <w:color w:val="auto"/>
              </w:rPr>
            </w:pPr>
            <w:r>
              <w:rPr>
                <w:rFonts w:ascii="Arial" w:cs="Arial" w:eastAsia="Arial" w:hAnsi="Arial"/>
                <w:sz w:val="14"/>
                <w:szCs w:val="14"/>
                <w:color w:val="auto"/>
              </w:rPr>
              <w:t>Total liabilities and shareholders’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1,020,405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1,001,677</w:t>
            </w:r>
          </w:p>
        </w:tc>
      </w:tr>
      <w:tr>
        <w:trPr>
          <w:trHeight w:val="20"/>
        </w:trPr>
        <w:tc>
          <w:tcPr>
            <w:tcW w:w="2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00"/>
          </w:cols>
          <w:pgMar w:left="240" w:top="364" w:right="259" w:bottom="557"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364" w:right="259" w:bottom="557" w:gutter="0" w:footer="0" w:header="0"/>
          <w:type w:val="continuous"/>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CONSOLIDATED STATEMENTS OF</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CHANGES IN SHAREHOLDERS’ EQUITY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Attributable to Civeo</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44"/>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88"/>
              <w:spacing w:after="0" w:line="144" w:lineRule="exact"/>
              <w:rPr>
                <w:sz w:val="20"/>
                <w:szCs w:val="20"/>
                <w:color w:val="auto"/>
              </w:rPr>
            </w:pPr>
            <w:r>
              <w:rPr>
                <w:rFonts w:ascii="Arial" w:cs="Arial" w:eastAsia="Arial" w:hAnsi="Arial"/>
                <w:sz w:val="13"/>
                <w:szCs w:val="13"/>
                <w:b w:val="1"/>
                <w:bCs w:val="1"/>
                <w:color w:val="auto"/>
                <w:w w:val="89"/>
              </w:rPr>
              <w:t>Preferred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4"/>
        </w:trPr>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188"/>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30"/>
        </w:trPr>
        <w:tc>
          <w:tcPr>
            <w:tcW w:w="27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69"/>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1"/>
                <w:szCs w:val="11"/>
                <w:color w:val="auto"/>
              </w:rPr>
            </w:pPr>
          </w:p>
        </w:tc>
        <w:tc>
          <w:tcPr>
            <w:tcW w:w="10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Noncontrolling</w:t>
            </w:r>
          </w:p>
        </w:tc>
        <w:tc>
          <w:tcPr>
            <w:tcW w:w="120" w:type="dxa"/>
            <w:vAlign w:val="bottom"/>
          </w:tcPr>
          <w:p>
            <w:pPr>
              <w:spacing w:after="0"/>
              <w:rPr>
                <w:sz w:val="11"/>
                <w:szCs w:val="11"/>
                <w:color w:val="auto"/>
              </w:rPr>
            </w:pPr>
          </w:p>
        </w:tc>
        <w:tc>
          <w:tcPr>
            <w:tcW w:w="900" w:type="dxa"/>
            <w:vAlign w:val="bottom"/>
          </w:tcPr>
          <w:p>
            <w:pPr>
              <w:jc w:val="center"/>
              <w:ind w:right="69"/>
              <w:spacing w:after="0" w:line="135" w:lineRule="exact"/>
              <w:rPr>
                <w:sz w:val="20"/>
                <w:szCs w:val="20"/>
                <w:color w:val="auto"/>
              </w:rPr>
            </w:pPr>
            <w:r>
              <w:rPr>
                <w:rFonts w:ascii="Arial" w:cs="Arial" w:eastAsia="Arial" w:hAnsi="Arial"/>
                <w:sz w:val="13"/>
                <w:szCs w:val="13"/>
                <w:b w:val="1"/>
                <w:bCs w:val="1"/>
                <w:color w:val="auto"/>
                <w:w w:val="87"/>
              </w:rPr>
              <w:t>Shareholders’</w:t>
            </w:r>
          </w:p>
        </w:tc>
      </w:tr>
      <w:tr>
        <w:trPr>
          <w:trHeight w:val="174"/>
        </w:trPr>
        <w:tc>
          <w:tcPr>
            <w:tcW w:w="27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89"/>
              <w:spacing w:after="0"/>
              <w:rPr>
                <w:sz w:val="20"/>
                <w:szCs w:val="20"/>
                <w:color w:val="auto"/>
              </w:rPr>
            </w:pPr>
            <w:r>
              <w:rPr>
                <w:rFonts w:ascii="Arial" w:cs="Arial" w:eastAsia="Arial" w:hAnsi="Arial"/>
                <w:sz w:val="13"/>
                <w:szCs w:val="13"/>
                <w:b w:val="1"/>
                <w:bCs w:val="1"/>
                <w:color w:val="auto"/>
                <w:w w:val="91"/>
              </w:rPr>
              <w:t>Par Value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Interest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0"/>
              </w:rPr>
              <w:t>Equity</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1,390,634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(634,176)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(336,034)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120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419,592</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60" w:type="dxa"/>
            <w:vAlign w:val="bottom"/>
          </w:tcPr>
          <w:p>
            <w:pPr>
              <w:spacing w:after="0"/>
              <w:rPr>
                <w:sz w:val="22"/>
                <w:szCs w:val="22"/>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289</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(16,434)</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Dividends paid</w:t>
            </w:r>
          </w:p>
        </w:tc>
        <w:tc>
          <w:tcPr>
            <w:tcW w:w="160" w:type="dxa"/>
            <w:vAlign w:val="bottom"/>
          </w:tcPr>
          <w:p>
            <w:pPr>
              <w:spacing w:after="0"/>
              <w:rPr>
                <w:sz w:val="22"/>
                <w:szCs w:val="22"/>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shares for acquisitions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6,972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162,392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169,364</w:t>
            </w: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rPr>
              <w:t>Dividends attributable to Class A preferred</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8"/>
        </w:trPr>
        <w:tc>
          <w:tcPr>
            <w:tcW w:w="2740" w:type="dxa"/>
            <w:vAlign w:val="bottom"/>
          </w:tcPr>
          <w:p>
            <w:pPr>
              <w:ind w:left="4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48,333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(48,488)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2,813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2,775</w:t>
            </w:r>
          </w:p>
        </w:tc>
      </w:tr>
      <w:tr>
        <w:trPr>
          <w:trHeight w:val="283"/>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Balance, June 30, 2018</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b w:val="1"/>
                <w:bCs w:val="1"/>
                <w:color w:val="auto"/>
              </w:rPr>
              <w:t>55,305</w:t>
            </w:r>
          </w:p>
        </w:tc>
        <w:tc>
          <w:tcPr>
            <w:tcW w:w="12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4"/>
                <w:szCs w:val="24"/>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1,555,994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(682,497)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(990)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(352,466)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b w:val="1"/>
                <w:bCs w:val="1"/>
                <w:color w:val="auto"/>
              </w:rPr>
              <w:t>119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b w:val="1"/>
                <w:bCs w:val="1"/>
                <w:color w:val="auto"/>
              </w:rPr>
              <w:t>575,465</w:t>
            </w:r>
          </w:p>
        </w:tc>
      </w:tr>
      <w:tr>
        <w:trPr>
          <w:trHeight w:val="170"/>
        </w:trPr>
        <w:tc>
          <w:tcPr>
            <w:tcW w:w="27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Balance, March 31, 2019</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b w:val="1"/>
                <w:bCs w:val="1"/>
                <w:color w:val="auto"/>
              </w:rPr>
              <w:t>56,739</w:t>
            </w:r>
          </w:p>
        </w:tc>
        <w:tc>
          <w:tcPr>
            <w:tcW w:w="120" w:type="dxa"/>
            <w:vAlign w:val="bottom"/>
          </w:tcPr>
          <w:p>
            <w:pPr>
              <w:spacing w:after="0"/>
              <w:rPr>
                <w:sz w:val="22"/>
                <w:szCs w:val="22"/>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1,564,667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(728,748)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(5,471)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(365,870)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b w:val="1"/>
                <w:bCs w:val="1"/>
                <w:color w:val="auto"/>
              </w:rPr>
              <w:t>521,317</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(14,849)</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Currency translation adjustment</w:t>
            </w:r>
          </w:p>
        </w:tc>
        <w:tc>
          <w:tcPr>
            <w:tcW w:w="160" w:type="dxa"/>
            <w:vAlign w:val="bottom"/>
          </w:tcPr>
          <w:p>
            <w:pPr>
              <w:spacing w:after="0"/>
              <w:rPr>
                <w:sz w:val="22"/>
                <w:szCs w:val="22"/>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1,084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1,084</w:t>
            </w: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attributable to Class A preferred</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Share-based compensation</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2,495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2,494</w:t>
            </w: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June 30, 2019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57,200</w:t>
            </w:r>
          </w:p>
        </w:tc>
        <w:tc>
          <w:tcPr>
            <w:tcW w:w="1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1,567,162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(744,058)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(364,786)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510,046</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1,383,934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(579,113)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(328,213)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476,367</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60" w:type="dxa"/>
            <w:vAlign w:val="bottom"/>
          </w:tcPr>
          <w:p>
            <w:pPr>
              <w:spacing w:after="0"/>
              <w:rPr>
                <w:sz w:val="22"/>
                <w:szCs w:val="22"/>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(55,290)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(55,046)</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(24,255)</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Dividends paid</w:t>
            </w:r>
          </w:p>
        </w:tc>
        <w:tc>
          <w:tcPr>
            <w:tcW w:w="160" w:type="dxa"/>
            <w:vAlign w:val="bottom"/>
          </w:tcPr>
          <w:p>
            <w:pPr>
              <w:spacing w:after="0"/>
              <w:rPr>
                <w:sz w:val="22"/>
                <w:szCs w:val="22"/>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(240)</w:t>
            </w: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Cumulative effect of implementation of ASU</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2014-09</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394</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Issuance of shares for acquisitions</w:t>
            </w:r>
          </w:p>
        </w:tc>
        <w:tc>
          <w:tcPr>
            <w:tcW w:w="16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6,972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166,892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173,864</w:t>
            </w: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attributable to Class A preferred</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48,333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(48,488)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Share-based compensation</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5,013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4,381</w:t>
            </w: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June 30, 2018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55,305</w:t>
            </w:r>
          </w:p>
        </w:tc>
        <w:tc>
          <w:tcPr>
            <w:tcW w:w="1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1,555,994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(682,497)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(352,466)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575,465</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56,280</w:t>
            </w:r>
          </w:p>
        </w:tc>
        <w:tc>
          <w:tcPr>
            <w:tcW w:w="12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1,562,133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(710,551)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(371,249)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535,424</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60" w:type="dxa"/>
            <w:vAlign w:val="bottom"/>
          </w:tcPr>
          <w:p>
            <w:pPr>
              <w:spacing w:after="0"/>
              <w:rPr>
                <w:sz w:val="22"/>
                <w:szCs w:val="22"/>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(31,888)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(31,888)</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6,463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6,463</w:t>
            </w: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w w:val="98"/>
              </w:rPr>
              <w:t>Cumulative effect of implementation of ASU</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8"/>
        </w:trPr>
        <w:tc>
          <w:tcPr>
            <w:tcW w:w="2740" w:type="dxa"/>
            <w:vAlign w:val="bottom"/>
          </w:tcPr>
          <w:p>
            <w:pPr>
              <w:ind w:left="40"/>
              <w:spacing w:after="0"/>
              <w:rPr>
                <w:sz w:val="20"/>
                <w:szCs w:val="20"/>
                <w:color w:val="auto"/>
              </w:rPr>
            </w:pPr>
            <w:r>
              <w:rPr>
                <w:rFonts w:ascii="Arial" w:cs="Arial" w:eastAsia="Arial" w:hAnsi="Arial"/>
                <w:sz w:val="14"/>
                <w:szCs w:val="14"/>
                <w:color w:val="auto"/>
              </w:rPr>
              <w:t>2016-02</w:t>
            </w:r>
          </w:p>
        </w:tc>
        <w:tc>
          <w:tcPr>
            <w:tcW w:w="160" w:type="dxa"/>
            <w:vAlign w:val="bottom"/>
          </w:tcPr>
          <w:p>
            <w:pPr>
              <w:spacing w:after="0"/>
              <w:rPr>
                <w:sz w:val="16"/>
                <w:szCs w:val="16"/>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(699)</w:t>
            </w: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attributable to Class A preferred</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920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Share-based compensation</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5,029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746</w:t>
            </w: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June 30, 2019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57,200</w:t>
            </w:r>
          </w:p>
        </w:tc>
        <w:tc>
          <w:tcPr>
            <w:tcW w:w="1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1,567,162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(744,058)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(364,786)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510,046</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484"/>
        </w:trPr>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center"/>
              <w:ind w:left="29"/>
              <w:spacing w:after="0"/>
              <w:rPr>
                <w:sz w:val="20"/>
                <w:szCs w:val="20"/>
                <w:color w:val="auto"/>
              </w:rPr>
            </w:pPr>
            <w:r>
              <w:rPr>
                <w:rFonts w:ascii="Arial" w:cs="Arial" w:eastAsia="Arial" w:hAnsi="Arial"/>
                <w:sz w:val="14"/>
                <w:szCs w:val="14"/>
                <w:b w:val="1"/>
                <w:bCs w:val="1"/>
                <w:color w:val="auto"/>
                <w:w w:val="96"/>
              </w:rPr>
              <w:t>Preferred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2"/>
          </w:tcPr>
          <w:p>
            <w:pPr>
              <w:jc w:val="center"/>
              <w:ind w:left="49"/>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49"/>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left="9"/>
              <w:spacing w:after="0" w:line="149" w:lineRule="exact"/>
              <w:rPr>
                <w:sz w:val="20"/>
                <w:szCs w:val="20"/>
                <w:color w:val="auto"/>
              </w:rPr>
            </w:pPr>
            <w:r>
              <w:rPr>
                <w:rFonts w:ascii="Arial" w:cs="Arial" w:eastAsia="Arial" w:hAnsi="Arial"/>
                <w:sz w:val="14"/>
                <w:szCs w:val="14"/>
                <w:b w:val="1"/>
                <w:bCs w:val="1"/>
                <w:color w:val="auto"/>
                <w:w w:val="91"/>
              </w:rPr>
              <w:t>Shares (in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left="49"/>
              <w:spacing w:after="0" w:line="149" w:lineRule="exact"/>
              <w:rPr>
                <w:sz w:val="20"/>
                <w:szCs w:val="20"/>
                <w:color w:val="auto"/>
              </w:rPr>
            </w:pPr>
            <w:r>
              <w:rPr>
                <w:rFonts w:ascii="Arial" w:cs="Arial" w:eastAsia="Arial" w:hAnsi="Arial"/>
                <w:sz w:val="14"/>
                <w:szCs w:val="14"/>
                <w:b w:val="1"/>
                <w:bCs w:val="1"/>
                <w:color w:val="auto"/>
                <w:w w:val="91"/>
              </w:rPr>
              <w:t>Shares (in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92"/>
        </w:trPr>
        <w:tc>
          <w:tcPr>
            <w:tcW w:w="27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center"/>
              <w:ind w:left="29"/>
              <w:spacing w:after="0"/>
              <w:rPr>
                <w:sz w:val="20"/>
                <w:szCs w:val="20"/>
                <w:color w:val="auto"/>
              </w:rPr>
            </w:pPr>
            <w:r>
              <w:rPr>
                <w:rFonts w:ascii="Arial" w:cs="Arial" w:eastAsia="Arial" w:hAnsi="Arial"/>
                <w:sz w:val="14"/>
                <w:szCs w:val="14"/>
                <w:b w:val="1"/>
                <w:bCs w:val="1"/>
                <w:color w:val="auto"/>
                <w:w w:val="90"/>
              </w:rPr>
              <w:t>thousands)</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tcPr>
          <w:p>
            <w:pPr>
              <w:jc w:val="center"/>
              <w:ind w:left="49"/>
              <w:spacing w:after="0"/>
              <w:rPr>
                <w:sz w:val="20"/>
                <w:szCs w:val="20"/>
                <w:color w:val="auto"/>
              </w:rPr>
            </w:pPr>
            <w:r>
              <w:rPr>
                <w:rFonts w:ascii="Arial" w:cs="Arial" w:eastAsia="Arial" w:hAnsi="Arial"/>
                <w:sz w:val="14"/>
                <w:szCs w:val="14"/>
                <w:b w:val="1"/>
                <w:bCs w:val="1"/>
                <w:color w:val="auto"/>
                <w:w w:val="87"/>
              </w:rPr>
              <w:t>thousands)</w:t>
            </w:r>
          </w:p>
        </w:tc>
        <w:tc>
          <w:tcPr>
            <w:tcW w:w="120" w:type="dxa"/>
            <w:vAlign w:val="bottom"/>
            <w:tcBorders>
              <w:bottom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6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9,042</w:t>
            </w:r>
          </w:p>
        </w:tc>
        <w:tc>
          <w:tcPr>
            <w:tcW w:w="60" w:type="dxa"/>
            <w:vAlign w:val="bottom"/>
            <w:shd w:val="clear" w:color="auto" w:fill="CCEEFF"/>
          </w:tcPr>
          <w:p>
            <w:pPr>
              <w:spacing w:after="0"/>
              <w:rPr>
                <w:sz w:val="22"/>
                <w:szCs w:val="22"/>
                <w:color w:val="auto"/>
              </w:rPr>
            </w:pPr>
          </w:p>
        </w:tc>
        <w:tc>
          <w:tcPr>
            <w:tcW w:w="1020" w:type="dxa"/>
            <w:vAlign w:val="bottom"/>
            <w:gridSpan w:val="4"/>
            <w:shd w:val="clear" w:color="auto" w:fill="CCEEFF"/>
          </w:tcPr>
          <w:p>
            <w:pPr>
              <w:ind w:left="500"/>
              <w:spacing w:after="0"/>
              <w:rPr>
                <w:sz w:val="20"/>
                <w:szCs w:val="20"/>
                <w:color w:val="auto"/>
              </w:rPr>
            </w:pPr>
            <w:r>
              <w:rPr>
                <w:rFonts w:ascii="Arial" w:cs="Arial" w:eastAsia="Arial" w:hAnsi="Arial"/>
                <w:sz w:val="14"/>
                <w:szCs w:val="14"/>
                <w:b w:val="1"/>
                <w:bCs w:val="1"/>
                <w:color w:val="auto"/>
                <w:w w:val="98"/>
              </w:rPr>
              <w:t>165,932</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Stock-based compensation</w:t>
            </w:r>
          </w:p>
        </w:tc>
        <w:tc>
          <w:tcPr>
            <w:tcW w:w="1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3,600</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June 30, 2019</w:t>
            </w:r>
          </w:p>
        </w:tc>
        <w:tc>
          <w:tcPr>
            <w:tcW w:w="1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9,042</w:t>
            </w:r>
          </w:p>
        </w:tc>
        <w:tc>
          <w:tcPr>
            <w:tcW w:w="6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ind w:left="500"/>
              <w:spacing w:after="0"/>
              <w:rPr>
                <w:sz w:val="20"/>
                <w:szCs w:val="20"/>
                <w:color w:val="auto"/>
              </w:rPr>
            </w:pPr>
            <w:r>
              <w:rPr>
                <w:rFonts w:ascii="Arial" w:cs="Arial" w:eastAsia="Arial" w:hAnsi="Arial"/>
                <w:sz w:val="14"/>
                <w:szCs w:val="14"/>
                <w:b w:val="1"/>
                <w:bCs w:val="1"/>
                <w:color w:val="auto"/>
                <w:w w:val="98"/>
              </w:rPr>
              <w:t>169,532</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00"/>
          </w:cols>
          <w:pgMar w:left="240" w:top="364"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364" w:right="259" w:bottom="1440" w:gutter="0" w:footer="0" w:header="0"/>
          <w:type w:val="continuous"/>
        </w:sectPr>
      </w:pPr>
    </w:p>
    <w:bookmarkStart w:id="6" w:name="page7"/>
    <w:bookmarkEnd w:id="6"/>
    <w:p>
      <w:pPr>
        <w:jc w:val="center"/>
        <w:ind w:right="-4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13335</wp:posOffset>
            </wp:positionV>
            <wp:extent cx="1903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6"/>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(31,888)</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(55,046)</w:t>
            </w:r>
          </w:p>
        </w:tc>
      </w:tr>
      <w:tr>
        <w:trPr>
          <w:trHeight w:val="276"/>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61,778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65,034</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charges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5,546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28,661</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Loss on extinguishment of debt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748</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 benefit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(23,661)</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Non-cash compensation charge</w:t>
            </w: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5,029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5,013</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Gains on disposals of assets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(2,332)</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Provision for loss on receivables, net of recoveries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3,065</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10,661</w:t>
            </w:r>
          </w:p>
        </w:tc>
      </w:tr>
      <w:tr>
        <w:trPr>
          <w:trHeight w:val="264"/>
        </w:trPr>
        <w:tc>
          <w:tcPr>
            <w:tcW w:w="8160" w:type="dxa"/>
            <w:vAlign w:val="bottom"/>
          </w:tcPr>
          <w:p>
            <w:pPr>
              <w:ind w:left="380"/>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3,111</w:t>
            </w:r>
          </w:p>
        </w:tc>
      </w:tr>
      <w:tr>
        <w:trPr>
          <w:trHeight w:val="276"/>
        </w:trPr>
        <w:tc>
          <w:tcPr>
            <w:tcW w:w="8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 and accrued liabilities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(16,668)</w:t>
            </w:r>
          </w:p>
        </w:tc>
      </w:tr>
      <w:tr>
        <w:trPr>
          <w:trHeight w:val="264"/>
        </w:trPr>
        <w:tc>
          <w:tcPr>
            <w:tcW w:w="8160" w:type="dxa"/>
            <w:vAlign w:val="bottom"/>
          </w:tcPr>
          <w:p>
            <w:pPr>
              <w:ind w:left="380"/>
              <w:spacing w:after="0"/>
              <w:rPr>
                <w:sz w:val="20"/>
                <w:szCs w:val="20"/>
                <w:color w:val="auto"/>
              </w:rPr>
            </w:pPr>
            <w:r>
              <w:rPr>
                <w:rFonts w:ascii="Arial" w:cs="Arial" w:eastAsia="Arial" w:hAnsi="Arial"/>
                <w:sz w:val="14"/>
                <w:szCs w:val="14"/>
                <w:color w:val="auto"/>
              </w:rPr>
              <w:t>Taxes payable</w:t>
            </w: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(1,250)</w:t>
            </w:r>
          </w:p>
        </w:tc>
      </w:tr>
      <w:tr>
        <w:trPr>
          <w:trHeight w:val="270"/>
        </w:trPr>
        <w:tc>
          <w:tcPr>
            <w:tcW w:w="8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and noncurrent assets and liabilities, net</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(3,301)</w:t>
            </w:r>
          </w:p>
        </w:tc>
      </w:tr>
      <w:tr>
        <w:trPr>
          <w:trHeight w:val="250"/>
        </w:trPr>
        <w:tc>
          <w:tcPr>
            <w:tcW w:w="8160" w:type="dxa"/>
            <w:vAlign w:val="bottom"/>
          </w:tcPr>
          <w:p>
            <w:pPr>
              <w:ind w:left="40"/>
              <w:spacing w:after="0"/>
              <w:rPr>
                <w:sz w:val="20"/>
                <w:szCs w:val="20"/>
                <w:color w:val="auto"/>
              </w:rPr>
            </w:pPr>
            <w:r>
              <w:rPr>
                <w:rFonts w:ascii="Arial" w:cs="Arial" w:eastAsia="Arial" w:hAnsi="Arial"/>
                <w:sz w:val="14"/>
                <w:szCs w:val="14"/>
                <w:color w:val="auto"/>
              </w:rPr>
              <w:t>Net cash flows provided by operating activities</w:t>
            </w:r>
          </w:p>
        </w:tc>
        <w:tc>
          <w:tcPr>
            <w:tcW w:w="3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9,960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13,977</w:t>
            </w:r>
          </w:p>
        </w:tc>
      </w:tr>
      <w:tr>
        <w:trPr>
          <w:trHeight w:val="168"/>
        </w:trPr>
        <w:tc>
          <w:tcPr>
            <w:tcW w:w="8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(5,943)</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Payments related to acquisitions, net of cash acquired</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(185,200)</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disposition of property, plant and equipment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3,438</w:t>
            </w:r>
          </w:p>
        </w:tc>
      </w:tr>
      <w:tr>
        <w:trPr>
          <w:trHeight w:val="264"/>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net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1,762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w:t>
            </w:r>
          </w:p>
        </w:tc>
      </w:tr>
      <w:tr>
        <w:trPr>
          <w:trHeight w:val="256"/>
        </w:trPr>
        <w:tc>
          <w:tcPr>
            <w:tcW w:w="8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flows used in investing activities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(187,595)</w:t>
            </w:r>
          </w:p>
        </w:tc>
      </w:tr>
      <w:tr>
        <w:trPr>
          <w:trHeight w:val="162"/>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Revolving credit borrowings</w:t>
            </w: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135,862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232,123</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Revolving credit repayments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(108,108)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(70,067)</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Term loan repayments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(17,398)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(11,068)</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issuance costs</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(2,742)</w:t>
            </w:r>
          </w:p>
        </w:tc>
      </w:tr>
      <w:tr>
        <w:trPr>
          <w:trHeight w:val="264"/>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Taxes paid on vested shares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w:t>
            </w:r>
          </w:p>
        </w:tc>
      </w:tr>
      <w:tr>
        <w:trPr>
          <w:trHeight w:val="256"/>
        </w:trPr>
        <w:tc>
          <w:tcPr>
            <w:tcW w:w="8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flows provided by financing activities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147,614</w:t>
            </w:r>
          </w:p>
        </w:tc>
      </w:tr>
      <w:tr>
        <w:trPr>
          <w:trHeight w:val="162"/>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64"/>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(1,857)</w:t>
            </w:r>
          </w:p>
        </w:tc>
      </w:tr>
      <w:tr>
        <w:trPr>
          <w:trHeight w:val="250"/>
        </w:trPr>
        <w:tc>
          <w:tcPr>
            <w:tcW w:w="8160" w:type="dxa"/>
            <w:vAlign w:val="bottom"/>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3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(27,861)</w:t>
            </w:r>
          </w:p>
        </w:tc>
      </w:t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12,372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32,647</w:t>
            </w:r>
          </w:p>
        </w:tc>
      </w:tr>
      <w:tr>
        <w:trPr>
          <w:trHeight w:val="162"/>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57"/>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4,786</w:t>
            </w:r>
          </w:p>
        </w:tc>
      </w:tr>
      <w:tr>
        <w:trPr>
          <w:trHeight w:val="20"/>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1"/>
        </w:trPr>
        <w:tc>
          <w:tcPr>
            <w:tcW w:w="8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activities: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Value of common shares issued as consideration for acquisitions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119,297</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Value of preferred shares issued as consideration for acquisition</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54,821</w:t>
            </w:r>
          </w:p>
        </w:tc>
      </w:tr>
      <w:tr>
        <w:trPr>
          <w:trHeight w:val="270"/>
        </w:trPr>
        <w:tc>
          <w:tcPr>
            <w:tcW w:w="8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financing activities: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58"/>
        </w:trPr>
        <w:tc>
          <w:tcPr>
            <w:tcW w:w="8160" w:type="dxa"/>
            <w:vAlign w:val="bottom"/>
          </w:tcPr>
          <w:p>
            <w:pPr>
              <w:ind w:left="180"/>
              <w:spacing w:after="0"/>
              <w:rPr>
                <w:sz w:val="20"/>
                <w:szCs w:val="20"/>
                <w:color w:val="auto"/>
              </w:rPr>
            </w:pPr>
            <w:r>
              <w:rPr>
                <w:rFonts w:ascii="Arial" w:cs="Arial" w:eastAsia="Arial" w:hAnsi="Arial"/>
                <w:sz w:val="14"/>
                <w:szCs w:val="14"/>
                <w:color w:val="auto"/>
              </w:rPr>
              <w:t>Preferred dividends paid-in-kind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484</w:t>
            </w:r>
          </w:p>
        </w:tc>
      </w:tr>
    </w:tbl>
    <w:p>
      <w:pPr>
        <w:spacing w:after="0" w:line="106"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140"/>
          </w:cols>
          <w:pgMar w:left="240" w:top="364" w:right="519" w:bottom="1043"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140"/>
          </w:cols>
          <w:pgMar w:left="240" w:top="364" w:right="519" w:bottom="1043" w:gutter="0" w:footer="0" w:header="0"/>
          <w:type w:val="continuous"/>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ind w:firstLine="459"/>
        <w:spacing w:after="0" w:line="271" w:lineRule="auto"/>
        <w:rPr>
          <w:sz w:val="20"/>
          <w:szCs w:val="20"/>
          <w:color w:val="auto"/>
        </w:rPr>
      </w:pPr>
      <w:r>
        <w:rPr>
          <w:rFonts w:ascii="Arial" w:cs="Arial" w:eastAsia="Arial" w:hAnsi="Arial"/>
          <w:sz w:val="17"/>
          <w:szCs w:val="17"/>
          <w:color w:val="auto"/>
        </w:rPr>
        <w:t>We are a hospitality company servicing the natural resources industry in Canada, Australia and the U.S. We provide a full suite of hospitality services for our guests, including lodging, food service, housekeeping and maintenance at accommodation facilities that we or our customers own. We also, in many cases, provide services that support the day-to-day operations of accommodation facilities, such as laundry, facility management and maintenance, water and wastewater treatment, power generation, communication systems, security and group logistics. We also offer development activities for workforce accommodation facilities, including site selection, permitting, engineering and design, manufacturing management and site construction, along with providing hospitality services once the facility is constructed. We operate in some of the world’s most active oil, coal and iron ore producing regions, and our customers include major and independent oil companies, mining companies and oilfield and mining service companies. We operate in three principal reportable business segments – Canada, Australia and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60" w:firstLine="459"/>
        <w:spacing w:after="0" w:line="308" w:lineRule="auto"/>
        <w:rPr>
          <w:sz w:val="20"/>
          <w:szCs w:val="20"/>
          <w:color w:val="auto"/>
        </w:rPr>
      </w:pPr>
      <w:r>
        <w:rPr>
          <w:rFonts w:ascii="Arial" w:cs="Arial" w:eastAsia="Arial" w:hAnsi="Arial"/>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47" w:lineRule="exact"/>
        <w:rPr>
          <w:sz w:val="20"/>
          <w:szCs w:val="20"/>
          <w:color w:val="auto"/>
        </w:rPr>
      </w:pPr>
    </w:p>
    <w:p>
      <w:pPr>
        <w:ind w:right="20" w:firstLine="459"/>
        <w:spacing w:after="0" w:line="291" w:lineRule="auto"/>
        <w:rPr>
          <w:sz w:val="20"/>
          <w:szCs w:val="20"/>
          <w:color w:val="auto"/>
        </w:rPr>
      </w:pPr>
      <w:r>
        <w:rPr>
          <w:rFonts w:ascii="Arial" w:cs="Arial" w:eastAsia="Arial" w:hAnsi="Arial"/>
          <w:sz w:val="16"/>
          <w:szCs w:val="16"/>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Generally Accepted Accounting Principles (GAAP) has been condensed or omitted pursuant to those rules and regulations. The unaudited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 Certain reclassifications have been made to the consolidated statements of operations for the three and six months ended June 30, 2018 to conform to current year presentation.</w:t>
      </w:r>
    </w:p>
    <w:p>
      <w:pPr>
        <w:spacing w:after="0" w:line="167" w:lineRule="exact"/>
        <w:rPr>
          <w:sz w:val="20"/>
          <w:szCs w:val="20"/>
          <w:color w:val="auto"/>
        </w:rPr>
      </w:pPr>
    </w:p>
    <w:p>
      <w:pPr>
        <w:ind w:right="500" w:firstLine="459"/>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88" w:lineRule="exact"/>
        <w:rPr>
          <w:sz w:val="20"/>
          <w:szCs w:val="20"/>
          <w:color w:val="auto"/>
        </w:rPr>
      </w:pPr>
    </w:p>
    <w:p>
      <w:pPr>
        <w:ind w:right="20" w:firstLine="459"/>
        <w:spacing w:after="0" w:line="277" w:lineRule="auto"/>
        <w:rPr>
          <w:sz w:val="20"/>
          <w:szCs w:val="20"/>
          <w:color w:val="auto"/>
        </w:rPr>
      </w:pPr>
      <w:r>
        <w:rPr>
          <w:rFonts w:ascii="Arial" w:cs="Arial" w:eastAsia="Arial" w:hAnsi="Arial"/>
          <w:sz w:val="18"/>
          <w:szCs w:val="18"/>
          <w:color w:val="auto"/>
        </w:rPr>
        <w:t>The financial statements included in this report should be read in conjunction with our audited financial statements and accompanying notes included in our Annual Report on Form 10-K for the year ended December 31, 2018.</w:t>
      </w:r>
    </w:p>
    <w:p>
      <w:pPr>
        <w:spacing w:after="0" w:line="16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459"/>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spacing w:after="0" w:line="166" w:lineRule="exact"/>
        <w:rPr>
          <w:sz w:val="20"/>
          <w:szCs w:val="20"/>
          <w:color w:val="auto"/>
        </w:rPr>
      </w:pPr>
    </w:p>
    <w:p>
      <w:pPr>
        <w:ind w:right="20" w:firstLine="459"/>
        <w:spacing w:after="0" w:line="272" w:lineRule="auto"/>
        <w:rPr>
          <w:sz w:val="20"/>
          <w:szCs w:val="20"/>
          <w:color w:val="auto"/>
        </w:rPr>
      </w:pPr>
      <w:r>
        <w:rPr>
          <w:rFonts w:ascii="Arial" w:cs="Arial" w:eastAsia="Arial" w:hAnsi="Arial"/>
          <w:sz w:val="17"/>
          <w:szCs w:val="17"/>
          <w:color w:val="auto"/>
        </w:rPr>
        <w:t>In January 2017, the FASB issued Accounting Standards Update (ASU) 2017-04, "Intangibles-Goodwill and Other (Topic 350): Simplifying the Test for Goodwill Impairment." The standard simplifies the accounting for goodwill impairment by requiring a goodwill impairment to be measured using a single step impairment model, whereby the impairment equals the difference between the carrying amount and the fair value of the specified reporting units in their entirety. This eliminates the second step of the current impairment model that requires companies to first estimate the fair value of all assets in a reporting unit and measure impairments based on those fair values and a residual measurement approach. It also specifies that any loss recognized should not exceed the total amount of goodwill allocated to that reporting unit. ASU 2017-04 is effective prospectively for public business entities for annual reporting periods beginning after December 15, 2019, and early adoption is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permitted. We will adopt this new standard no later than January 1, 2020. The impact of the new standard will be dependent on the specific facts and circumstances of future individual goodwill impairments, if any.</w:t>
      </w:r>
    </w:p>
    <w:p>
      <w:pPr>
        <w:spacing w:after="0" w:line="170" w:lineRule="exact"/>
        <w:rPr>
          <w:sz w:val="20"/>
          <w:szCs w:val="20"/>
          <w:color w:val="auto"/>
        </w:rPr>
      </w:pPr>
    </w:p>
    <w:p>
      <w:pPr>
        <w:ind w:firstLine="459"/>
        <w:spacing w:after="0" w:line="302" w:lineRule="auto"/>
        <w:rPr>
          <w:sz w:val="20"/>
          <w:szCs w:val="20"/>
          <w:color w:val="auto"/>
        </w:rPr>
      </w:pPr>
      <w:r>
        <w:rPr>
          <w:rFonts w:ascii="Arial" w:cs="Arial" w:eastAsia="Arial" w:hAnsi="Arial"/>
          <w:sz w:val="16"/>
          <w:szCs w:val="16"/>
          <w:color w:val="auto"/>
        </w:rPr>
        <w:t>In June 2016, the FASB issued ASU 2016-13, “Financial Instruments – Credit Losses” (ASU 2016-13). This new standard changes how companies will measure credit losses for most financial assets and certain other instruments that are not measured at fair value through net income. ASU 2016-13 is effective for financial statements issued for reporting periods beginning after December 15, 2019 and interim periods within the reporting periods. We anticipate adopting ASU 2016-13 as of January 1, 2020. We are currently evaluating the impact of this new standard on our consolidated financial statements.</w:t>
      </w:r>
    </w:p>
    <w:p>
      <w:pPr>
        <w:spacing w:after="0" w:line="154" w:lineRule="exact"/>
        <w:rPr>
          <w:sz w:val="20"/>
          <w:szCs w:val="20"/>
          <w:color w:val="auto"/>
        </w:rPr>
      </w:pPr>
    </w:p>
    <w:p>
      <w:pPr>
        <w:ind w:right="20" w:firstLine="459"/>
        <w:spacing w:after="0" w:line="285" w:lineRule="auto"/>
        <w:rPr>
          <w:sz w:val="20"/>
          <w:szCs w:val="20"/>
          <w:color w:val="auto"/>
        </w:rPr>
      </w:pPr>
      <w:r>
        <w:rPr>
          <w:rFonts w:ascii="Arial" w:cs="Arial" w:eastAsia="Arial" w:hAnsi="Arial"/>
          <w:sz w:val="16"/>
          <w:szCs w:val="16"/>
          <w:color w:val="auto"/>
        </w:rPr>
        <w:t>In February 2016, the FASB issued ASU 2016-02, “Leases” (Topic 842), which replaces the existing guidance for lease accounting. The guidance is effective for financial statements issued for reporting periods beginning after December 15, 2018 and interim periods within the reporting periods. We have adopted this standard effective January 1, 2019 using the optional transition method, which allows us upon adoption to recognize a cumulative-effect adjustment to the opening balance of accumulated deficit for the application of the standard to our existing leases. Upon adoption of this standard, we recognized a cumulative effect adjustment of $0.7 million (net of $0.2 million of taxes) to increase accumulated deficit in the accompanying unaudited consolidated balance sheet as of June 30, 2019. ASU 2016-02 requires lessees to recognize a lease liability and a right-of-use asset for certain leases. We elected the package of practical expedients, which among other things, allowed us to carry forward the historical lease identification and classification. In addition, we have elected the short-term lease recognition exemption for all leases that qualify. Accordingly, we did not recognize right-of-use assets or lease liabilities for leases with terms shorter than 12 months. Our evaluation process included reviewing all forms of leases, performing a completeness assessment over the lease population and analyzing the available practical expedients in order to determine the best implementation strategy. We determined that certain of our accommodation contracts with customers contain both a lease and non-lease or service component and in those instances concluded the service component was the predominant component. As a result, we elected the practical expedient under ASU 2018-11, which allows us to combine the lease and non-lease components of revenues as Service and other revenues for presentation purposes in accordance with Accounting Standards Codification (ASC) Topic 606, “Revenue from Contracts with Customers” (ASC 606). We also have identified certain arrangements with customers whereby we are a lessor for the rental of mobile camp assets primarily in our U.S segment. For arrangements where we are the lessor, the adoption of the new lease standard did not have a material impact on our financial statements as all of our leases are operating leases, which will result in straight-line recognition of rental revenue. Adoption of the new standard resulted in $21.3 million of operating lease right-of-use assets and $22.4 million of operating lease liabilities as of January 1, 2019. Please see Note 14 – Leases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80" w:firstLine="135"/>
        <w:spacing w:after="0" w:line="277" w:lineRule="auto"/>
        <w:rPr>
          <w:sz w:val="20"/>
          <w:szCs w:val="20"/>
          <w:color w:val="auto"/>
        </w:rPr>
      </w:pPr>
      <w:r>
        <w:rPr>
          <w:rFonts w:ascii="Arial" w:cs="Arial" w:eastAsia="Arial" w:hAnsi="Arial"/>
          <w:sz w:val="18"/>
          <w:szCs w:val="18"/>
          <w:color w:val="auto"/>
        </w:rPr>
        <w:t>The following table disaggregates our revenue by our three reportable segments: Canada, Australia and U.S., and major categories for the periods indicated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50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Canada</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Accommodation revenues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66,183</w:t>
            </w:r>
          </w:p>
        </w:tc>
        <w:tc>
          <w:tcPr>
            <w:tcW w:w="12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80,620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123,835</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131,267</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Mobile facility rental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9,901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Food service and other services revenues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9,086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17,423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7,455</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Manufacturing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1,285</w:t>
            </w:r>
          </w:p>
        </w:tc>
      </w:tr>
      <w:tr>
        <w:trPr>
          <w:trHeight w:val="217"/>
        </w:trPr>
        <w:tc>
          <w:tcPr>
            <w:tcW w:w="5620" w:type="dxa"/>
            <w:vAlign w:val="bottom"/>
          </w:tcPr>
          <w:p>
            <w:pPr>
              <w:ind w:left="180"/>
              <w:spacing w:after="0"/>
              <w:rPr>
                <w:sz w:val="20"/>
                <w:szCs w:val="20"/>
                <w:color w:val="auto"/>
              </w:rPr>
            </w:pPr>
            <w:r>
              <w:rPr>
                <w:rFonts w:ascii="Arial" w:cs="Arial" w:eastAsia="Arial" w:hAnsi="Arial"/>
                <w:sz w:val="16"/>
                <w:szCs w:val="16"/>
                <w:color w:val="auto"/>
              </w:rPr>
              <w:t>Total Canada revenues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78,102</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86,518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144,872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149,908</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62"/>
        </w:trPr>
        <w:tc>
          <w:tcPr>
            <w:tcW w:w="5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Australia</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Accommodation 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57,664</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Food service and other services revenues</w:t>
            </w:r>
          </w:p>
        </w:tc>
        <w:tc>
          <w:tcPr>
            <w:tcW w:w="3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788</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Australia revenues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30,996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30,577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59,417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58,452</w:t>
            </w:r>
          </w:p>
        </w:tc>
      </w:t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Accommodation revenues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4,775</w:t>
            </w:r>
          </w:p>
        </w:tc>
        <w:tc>
          <w:tcPr>
            <w:tcW w:w="12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5,177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9,699</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8,343</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Mobile facility rental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8,110</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Manufacturing revenues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6,793</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Food service and other services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17"/>
        </w:trPr>
        <w:tc>
          <w:tcPr>
            <w:tcW w:w="5620" w:type="dxa"/>
            <w:vAlign w:val="bottom"/>
          </w:tcPr>
          <w:p>
            <w:pPr>
              <w:ind w:left="180"/>
              <w:spacing w:after="0"/>
              <w:rPr>
                <w:sz w:val="20"/>
                <w:szCs w:val="20"/>
                <w:color w:val="auto"/>
              </w:rPr>
            </w:pPr>
            <w:r>
              <w:rPr>
                <w:rFonts w:ascii="Arial" w:cs="Arial" w:eastAsia="Arial" w:hAnsi="Arial"/>
                <w:sz w:val="16"/>
                <w:szCs w:val="16"/>
                <w:color w:val="auto"/>
              </w:rPr>
              <w:t>Total United States revenues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13,055</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13,082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26,414</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23,321</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62"/>
        </w:trPr>
        <w:tc>
          <w:tcPr>
            <w:tcW w:w="56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122,153</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130,177</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230,703</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231,681</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459"/>
        <w:spacing w:after="0" w:line="277" w:lineRule="auto"/>
        <w:rPr>
          <w:sz w:val="20"/>
          <w:szCs w:val="20"/>
          <w:color w:val="auto"/>
        </w:rPr>
      </w:pPr>
      <w:r>
        <w:rPr>
          <w:rFonts w:ascii="Arial" w:cs="Arial" w:eastAsia="Arial" w:hAnsi="Arial"/>
          <w:sz w:val="18"/>
          <w:szCs w:val="18"/>
          <w:color w:val="auto"/>
        </w:rPr>
        <w:t>As of June 30, 2019, for contracts that are greater than one year, the table below discloses the estimated revenues related to performance obligations that are unsatisfied (or partially unsatisfied) and when we expect to recognize the revenue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8"/>
          </w:tcPr>
          <w:p>
            <w:pPr>
              <w:ind w:left="620"/>
              <w:spacing w:after="0"/>
              <w:rPr>
                <w:sz w:val="20"/>
                <w:szCs w:val="20"/>
                <w:color w:val="auto"/>
              </w:rPr>
            </w:pPr>
            <w:r>
              <w:rPr>
                <w:rFonts w:ascii="Arial" w:cs="Arial" w:eastAsia="Arial" w:hAnsi="Arial"/>
                <w:sz w:val="16"/>
                <w:szCs w:val="16"/>
                <w:b w:val="1"/>
                <w:bCs w:val="1"/>
                <w:color w:val="auto"/>
              </w:rPr>
              <w:t>For the years ending December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Thereafter</w:t>
            </w:r>
          </w:p>
        </w:tc>
        <w:tc>
          <w:tcPr>
            <w:tcW w:w="32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 expected to be recognized as of June 30, 2019</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55,246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85,117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30,255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192,529</w:t>
            </w:r>
          </w:p>
        </w:tc>
      </w:tr>
      <w:tr>
        <w:trPr>
          <w:trHeight w:val="33"/>
        </w:trPr>
        <w:tc>
          <w:tcPr>
            <w:tcW w:w="4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80" w:firstLine="459"/>
        <w:spacing w:after="0" w:line="277" w:lineRule="auto"/>
        <w:rPr>
          <w:sz w:val="20"/>
          <w:szCs w:val="20"/>
          <w:color w:val="auto"/>
        </w:rPr>
      </w:pPr>
      <w:r>
        <w:rPr>
          <w:rFonts w:ascii="Arial" w:cs="Arial" w:eastAsia="Arial" w:hAnsi="Arial"/>
          <w:sz w:val="18"/>
          <w:szCs w:val="18"/>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70" w:lineRule="exact"/>
        <w:rPr>
          <w:sz w:val="20"/>
          <w:szCs w:val="20"/>
          <w:color w:val="auto"/>
        </w:rPr>
      </w:pPr>
    </w:p>
    <w:p>
      <w:pPr>
        <w:ind w:right="140" w:firstLine="459"/>
        <w:spacing w:after="0" w:line="259" w:lineRule="auto"/>
        <w:rPr>
          <w:sz w:val="20"/>
          <w:szCs w:val="20"/>
          <w:color w:val="auto"/>
        </w:rPr>
      </w:pPr>
      <w:r>
        <w:rPr>
          <w:rFonts w:ascii="Arial" w:cs="Arial" w:eastAsia="Arial" w:hAnsi="Arial"/>
          <w:sz w:val="18"/>
          <w:szCs w:val="18"/>
          <w:color w:val="auto"/>
        </w:rPr>
        <w:t>As of June 30, 2019 and December 31, 2018,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87" w:lineRule="exact"/>
        <w:rPr>
          <w:sz w:val="20"/>
          <w:szCs w:val="20"/>
          <w:color w:val="auto"/>
        </w:rPr>
      </w:pPr>
    </w:p>
    <w:p>
      <w:pPr>
        <w:ind w:right="100" w:firstLine="459"/>
        <w:spacing w:after="0" w:line="276" w:lineRule="auto"/>
        <w:rPr>
          <w:sz w:val="20"/>
          <w:szCs w:val="20"/>
          <w:color w:val="auto"/>
        </w:rPr>
      </w:pPr>
      <w:r>
        <w:rPr>
          <w:rFonts w:ascii="Arial" w:cs="Arial" w:eastAsia="Arial" w:hAnsi="Arial"/>
          <w:sz w:val="17"/>
          <w:szCs w:val="17"/>
          <w:color w:val="auto"/>
        </w:rPr>
        <w:t>During the second quarter of 2019 and the first quarter of 2018, we wrote down certain long-lived assets to fair value. Our estimates of fair value required us to use significant unobservable inputs, representative of Level 3 fair value measurements, including numerous assumptions with respect to future circumstances that might directly impact each of the relevant asset groups’ operations in the future and are therefore uncertain. These assumptions with respect to future circumstances included future oil, coal and natural gas prices, anticipated spending by our customers, the cost of capital, and industry and/or local market conditions. Please see Note 6 – Impairment Charges for further information.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4" w:lineRule="exact"/>
        <w:rPr>
          <w:sz w:val="20"/>
          <w:szCs w:val="20"/>
          <w:color w:val="auto"/>
        </w:rPr>
      </w:pPr>
    </w:p>
    <w:p>
      <w:pPr>
        <w:ind w:firstLine="459"/>
        <w:spacing w:after="0" w:line="276" w:lineRule="auto"/>
        <w:rPr>
          <w:sz w:val="20"/>
          <w:szCs w:val="20"/>
          <w:color w:val="auto"/>
        </w:rPr>
      </w:pPr>
      <w:r>
        <w:rPr>
          <w:rFonts w:ascii="Arial" w:cs="Arial" w:eastAsia="Arial" w:hAnsi="Arial"/>
          <w:sz w:val="17"/>
          <w:szCs w:val="17"/>
          <w:color w:val="auto"/>
        </w:rPr>
        <w:t>During the first and second quarter of 2018, we acquired certain assets and businesses and recorded them at fair value. Determining the fair value of assets acquired and liabilities assumed requires the exercise of significant judgment, including the amount and timing of expected future cash flows, long-term growth rates and discount rates. The cash flows employed in the valuation are based on our best estimates of future sales, earnings and cash flows after considering factors such as general market conditions, expected future customer orders, contracts with suppliers, labor costs, changes in working capital, long term business plans and recent operating performance. Please see Note 7 – Acquisitions for further information.</w:t>
      </w:r>
    </w:p>
    <w:p>
      <w:pPr>
        <w:spacing w:after="0" w:line="16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Additional information regarding selected balance sheet accounts at June 30, 2019 and December 31, 2018 is presented below (in thousands):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2018</w:t>
            </w:r>
          </w:p>
        </w:tc>
      </w:tr>
      <w:tr>
        <w:trPr>
          <w:trHeight w:val="33"/>
        </w:trPr>
        <w:tc>
          <w:tcPr>
            <w:tcW w:w="7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Accounts receivable, net: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Trade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66,886</w:t>
            </w:r>
          </w:p>
        </w:tc>
        <w:tc>
          <w:tcPr>
            <w:tcW w:w="100" w:type="dxa"/>
            <w:vAlign w:val="bottom"/>
          </w:tcPr>
          <w:p>
            <w:pPr>
              <w:spacing w:after="0"/>
              <w:rPr>
                <w:sz w:val="20"/>
                <w:szCs w:val="20"/>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48,875</w:t>
            </w:r>
          </w:p>
        </w:tc>
      </w:tr>
      <w:tr>
        <w:trPr>
          <w:trHeight w:val="33"/>
        </w:trPr>
        <w:tc>
          <w:tcPr>
            <w:tcW w:w="7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Unbilled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21,169</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555</w:t>
            </w:r>
          </w:p>
        </w:tc>
      </w:tr>
      <w:tr>
        <w:trPr>
          <w:trHeight w:val="33"/>
        </w:trPr>
        <w:tc>
          <w:tcPr>
            <w:tcW w:w="7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accounts receivable</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90,989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70,599</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Allowance for doubtful accounts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(376)</w:t>
            </w:r>
          </w:p>
        </w:tc>
      </w:tr>
      <w:tr>
        <w:trPr>
          <w:trHeight w:val="33"/>
        </w:trPr>
        <w:tc>
          <w:tcPr>
            <w:tcW w:w="7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accounts receivable,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90,763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70,223</w:t>
            </w:r>
          </w:p>
        </w:tc>
      </w:tr>
      <w:tr>
        <w:trPr>
          <w:trHeight w:val="20"/>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2018</w:t>
            </w:r>
          </w:p>
        </w:tc>
      </w:tr>
      <w:tr>
        <w:trPr>
          <w:trHeight w:val="33"/>
        </w:trPr>
        <w:tc>
          <w:tcPr>
            <w:tcW w:w="7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Inventories:</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Finished goods and purchased products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2,493</w:t>
            </w:r>
          </w:p>
        </w:tc>
        <w:tc>
          <w:tcPr>
            <w:tcW w:w="100" w:type="dxa"/>
            <w:vAlign w:val="bottom"/>
          </w:tcPr>
          <w:p>
            <w:pPr>
              <w:spacing w:after="0"/>
              <w:rPr>
                <w:sz w:val="20"/>
                <w:szCs w:val="20"/>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2,461</w:t>
            </w:r>
          </w:p>
        </w:tc>
      </w:tr>
      <w:tr>
        <w:trPr>
          <w:trHeight w:val="33"/>
        </w:trPr>
        <w:tc>
          <w:tcPr>
            <w:tcW w:w="7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 in process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945</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Raw materials</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907</w:t>
            </w:r>
          </w:p>
        </w:tc>
      </w:tr>
      <w:tr>
        <w:trPr>
          <w:trHeight w:val="33"/>
        </w:trPr>
        <w:tc>
          <w:tcPr>
            <w:tcW w:w="7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4,421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4,313</w:t>
            </w:r>
          </w:p>
        </w:tc>
      </w:tr>
      <w:tr>
        <w:trPr>
          <w:trHeight w:val="20"/>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1"/>
              </w:rPr>
              <w:t>Estimated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6220" w:type="dxa"/>
            <w:vAlign w:val="bottom"/>
          </w:tcPr>
          <w:p>
            <w:pPr>
              <w:spacing w:after="0"/>
              <w:rPr>
                <w:sz w:val="17"/>
                <w:szCs w:val="17"/>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Useful Life</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6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2"/>
              </w:rPr>
              <w:t>(in years)</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2018</w:t>
            </w:r>
          </w:p>
        </w:tc>
      </w:tr>
      <w:tr>
        <w:trPr>
          <w:trHeight w:val="33"/>
        </w:trPr>
        <w:tc>
          <w:tcPr>
            <w:tcW w:w="6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Land</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43,411</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46,805</w:t>
            </w:r>
          </w:p>
        </w:tc>
      </w:tr>
      <w:tr>
        <w:trPr>
          <w:trHeight w:val="33"/>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Accommodations assets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1,692,033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1,650,758</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Buildings and leasehold improvements</w:t>
            </w:r>
          </w:p>
        </w:tc>
        <w:tc>
          <w:tcPr>
            <w:tcW w:w="300" w:type="dxa"/>
            <w:vAlign w:val="bottom"/>
          </w:tcPr>
          <w:p>
            <w:pPr>
              <w:jc w:val="right"/>
              <w:spacing w:after="0"/>
              <w:rPr>
                <w:sz w:val="20"/>
                <w:szCs w:val="20"/>
                <w:color w:val="auto"/>
              </w:rPr>
            </w:pPr>
            <w:r>
              <w:rPr>
                <w:rFonts w:ascii="Arial" w:cs="Arial" w:eastAsia="Arial" w:hAnsi="Arial"/>
                <w:sz w:val="16"/>
                <w:szCs w:val="16"/>
                <w:color w:val="auto"/>
              </w:rPr>
              <w:t>7</w:t>
            </w:r>
          </w:p>
        </w:tc>
        <w:tc>
          <w:tcPr>
            <w:tcW w:w="500" w:type="dxa"/>
            <w:vAlign w:val="bottom"/>
          </w:tcPr>
          <w:p>
            <w:pPr>
              <w:ind w:left="220"/>
              <w:spacing w:after="0"/>
              <w:rPr>
                <w:sz w:val="20"/>
                <w:szCs w:val="20"/>
                <w:color w:val="auto"/>
              </w:rPr>
            </w:pPr>
            <w:r>
              <w:rPr>
                <w:rFonts w:ascii="Arial" w:cs="Arial" w:eastAsia="Arial" w:hAnsi="Arial"/>
                <w:sz w:val="16"/>
                <w:szCs w:val="16"/>
                <w:color w:val="auto"/>
              </w:rPr>
              <w:t>—</w:t>
            </w:r>
          </w:p>
        </w:tc>
        <w:tc>
          <w:tcPr>
            <w:tcW w:w="500" w:type="dxa"/>
            <w:vAlign w:val="bottom"/>
          </w:tcPr>
          <w:p>
            <w:pPr>
              <w:ind w:left="10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25,935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25,168</w:t>
            </w:r>
          </w:p>
        </w:tc>
      </w:tr>
      <w:tr>
        <w:trPr>
          <w:trHeight w:val="33"/>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10,693</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Office furniture and equipment</w:t>
            </w: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c>
          <w:tcPr>
            <w:tcW w:w="500" w:type="dxa"/>
            <w:vAlign w:val="bottom"/>
          </w:tcPr>
          <w:p>
            <w:pPr>
              <w:ind w:left="220"/>
              <w:spacing w:after="0"/>
              <w:rPr>
                <w:sz w:val="20"/>
                <w:szCs w:val="20"/>
                <w:color w:val="auto"/>
              </w:rPr>
            </w:pPr>
            <w:r>
              <w:rPr>
                <w:rFonts w:ascii="Arial" w:cs="Arial" w:eastAsia="Arial" w:hAnsi="Arial"/>
                <w:sz w:val="16"/>
                <w:szCs w:val="16"/>
                <w:color w:val="auto"/>
              </w:rPr>
              <w:t>—</w:t>
            </w:r>
          </w:p>
        </w:tc>
        <w:tc>
          <w:tcPr>
            <w:tcW w:w="500" w:type="dxa"/>
            <w:vAlign w:val="bottom"/>
          </w:tcPr>
          <w:p>
            <w:pPr>
              <w:ind w:left="10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55,898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54,459</w:t>
            </w:r>
          </w:p>
        </w:tc>
      </w:tr>
      <w:tr>
        <w:trPr>
          <w:trHeight w:val="33"/>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Vehicles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14,589</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21,864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7,119</w:t>
            </w:r>
          </w:p>
        </w:tc>
      </w:tr>
      <w:tr>
        <w:trPr>
          <w:trHeight w:val="33"/>
        </w:trPr>
        <w:tc>
          <w:tcPr>
            <w:tcW w:w="6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property, plant and equipment</w:t>
            </w:r>
          </w:p>
        </w:tc>
        <w:tc>
          <w:tcPr>
            <w:tcW w:w="3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1,864,662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1,809,591</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Accumulated depreciation</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(1,228,624)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(1,150,686)</w:t>
            </w:r>
          </w:p>
        </w:tc>
      </w:tr>
      <w:tr>
        <w:trPr>
          <w:trHeight w:val="33"/>
        </w:trPr>
        <w:tc>
          <w:tcPr>
            <w:tcW w:w="6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636,038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658,905</w:t>
            </w:r>
          </w:p>
        </w:tc>
      </w:tr>
      <w:tr>
        <w:trPr>
          <w:trHeight w:val="20"/>
        </w:trPr>
        <w:tc>
          <w:tcPr>
            <w:tcW w:w="6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121" w:right="299" w:bottom="1440" w:gutter="0" w:footer="0" w:header="0"/>
        </w:sectPr>
      </w:pPr>
    </w:p>
    <w:bookmarkStart w:id="11" w:name="page12"/>
    <w:bookmarkEnd w:id="11"/>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2019</w:t>
            </w: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December 31, 2018</w:t>
            </w:r>
          </w:p>
        </w:tc>
      </w:tr>
      <w:tr>
        <w:trPr>
          <w:trHeight w:val="33"/>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Accrued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37"/>
        </w:trPr>
        <w:tc>
          <w:tcPr>
            <w:tcW w:w="7820" w:type="dxa"/>
            <w:vAlign w:val="bottom"/>
          </w:tcPr>
          <w:p>
            <w:pPr>
              <w:ind w:left="4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11,295</w:t>
            </w:r>
          </w:p>
        </w:tc>
        <w:tc>
          <w:tcPr>
            <w:tcW w:w="10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13,545</w:t>
            </w:r>
          </w:p>
        </w:tc>
      </w:tr>
      <w:tr>
        <w:trPr>
          <w:trHeight w:val="33"/>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taxes, other than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2,177</w:t>
            </w:r>
          </w:p>
        </w:tc>
      </w:tr>
      <w:tr>
        <w:trPr>
          <w:trHeight w:val="237"/>
        </w:trPr>
        <w:tc>
          <w:tcPr>
            <w:tcW w:w="7820" w:type="dxa"/>
            <w:vAlign w:val="bottom"/>
          </w:tcPr>
          <w:p>
            <w:pPr>
              <w:ind w:left="40"/>
              <w:spacing w:after="0"/>
              <w:rPr>
                <w:sz w:val="20"/>
                <w:szCs w:val="20"/>
                <w:color w:val="auto"/>
              </w:rPr>
            </w:pPr>
            <w:r>
              <w:rPr>
                <w:rFonts w:ascii="Arial" w:cs="Arial" w:eastAsia="Arial" w:hAnsi="Arial"/>
                <w:sz w:val="16"/>
                <w:szCs w:val="16"/>
                <w:color w:val="auto"/>
              </w:rPr>
              <w:t>Accrued interest</w:t>
            </w:r>
          </w:p>
        </w:tc>
        <w:tc>
          <w:tcPr>
            <w:tcW w:w="18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r>
      <w:tr>
        <w:trPr>
          <w:trHeight w:val="244"/>
        </w:trPr>
        <w:tc>
          <w:tcPr>
            <w:tcW w:w="7820" w:type="dxa"/>
            <w:vAlign w:val="bottom"/>
          </w:tcPr>
          <w:p>
            <w:pPr>
              <w:ind w:left="40"/>
              <w:spacing w:after="0"/>
              <w:rPr>
                <w:sz w:val="20"/>
                <w:szCs w:val="20"/>
                <w:color w:val="auto"/>
              </w:rPr>
            </w:pPr>
            <w:r>
              <w:rPr>
                <w:rFonts w:ascii="Arial" w:cs="Arial" w:eastAsia="Arial" w:hAnsi="Arial"/>
                <w:sz w:val="16"/>
                <w:szCs w:val="16"/>
                <w:color w:val="auto"/>
              </w:rPr>
              <w:t>Total accrued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14,691</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15,956</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CHARGES AND ASSET RETIREMENT OBLIGATIONS</w:t>
      </w:r>
    </w:p>
    <w:p>
      <w:pPr>
        <w:spacing w:after="0" w:line="229" w:lineRule="exact"/>
        <w:rPr>
          <w:sz w:val="20"/>
          <w:szCs w:val="20"/>
          <w:color w:val="auto"/>
        </w:rPr>
      </w:pPr>
    </w:p>
    <w:p>
      <w:pPr>
        <w:ind w:right="160" w:firstLine="459"/>
        <w:spacing w:after="0" w:line="255" w:lineRule="auto"/>
        <w:rPr>
          <w:sz w:val="20"/>
          <w:szCs w:val="20"/>
          <w:color w:val="auto"/>
        </w:rPr>
      </w:pPr>
      <w:r>
        <w:rPr>
          <w:rFonts w:ascii="Arial" w:cs="Arial" w:eastAsia="Arial" w:hAnsi="Arial"/>
          <w:sz w:val="18"/>
          <w:szCs w:val="18"/>
          <w:b w:val="1"/>
          <w:bCs w:val="1"/>
          <w:i w:val="1"/>
          <w:iCs w:val="1"/>
          <w:color w:val="auto"/>
        </w:rPr>
        <w:t>Quarter ended June 30, 2019</w:t>
      </w:r>
      <w:r>
        <w:rPr>
          <w:rFonts w:ascii="Arial" w:cs="Arial" w:eastAsia="Arial" w:hAnsi="Arial"/>
          <w:sz w:val="18"/>
          <w:szCs w:val="18"/>
          <w:color w:val="auto"/>
        </w:rPr>
        <w:t>. During the second quarter of 2019, we identified indicators that certain long-lived assets in Australia may be impaired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market developments, including the non-renewal of certain land development approval agreements. We assessed the carrying values of the related assets to determine if they continued to be recoverable based on estimated future cash flows. Based on the assessment, the carrying values were determined to not be fully recoverable, and we proceeded to compare the estimated fair value of the assets to their respective carrying values. Accordingly, the assets were written down to their estimated fair values of $0.5 million. As a result of the analysis described above, we recorded an impairment expense of $4.5 million.</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Additionally, during the second quarter of 2019, we identified a liability related to an asset retirement obligation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2019. Specifically, we recorded the following amounts in our second quarter 2019 unaudited consolidated statement of operations related to prior periods: (1) additional accretion expense related to the ARO of $0.9 million, (2) additional depreciation and amortization expense of $0.5 million related to amortization of the related asset retirement cost and (3) additional impairment expense related to the impairment of the asset retirement cost of $1.0 million offset by recognition of an ARO liability totaling $2.3 million as of June 30, 2019.</w:t>
      </w:r>
    </w:p>
    <w:p>
      <w:pPr>
        <w:spacing w:after="0" w:line="189" w:lineRule="exact"/>
        <w:rPr>
          <w:sz w:val="20"/>
          <w:szCs w:val="20"/>
          <w:color w:val="auto"/>
        </w:rPr>
      </w:pPr>
    </w:p>
    <w:p>
      <w:pPr>
        <w:ind w:firstLine="459"/>
        <w:spacing w:after="0" w:line="272" w:lineRule="auto"/>
        <w:rPr>
          <w:sz w:val="20"/>
          <w:szCs w:val="20"/>
          <w:color w:val="auto"/>
        </w:rPr>
      </w:pPr>
      <w:r>
        <w:rPr>
          <w:rFonts w:ascii="Arial" w:cs="Arial" w:eastAsia="Arial" w:hAnsi="Arial"/>
          <w:sz w:val="17"/>
          <w:szCs w:val="17"/>
          <w:b w:val="1"/>
          <w:bCs w:val="1"/>
          <w:i w:val="1"/>
          <w:iCs w:val="1"/>
          <w:color w:val="auto"/>
        </w:rPr>
        <w:t>Quarter ended March 31, 2018</w:t>
      </w:r>
      <w:r>
        <w:rPr>
          <w:rFonts w:ascii="Arial" w:cs="Arial" w:eastAsia="Arial" w:hAnsi="Arial"/>
          <w:sz w:val="17"/>
          <w:szCs w:val="17"/>
          <w:color w:val="auto"/>
        </w:rPr>
        <w:t>. During the first quarter of 2018, we identified an indicator that certain long-lived assets used in the Canadian oil sands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be impaired due to market developments, including expected customer commitments, occurring in the first quarter of 2018. For purposes of our impairment assessment, we separated two lodges that were previously treated as a single asset group due to the lodges no longer being used together to generate joint cash flows. We assessed the carrying value of the asset group to determine if it continued to be recoverable based on estimated future cash flows. Based on the assessment, the carrying value was determined to not be fully recoverable, and we proceeded to compare the estimated fair value of the asset group to its respective carrying value. Accordingly, the value of a Canadian lodge was written down to its estimated fair value of zero. As a result of the analysis described above, we recorded an impairment expense of $28.7 million.</w:t>
      </w:r>
    </w:p>
    <w:p>
      <w:pPr>
        <w:spacing w:after="0" w:line="17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Noralta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Description of Transaction</w:t>
      </w:r>
      <w:r>
        <w:rPr>
          <w:rFonts w:ascii="Arial" w:cs="Arial" w:eastAsia="Arial" w:hAnsi="Arial"/>
          <w:sz w:val="17"/>
          <w:szCs w:val="17"/>
          <w:color w:val="auto"/>
        </w:rPr>
        <w:t>. On April 2, 2018, we acquired the equity of Noralta Lodge Ltd. (Noralta), located in Alberta, Canada. The total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consideration, which is subject to adjustment in accordance with the terms of the definitive agreement, included (i) C$207.7 million (or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US$161.2 million) in cash, subject to customary post-closing adjustments for working capital, indebtedness and transactions expenses, (ii) 32.8 million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shares, and (iii) 9,679 Class A Series 1 Preferred Shares (the Preferred Shares) with an initial liquidation preference of $96.8 million and initially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convertible into 29.3 million of our common shares. As a result of the Noralta acquisition, we expanded our existing accommodations business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Canadian oil sands market. We funded the cash consideration with cash on hand and borrowings under the Amended Credit Agreement (as defined in Note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Debt).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first quarter of 2019, $2.1 million in cash was released to us from escrow to cover certain agreed upon indemnification claims.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4" w:lineRule="exact"/>
        <w:rPr>
          <w:sz w:val="20"/>
          <w:szCs w:val="20"/>
          <w:color w:val="auto"/>
        </w:rPr>
      </w:pPr>
    </w:p>
    <w:p>
      <w:pPr>
        <w:ind w:right="20" w:firstLine="459"/>
        <w:spacing w:after="0" w:line="264" w:lineRule="auto"/>
        <w:rPr>
          <w:sz w:val="20"/>
          <w:szCs w:val="20"/>
          <w:color w:val="auto"/>
        </w:rPr>
      </w:pPr>
      <w:r>
        <w:rPr>
          <w:rFonts w:ascii="Arial" w:cs="Arial" w:eastAsia="Arial" w:hAnsi="Arial"/>
          <w:sz w:val="18"/>
          <w:szCs w:val="18"/>
          <w:color w:val="auto"/>
        </w:rPr>
        <w:t>The Noralta acquisition was accounted for in accordance with the acquisition method of accounting for business combinations and, accordingly, the results of operations of Noralta were reported in our financial statements as part of our Canadian reportable business segment beginning on April 2, 2018, the date of acquisition.</w:t>
      </w:r>
    </w:p>
    <w:p>
      <w:pPr>
        <w:spacing w:after="0" w:line="181" w:lineRule="exact"/>
        <w:rPr>
          <w:sz w:val="20"/>
          <w:szCs w:val="20"/>
          <w:color w:val="auto"/>
        </w:rPr>
      </w:pPr>
    </w:p>
    <w:p>
      <w:pPr>
        <w:ind w:firstLine="459"/>
        <w:spacing w:after="0" w:line="255" w:lineRule="auto"/>
        <w:rPr>
          <w:sz w:val="20"/>
          <w:szCs w:val="20"/>
          <w:color w:val="auto"/>
        </w:rPr>
      </w:pPr>
      <w:r>
        <w:rPr>
          <w:rFonts w:ascii="Arial" w:cs="Arial" w:eastAsia="Arial" w:hAnsi="Arial"/>
          <w:sz w:val="18"/>
          <w:szCs w:val="18"/>
          <w:b w:val="1"/>
          <w:bCs w:val="1"/>
          <w:i w:val="1"/>
          <w:iCs w:val="1"/>
          <w:color w:val="auto"/>
        </w:rPr>
        <w:t xml:space="preserve">Purchase Price Allocation. </w:t>
      </w:r>
      <w:r>
        <w:rPr>
          <w:rFonts w:ascii="Arial" w:cs="Arial" w:eastAsia="Arial" w:hAnsi="Arial"/>
          <w:sz w:val="18"/>
          <w:szCs w:val="18"/>
          <w:color w:val="auto"/>
        </w:rPr>
        <w:t>The application of purchase accounting under ASC 805 requires that the total purchase price be allocated to the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assets acquired and liabilities assumed based on their fair values at April 2, 2018, with amounts exceeding the fair values being recorded as goodwill. The allocation process requires an analysis of acquired fixed assets, contracts, and contingencies to identify and record the fair value of all assets acquired and liabilities assumed. Our allocation of the purchase price, which we finalized in the first quarter of 2019, to specific assets and liabilities is based, in part, upon outside appraisals using customary valuation procedures and techniques. The following table summarizes the fair values of the assets acquired and liabilities assumed at April 2, 2018 (in thousands):</w:t>
      </w:r>
    </w:p>
    <w:p>
      <w:pPr>
        <w:spacing w:after="0" w:line="342" w:lineRule="exact"/>
        <w:rPr>
          <w:sz w:val="20"/>
          <w:szCs w:val="20"/>
          <w:color w:val="auto"/>
        </w:rPr>
      </w:pPr>
    </w:p>
    <w:tbl>
      <w:tblPr>
        <w:tblLayout w:type="fixed"/>
        <w:tblInd w:w="140" w:type="dxa"/>
        <w:tblCellMar>
          <w:top w:w="0" w:type="dxa"/>
          <w:left w:w="0" w:type="dxa"/>
          <w:bottom w:w="0" w:type="dxa"/>
          <w:right w:w="0" w:type="dxa"/>
        </w:tblCellMar>
      </w:tblP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Accounts receivable (1)</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21,456</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6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839</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4,266</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6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129,424</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Goodwill</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123,569</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6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110,736</w:t>
            </w:r>
          </w:p>
        </w:tc>
      </w:tr>
      <w:tr>
        <w:trPr>
          <w:trHeight w:val="217"/>
        </w:trPr>
        <w:tc>
          <w:tcPr>
            <w:tcW w:w="9380" w:type="dxa"/>
            <w:vAlign w:val="bottom"/>
          </w:tcPr>
          <w:p>
            <w:pPr>
              <w:ind w:left="160"/>
              <w:spacing w:after="0"/>
              <w:rPr>
                <w:sz w:val="20"/>
                <w:szCs w:val="20"/>
                <w:color w:val="auto"/>
              </w:rPr>
            </w:pPr>
            <w:r>
              <w:rPr>
                <w:rFonts w:ascii="Arial" w:cs="Arial" w:eastAsia="Arial" w:hAnsi="Arial"/>
                <w:sz w:val="16"/>
                <w:szCs w:val="16"/>
                <w:color w:val="auto"/>
              </w:rPr>
              <w:t>Total assets acquired</w:t>
            </w:r>
          </w:p>
        </w:tc>
        <w:tc>
          <w:tcPr>
            <w:tcW w:w="6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390,314</w:t>
            </w:r>
          </w:p>
        </w:tc>
      </w:tr>
      <w:tr>
        <w:trPr>
          <w:trHeight w:val="33"/>
        </w:trPr>
        <w:tc>
          <w:tcPr>
            <w:tcW w:w="93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93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15,023</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payable</w:t>
            </w:r>
          </w:p>
        </w:tc>
        <w:tc>
          <w:tcPr>
            <w:tcW w:w="6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2,027</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6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51,543</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5,133</w:t>
            </w:r>
          </w:p>
        </w:tc>
      </w:tr>
      <w:tr>
        <w:trPr>
          <w:trHeight w:val="33"/>
        </w:trPr>
        <w:tc>
          <w:tcPr>
            <w:tcW w:w="93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liabilities assumed</w:t>
            </w: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74,764</w:t>
            </w:r>
          </w:p>
        </w:tc>
      </w:tr>
      <w:tr>
        <w:trPr>
          <w:trHeight w:val="244"/>
        </w:trPr>
        <w:tc>
          <w:tcPr>
            <w:tcW w:w="9380" w:type="dxa"/>
            <w:vAlign w:val="bottom"/>
          </w:tcPr>
          <w:p>
            <w:pPr>
              <w:ind w:left="380"/>
              <w:spacing w:after="0"/>
              <w:rPr>
                <w:sz w:val="20"/>
                <w:szCs w:val="20"/>
                <w:color w:val="auto"/>
              </w:rPr>
            </w:pPr>
            <w:r>
              <w:rPr>
                <w:rFonts w:ascii="Arial" w:cs="Arial" w:eastAsia="Arial" w:hAnsi="Arial"/>
                <w:sz w:val="16"/>
                <w:szCs w:val="16"/>
                <w:color w:val="auto"/>
              </w:rPr>
              <w:t>Net assets acquired</w:t>
            </w: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315,550</w:t>
            </w:r>
          </w:p>
        </w:tc>
      </w:tr>
      <w:tr>
        <w:trPr>
          <w:trHeight w:val="20"/>
        </w:trPr>
        <w:tc>
          <w:tcPr>
            <w:tcW w:w="9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 aggregate fair value of the acquired accounts receivable approximated the aggregate gross contractual amount.</w:t>
      </w:r>
    </w:p>
    <w:p>
      <w:pPr>
        <w:spacing w:after="0" w:line="225" w:lineRule="exact"/>
        <w:rPr>
          <w:sz w:val="20"/>
          <w:szCs w:val="20"/>
          <w:color w:val="auto"/>
        </w:rPr>
      </w:pPr>
    </w:p>
    <w:p>
      <w:pPr>
        <w:jc w:val="both"/>
        <w:ind w:right="140" w:firstLine="459"/>
        <w:spacing w:after="0" w:line="312" w:lineRule="auto"/>
        <w:rPr>
          <w:sz w:val="20"/>
          <w:szCs w:val="20"/>
          <w:color w:val="auto"/>
        </w:rPr>
      </w:pPr>
      <w:r>
        <w:rPr>
          <w:rFonts w:ascii="Arial" w:cs="Arial" w:eastAsia="Arial" w:hAnsi="Arial"/>
          <w:sz w:val="16"/>
          <w:szCs w:val="16"/>
          <w:b w:val="1"/>
          <w:bCs w:val="1"/>
          <w:i w:val="1"/>
          <w:iCs w:val="1"/>
          <w:color w:val="auto"/>
        </w:rPr>
        <w:t xml:space="preserve">Transaction Costs. </w:t>
      </w:r>
      <w:r>
        <w:rPr>
          <w:rFonts w:ascii="Arial" w:cs="Arial" w:eastAsia="Arial" w:hAnsi="Arial"/>
          <w:sz w:val="16"/>
          <w:szCs w:val="16"/>
          <w:color w:val="auto"/>
        </w:rPr>
        <w:t>During the three months ended June 30, 2018, we recognized $5.6 million of costs in connection with the Noralta acquisition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included in Service and other costs ($0.2 million) and SG&amp;A expenses ($5.4 million). During the six months ended June 30, 2018, we recognized $6.6 million of costs in connection with the Noralta acquisition that are included in Service and other costs ($0.2 million) and SG&amp;A expenses ($6.4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Acadian Acres</w:t>
      </w:r>
    </w:p>
    <w:p>
      <w:pPr>
        <w:spacing w:after="0" w:line="225" w:lineRule="exact"/>
        <w:rPr>
          <w:sz w:val="20"/>
          <w:szCs w:val="20"/>
          <w:color w:val="auto"/>
        </w:rPr>
      </w:pPr>
    </w:p>
    <w:p>
      <w:pPr>
        <w:ind w:right="120" w:firstLine="459"/>
        <w:spacing w:after="0" w:line="276" w:lineRule="auto"/>
        <w:rPr>
          <w:sz w:val="20"/>
          <w:szCs w:val="20"/>
          <w:color w:val="auto"/>
        </w:rPr>
      </w:pPr>
      <w:r>
        <w:rPr>
          <w:rFonts w:ascii="Arial" w:cs="Arial" w:eastAsia="Arial" w:hAnsi="Arial"/>
          <w:sz w:val="17"/>
          <w:szCs w:val="17"/>
          <w:color w:val="auto"/>
        </w:rPr>
        <w:t>On February 28, 2018, we acquired the assets of Lakeland, L.L.C. (Lakeland), located near Lake Charles, Louisiana, for total consideration of $28.0 million, composed of $23.5 million in cash and $4.5 million of our common shares. The asset purchase agreement also includes potential future earn-out payments through December 2020 of up to 1.2 million Civeo common shares, based upon satisfaction of certain future revenue targets. The acquisition included a 400 room lodge, 40 acres of land and related assets. We funded the cash consideration with cash on hand. Lakeland’s operations are reported as a new lodge location, Acadian Acres, in our U.S. reportable business segment.</w:t>
      </w:r>
    </w:p>
    <w:p>
      <w:pPr>
        <w:spacing w:after="0" w:line="173" w:lineRule="exact"/>
        <w:rPr>
          <w:sz w:val="20"/>
          <w:szCs w:val="20"/>
          <w:color w:val="auto"/>
        </w:rPr>
      </w:pPr>
    </w:p>
    <w:p>
      <w:pPr>
        <w:ind w:right="80" w:firstLine="459"/>
        <w:spacing w:after="0" w:line="257" w:lineRule="auto"/>
        <w:rPr>
          <w:sz w:val="20"/>
          <w:szCs w:val="20"/>
          <w:color w:val="auto"/>
        </w:rPr>
      </w:pPr>
      <w:r>
        <w:rPr>
          <w:rFonts w:ascii="Arial" w:cs="Arial" w:eastAsia="Arial" w:hAnsi="Arial"/>
          <w:sz w:val="18"/>
          <w:szCs w:val="18"/>
          <w:color w:val="auto"/>
        </w:rPr>
        <w:t>This acquisition was accounted for as an asset acquisition based on the principles described in ASC 805, which provides a screen to determine when a set of transferred assets is not a business. The screen requires that when substantially all of the fair value of the gross assets acquired is concentrated in a single identifiable asset or a group of similarly identifiable assets, the set of transferred assets is not a business. Accordingly, we allocated the excess consideration over the fair value of the assets acquired to the acquired assets, pro rata, on the basis of relative fair values to increase the related assets acquired.</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121" w:right="299" w:bottom="1440" w:gutter="0" w:footer="0" w:header="0"/>
        </w:sectPr>
      </w:pPr>
    </w:p>
    <w:bookmarkStart w:id="13" w:name="page14"/>
    <w:bookmarkEnd w:id="13"/>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w:t>
      </w:r>
    </w:p>
    <w:p>
      <w:pPr>
        <w:spacing w:after="0" w:line="229" w:lineRule="exact"/>
        <w:rPr>
          <w:sz w:val="20"/>
          <w:szCs w:val="20"/>
          <w:color w:val="auto"/>
        </w:rPr>
      </w:pPr>
    </w:p>
    <w:p>
      <w:pPr>
        <w:ind w:right="100" w:firstLine="459"/>
        <w:spacing w:after="0" w:line="312" w:lineRule="auto"/>
        <w:rPr>
          <w:sz w:val="20"/>
          <w:szCs w:val="20"/>
          <w:color w:val="auto"/>
        </w:rPr>
      </w:pPr>
      <w:r>
        <w:rPr>
          <w:rFonts w:ascii="Arial" w:cs="Arial" w:eastAsia="Arial" w:hAnsi="Arial"/>
          <w:sz w:val="16"/>
          <w:szCs w:val="16"/>
          <w:color w:val="auto"/>
        </w:rPr>
        <w:t>During the fourth quarter of 2017, we made the decision to dispose of our modular construction and manufacturing plant near Edmonton, Alberta, Canada due to changing geographic and market needs. Accordingly, the facility met the criteria of held for sale. Its estimated fair value less the cost to sell exceeded its carrying value. Additionally, we have discontinued depreciation of the facility. The facility is part of our Canadian reportable business segment.</w:t>
      </w:r>
    </w:p>
    <w:p>
      <w:pPr>
        <w:spacing w:after="0" w:line="147" w:lineRule="exact"/>
        <w:rPr>
          <w:sz w:val="20"/>
          <w:szCs w:val="20"/>
          <w:color w:val="auto"/>
        </w:rPr>
      </w:pPr>
    </w:p>
    <w:p>
      <w:pPr>
        <w:ind w:right="160" w:firstLine="459"/>
        <w:spacing w:after="0" w:line="264" w:lineRule="auto"/>
        <w:rPr>
          <w:sz w:val="20"/>
          <w:szCs w:val="20"/>
          <w:color w:val="auto"/>
        </w:rPr>
      </w:pPr>
      <w:r>
        <w:rPr>
          <w:rFonts w:ascii="Arial" w:cs="Arial" w:eastAsia="Arial" w:hAnsi="Arial"/>
          <w:sz w:val="18"/>
          <w:szCs w:val="18"/>
          <w:color w:val="auto"/>
        </w:rPr>
        <w:t>Certain undeveloped land positions in the British Columbia LNG market in our Canadian segment previously met the criteria of held for sale. During the first quarter of 2019, we received $4.0 million in proceeds from the sale of four different land positions. The remaining assets are recorded at the estimated fair value less costs to sell of approximately $1.7 million.</w:t>
      </w:r>
    </w:p>
    <w:p>
      <w:pPr>
        <w:spacing w:after="0" w:line="181" w:lineRule="exact"/>
        <w:rPr>
          <w:sz w:val="20"/>
          <w:szCs w:val="20"/>
          <w:color w:val="auto"/>
        </w:rPr>
      </w:pPr>
    </w:p>
    <w:p>
      <w:pPr>
        <w:ind w:right="320" w:firstLine="459"/>
        <w:spacing w:after="0" w:line="264" w:lineRule="auto"/>
        <w:rPr>
          <w:sz w:val="20"/>
          <w:szCs w:val="20"/>
          <w:color w:val="auto"/>
        </w:rPr>
      </w:pPr>
      <w:r>
        <w:rPr>
          <w:rFonts w:ascii="Arial" w:cs="Arial" w:eastAsia="Arial" w:hAnsi="Arial"/>
          <w:sz w:val="18"/>
          <w:szCs w:val="18"/>
          <w:color w:val="auto"/>
        </w:rPr>
        <w:t>In addition, as a result of the Noralta acquisition, Noralta’s corporate offices located on two adjacent property titles in Nisku, Alberta, Canada were closed. During the fourth quarter of 2018, we sold one property. The remaining property is recorded at the estimated fair value less costs to sell of approximately $1.8 million and was the same value used in the purchase price allocation.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carrying amount as of June 30, 2019 and December 31, 2018 of the assets classified as held for sale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2018</w:t>
            </w:r>
          </w:p>
        </w:tc>
      </w:tr>
      <w:tr>
        <w:trPr>
          <w:trHeight w:val="33"/>
        </w:trPr>
        <w:tc>
          <w:tcPr>
            <w:tcW w:w="7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7460" w:type="dxa"/>
            <w:vAlign w:val="bottom"/>
          </w:tcPr>
          <w:p>
            <w:pPr>
              <w:ind w:left="18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8,228</w:t>
            </w:r>
          </w:p>
        </w:tc>
        <w:tc>
          <w:tcPr>
            <w:tcW w:w="100" w:type="dxa"/>
            <w:vAlign w:val="bottom"/>
          </w:tcPr>
          <w:p>
            <w:pPr>
              <w:spacing w:after="0"/>
              <w:rPr>
                <w:sz w:val="20"/>
                <w:szCs w:val="20"/>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10,297</w:t>
            </w:r>
          </w:p>
        </w:tc>
      </w:tr>
      <w:tr>
        <w:trPr>
          <w:trHeight w:val="33"/>
        </w:trPr>
        <w:tc>
          <w:tcPr>
            <w:tcW w:w="7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held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10,297</w:t>
            </w:r>
          </w:p>
        </w:tc>
      </w:tr>
      <w:tr>
        <w:trPr>
          <w:trHeight w:val="20"/>
        </w:trPr>
        <w:tc>
          <w:tcPr>
            <w:tcW w:w="7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1" w:right="279" w:bottom="1440" w:gutter="0" w:footer="0" w:header="0"/>
        </w:sectPr>
      </w:pPr>
    </w:p>
    <w:bookmarkStart w:id="14" w:name="page15"/>
    <w:bookmarkEnd w:id="14"/>
    <w:p>
      <w:pPr>
        <w:ind w:left="4852"/>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12"/>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ind w:left="332" w:hanging="332"/>
        <w:spacing w:after="0"/>
        <w:tabs>
          <w:tab w:leader="none" w:pos="33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left="452"/>
        <w:spacing w:after="0"/>
        <w:rPr>
          <w:sz w:val="20"/>
          <w:szCs w:val="20"/>
          <w:color w:val="auto"/>
        </w:rPr>
      </w:pPr>
      <w:r>
        <w:rPr>
          <w:rFonts w:ascii="Arial" w:cs="Arial" w:eastAsia="Arial" w:hAnsi="Arial"/>
          <w:sz w:val="17"/>
          <w:szCs w:val="17"/>
          <w:color w:val="auto"/>
        </w:rPr>
        <w:t>The calculation of earnings per share attributable to Civeo is presented below for the periods indicated (in thousands, except per share amounts):</w:t>
      </w:r>
    </w:p>
    <w:p>
      <w:pPr>
        <w:spacing w:after="0" w:line="200" w:lineRule="exact"/>
        <w:rPr>
          <w:sz w:val="20"/>
          <w:szCs w:val="20"/>
          <w:color w:val="auto"/>
        </w:rPr>
      </w:pPr>
    </w:p>
    <w:p>
      <w:pPr>
        <w:spacing w:after="0" w:line="213" w:lineRule="exact"/>
        <w:rPr>
          <w:sz w:val="20"/>
          <w:szCs w:val="20"/>
          <w:color w:val="auto"/>
        </w:rPr>
      </w:pPr>
    </w:p>
    <w:tbl>
      <w:tblPr>
        <w:tblLayout w:type="fixed"/>
        <w:tblInd w:w="492"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320" w:type="dxa"/>
            <w:vAlign w:val="bottom"/>
            <w:gridSpan w:val="6"/>
          </w:tcPr>
          <w:p>
            <w:pPr>
              <w:ind w:left="80"/>
              <w:spacing w:after="0"/>
              <w:rPr>
                <w:sz w:val="20"/>
                <w:szCs w:val="20"/>
                <w:color w:val="auto"/>
              </w:rPr>
            </w:pPr>
            <w:r>
              <w:rPr>
                <w:rFonts w:ascii="Arial" w:cs="Arial" w:eastAsia="Arial" w:hAnsi="Arial"/>
                <w:sz w:val="16"/>
                <w:szCs w:val="16"/>
                <w:b w:val="1"/>
                <w:bCs w:val="1"/>
                <w:color w:val="auto"/>
                <w:w w:val="97"/>
              </w:rPr>
              <w:t>Three Months Ended June 30,</w:t>
            </w:r>
          </w:p>
        </w:tc>
        <w:tc>
          <w:tcPr>
            <w:tcW w:w="120" w:type="dxa"/>
            <w:vAlign w:val="bottom"/>
          </w:tcPr>
          <w:p>
            <w:pPr>
              <w:spacing w:after="0"/>
              <w:rPr>
                <w:sz w:val="18"/>
                <w:szCs w:val="18"/>
                <w:color w:val="auto"/>
              </w:rPr>
            </w:pPr>
          </w:p>
        </w:tc>
        <w:tc>
          <w:tcPr>
            <w:tcW w:w="204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1"/>
              </w:rPr>
              <w:t>Six Months Ended June 30,</w:t>
            </w:r>
          </w:p>
        </w:tc>
      </w:tr>
      <w:tr>
        <w:trPr>
          <w:trHeight w:val="33"/>
        </w:trPr>
        <w:tc>
          <w:tcPr>
            <w:tcW w:w="5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Loss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color w:val="auto"/>
              </w:rPr>
              <w:t>Net loss attributable to Civeo common shareholders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(15,310)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(48,321)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(32,808)</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(103,778)</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undistributed net income to participating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attributable to Civeo common shareholders - basic</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(15,310)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(48,321)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(32,808)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(103,778)</w:t>
            </w:r>
          </w:p>
        </w:tc>
      </w:tr>
      <w:tr>
        <w:trPr>
          <w:trHeight w:val="163"/>
        </w:trPr>
        <w:tc>
          <w:tcPr>
            <w:tcW w:w="5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2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167,532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165,373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166,437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148,595</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76"/>
        </w:trPr>
        <w:tc>
          <w:tcPr>
            <w:tcW w:w="5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color w:val="auto"/>
              </w:rPr>
              <w:t>Basic loss per share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(0.70)</w:t>
            </w: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76"/>
        </w:trPr>
        <w:tc>
          <w:tcPr>
            <w:tcW w:w="5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b w:val="1"/>
                <w:bCs w:val="1"/>
                <w:color w:val="auto"/>
              </w:rPr>
              <w:t>Diluted Loss per Share</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Civeo common shareholders - basic</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(103,778)</w:t>
            </w: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color w:val="auto"/>
              </w:rPr>
              <w:t>Less: undistributed net income to participating securities</w:t>
            </w:r>
          </w:p>
        </w:tc>
        <w:tc>
          <w:tcPr>
            <w:tcW w:w="2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Civeo common shareholders - diluted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(103,778)</w:t>
            </w: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3"/>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167,532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165,373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166,437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148,595</w:t>
            </w:r>
          </w:p>
        </w:tc>
      </w:tr>
      <w:tr>
        <w:trPr>
          <w:trHeight w:val="237"/>
        </w:trPr>
        <w:tc>
          <w:tcPr>
            <w:tcW w:w="5960" w:type="dxa"/>
            <w:vAlign w:val="bottom"/>
          </w:tcPr>
          <w:p>
            <w:pPr>
              <w:ind w:left="20"/>
              <w:spacing w:after="0"/>
              <w:rPr>
                <w:sz w:val="20"/>
                <w:szCs w:val="20"/>
                <w:color w:val="auto"/>
              </w:rPr>
            </w:pPr>
            <w:r>
              <w:rPr>
                <w:rFonts w:ascii="Arial" w:cs="Arial" w:eastAsia="Arial" w:hAnsi="Arial"/>
                <w:sz w:val="16"/>
                <w:szCs w:val="16"/>
                <w:color w:val="auto"/>
              </w:rPr>
              <w:t>Effect of dilutive securities (1)</w:t>
            </w:r>
          </w:p>
        </w:tc>
        <w:tc>
          <w:tcPr>
            <w:tcW w:w="2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167,532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165,373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166,437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148,595</w:t>
            </w:r>
          </w:p>
        </w:tc>
      </w:tr>
      <w:tr>
        <w:trPr>
          <w:trHeight w:val="176"/>
        </w:trPr>
        <w:tc>
          <w:tcPr>
            <w:tcW w:w="5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7"/>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loss per share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r>
      <w:tr>
        <w:trPr>
          <w:trHeight w:val="33"/>
        </w:trPr>
        <w:tc>
          <w:tcPr>
            <w:tcW w:w="5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32" w:hanging="332"/>
        <w:spacing w:after="0" w:line="271" w:lineRule="auto"/>
        <w:tabs>
          <w:tab w:leader="none" w:pos="332" w:val="left"/>
        </w:tabs>
        <w:numPr>
          <w:ilvl w:val="0"/>
          <w:numId w:val="11"/>
        </w:numPr>
        <w:rPr>
          <w:rFonts w:ascii="Arial" w:cs="Arial" w:eastAsia="Arial" w:hAnsi="Arial"/>
          <w:sz w:val="17"/>
          <w:szCs w:val="17"/>
          <w:color w:val="auto"/>
        </w:rPr>
      </w:pPr>
      <w:r>
        <w:rPr>
          <w:rFonts w:ascii="Arial" w:cs="Arial" w:eastAsia="Arial" w:hAnsi="Arial"/>
          <w:sz w:val="17"/>
          <w:szCs w:val="17"/>
          <w:color w:val="auto"/>
        </w:rPr>
        <w:t>When an entity has a net loss from continuing operations, it is prohibited from including potential common shares in the computation of diluted per share amounts. Accordingly, we have utilized the basic shares outstanding amount to calculate both basic and diluted loss per share for the three and six months ended June 30, 2019 and 2018. In the three months ended June 30, 2019 and 2018, we excluded from the calculation 3.7 million and 4.1 million share based awards, respectively, since the effect would have been anti-dilutive. In the six months ended June 30, 2019 and 2018, we excluded from the calculation 3.7 million and 3.5 million share based awards, respectively, since the effect would have been anti-dilutive. In the three and six months ended June 30, 2019, we excluded from the calculation the impact of converting the Preferred Shares into 28.1 million common shares, since the effect would have been anti-dilutive. In the three and six months ended June 30, 2018, we excluded from the calculation the impact of converting the Preferred Shares into 29.5 million common shares, since the effect would have been anti-dilutive.</w:t>
      </w: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12"/>
          </w:cols>
          <w:pgMar w:left="248" w:top="121" w:right="239" w:bottom="1440" w:gutter="0" w:footer="0" w:header="0"/>
        </w:sectPr>
      </w:pPr>
    </w:p>
    <w:bookmarkStart w:id="15" w:name="page16"/>
    <w:bookmarkEnd w:id="15"/>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2019 and December 31, 2018, long-term debt consisted of the following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2019</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2018</w:t>
            </w:r>
          </w:p>
        </w:tc>
        <w:tc>
          <w:tcPr>
            <w:tcW w:w="0" w:type="dxa"/>
            <w:vAlign w:val="bottom"/>
          </w:tcPr>
          <w:p>
            <w:pPr>
              <w:spacing w:after="0"/>
              <w:rPr>
                <w:sz w:val="1"/>
                <w:szCs w:val="1"/>
                <w:color w:val="auto"/>
              </w:rPr>
            </w:pPr>
          </w:p>
        </w:tc>
      </w:tr>
      <w:tr>
        <w:trPr>
          <w:trHeight w:val="33"/>
        </w:trPr>
        <w:tc>
          <w:tcPr>
            <w:tcW w:w="2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000" w:type="dxa"/>
            <w:vAlign w:val="bottom"/>
            <w:gridSpan w:val="9"/>
            <w:shd w:val="clear" w:color="auto" w:fill="CCEEFF"/>
          </w:tcPr>
          <w:p>
            <w:pPr>
              <w:ind w:left="40"/>
              <w:spacing w:after="0"/>
              <w:rPr>
                <w:sz w:val="20"/>
                <w:szCs w:val="20"/>
                <w:color w:val="auto"/>
              </w:rPr>
            </w:pPr>
            <w:r>
              <w:rPr>
                <w:rFonts w:ascii="Arial" w:cs="Arial" w:eastAsia="Arial" w:hAnsi="Arial"/>
                <w:sz w:val="16"/>
                <w:szCs w:val="16"/>
                <w:color w:val="auto"/>
                <w:w w:val="98"/>
              </w:rPr>
              <w:t>Canadian term loan, which matures on November 30, 2020; 3.125% of aggregate principal repayable per quarter;</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weighted average interest rate of</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0"/>
                <w:shd w:val="clear" w:color="auto" w:fill="CCEEFF"/>
              </w:rPr>
              <w:t>5.7</w:t>
            </w:r>
          </w:p>
        </w:tc>
        <w:tc>
          <w:tcPr>
            <w:tcW w:w="560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 for the six-month period ended</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June 30,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240,849</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247,910</w:t>
            </w:r>
          </w:p>
        </w:tc>
        <w:tc>
          <w:tcPr>
            <w:tcW w:w="0" w:type="dxa"/>
            <w:vAlign w:val="bottom"/>
          </w:tcPr>
          <w:p>
            <w:pPr>
              <w:spacing w:after="0"/>
              <w:rPr>
                <w:sz w:val="1"/>
                <w:szCs w:val="1"/>
                <w:color w:val="auto"/>
              </w:rPr>
            </w:pPr>
          </w:p>
        </w:tc>
      </w:tr>
      <w:tr>
        <w:trPr>
          <w:trHeight w:val="176"/>
        </w:trPr>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w w:val="92"/>
              </w:rPr>
              <w:t>U.S. revolving credit facility, which matures on November 30, 2020, weighted average interest rate of</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0"/>
                <w:shd w:val="clear" w:color="auto" w:fill="CCEEFF"/>
              </w:rPr>
              <w:t>7.1</w:t>
            </w:r>
          </w:p>
        </w:tc>
        <w:tc>
          <w:tcPr>
            <w:tcW w:w="11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 for the six-</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9"/>
            <w:shd w:val="clear" w:color="auto" w:fill="CCEEFF"/>
          </w:tcPr>
          <w:p>
            <w:pPr>
              <w:ind w:left="40"/>
              <w:spacing w:after="0"/>
              <w:rPr>
                <w:sz w:val="20"/>
                <w:szCs w:val="20"/>
                <w:color w:val="auto"/>
              </w:rPr>
            </w:pPr>
            <w:r>
              <w:rPr>
                <w:rFonts w:ascii="Arial" w:cs="Arial" w:eastAsia="Arial" w:hAnsi="Arial"/>
                <w:sz w:val="16"/>
                <w:szCs w:val="16"/>
                <w:color w:val="auto"/>
              </w:rPr>
              <w:t>month period ended June 30, 2019</w:t>
            </w:r>
          </w:p>
        </w:tc>
        <w:tc>
          <w:tcPr>
            <w:tcW w:w="18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5,500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0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w w:val="92"/>
              </w:rPr>
              <w:t>Canadian revolving credit facility, which matures on November 30, 2020, weighted average interest rate of</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0"/>
                <w:shd w:val="clear" w:color="auto" w:fill="CCEEFF"/>
              </w:rPr>
              <w:t>6.6</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for the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9"/>
            <w:shd w:val="clear" w:color="auto" w:fill="CCEEFF"/>
          </w:tcPr>
          <w:p>
            <w:pPr>
              <w:ind w:left="40"/>
              <w:spacing w:after="0"/>
              <w:rPr>
                <w:sz w:val="20"/>
                <w:szCs w:val="20"/>
                <w:color w:val="auto"/>
              </w:rPr>
            </w:pPr>
            <w:r>
              <w:rPr>
                <w:rFonts w:ascii="Arial" w:cs="Arial" w:eastAsia="Arial" w:hAnsi="Arial"/>
                <w:sz w:val="16"/>
                <w:szCs w:val="16"/>
                <w:color w:val="auto"/>
              </w:rPr>
              <w:t>six-month period ended June 30, 2019</w:t>
            </w:r>
          </w:p>
        </w:tc>
        <w:tc>
          <w:tcPr>
            <w:tcW w:w="18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156,870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114,348</w:t>
            </w:r>
          </w:p>
        </w:tc>
        <w:tc>
          <w:tcPr>
            <w:tcW w:w="0" w:type="dxa"/>
            <w:vAlign w:val="bottom"/>
          </w:tcPr>
          <w:p>
            <w:pPr>
              <w:spacing w:after="0"/>
              <w:rPr>
                <w:sz w:val="1"/>
                <w:szCs w:val="1"/>
                <w:color w:val="auto"/>
              </w:rPr>
            </w:pPr>
          </w:p>
        </w:tc>
      </w:tr>
      <w:tr>
        <w:trPr>
          <w:trHeight w:val="216"/>
        </w:trPr>
        <w:tc>
          <w:tcPr>
            <w:tcW w:w="2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8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w w:val="93"/>
              </w:rPr>
              <w:t>Australian revolving credit facility, which matures on November 30, 2020, weighted average interest rate of</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0"/>
                <w:shd w:val="clear" w:color="auto" w:fill="CCEEFF"/>
              </w:rPr>
              <w:t>5.5</w:t>
            </w:r>
          </w:p>
        </w:tc>
        <w:tc>
          <w:tcPr>
            <w:tcW w:w="720" w:type="dxa"/>
            <w:vAlign w:val="bottom"/>
            <w:shd w:val="clear" w:color="auto" w:fill="CCEEFF"/>
          </w:tcPr>
          <w:p>
            <w:pPr>
              <w:spacing w:after="0"/>
              <w:rPr>
                <w:sz w:val="20"/>
                <w:szCs w:val="20"/>
                <w:color w:val="auto"/>
              </w:rPr>
            </w:pPr>
            <w:r>
              <w:rPr>
                <w:rFonts w:ascii="Arial" w:cs="Arial" w:eastAsia="Arial" w:hAnsi="Arial"/>
                <w:sz w:val="16"/>
                <w:szCs w:val="16"/>
                <w:color w:val="auto"/>
              </w:rPr>
              <w:t>% for the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9"/>
            <w:shd w:val="clear" w:color="auto" w:fill="CCEEFF"/>
          </w:tcPr>
          <w:p>
            <w:pPr>
              <w:ind w:left="40"/>
              <w:spacing w:after="0"/>
              <w:rPr>
                <w:sz w:val="20"/>
                <w:szCs w:val="20"/>
                <w:color w:val="auto"/>
              </w:rPr>
            </w:pPr>
            <w:r>
              <w:rPr>
                <w:rFonts w:ascii="Arial" w:cs="Arial" w:eastAsia="Arial" w:hAnsi="Arial"/>
                <w:sz w:val="16"/>
                <w:szCs w:val="16"/>
                <w:color w:val="auto"/>
              </w:rPr>
              <w:t>six-month period ended June 30, 2019</w:t>
            </w:r>
          </w:p>
        </w:tc>
        <w:tc>
          <w:tcPr>
            <w:tcW w:w="18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2,103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16,918</w:t>
            </w:r>
          </w:p>
        </w:tc>
        <w:tc>
          <w:tcPr>
            <w:tcW w:w="0" w:type="dxa"/>
            <w:vAlign w:val="bottom"/>
          </w:tcPr>
          <w:p>
            <w:pPr>
              <w:spacing w:after="0"/>
              <w:rPr>
                <w:sz w:val="1"/>
                <w:szCs w:val="1"/>
                <w:color w:val="auto"/>
              </w:rPr>
            </w:pPr>
          </w:p>
        </w:tc>
      </w:tr>
      <w:tr>
        <w:trPr>
          <w:trHeight w:val="236"/>
        </w:trPr>
        <w:tc>
          <w:tcPr>
            <w:tcW w:w="2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405,322</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379,176</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Less: Unamortized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2,939</w:t>
            </w:r>
          </w:p>
        </w:tc>
        <w:tc>
          <w:tcPr>
            <w:tcW w:w="0" w:type="dxa"/>
            <w:vAlign w:val="bottom"/>
          </w:tcPr>
          <w:p>
            <w:pPr>
              <w:spacing w:after="0"/>
              <w:rPr>
                <w:sz w:val="1"/>
                <w:szCs w:val="1"/>
                <w:color w:val="auto"/>
              </w:rPr>
            </w:pPr>
          </w:p>
        </w:tc>
      </w:tr>
      <w:tr>
        <w:trPr>
          <w:trHeight w:val="217"/>
        </w:trPr>
        <w:tc>
          <w:tcPr>
            <w:tcW w:w="8000" w:type="dxa"/>
            <w:vAlign w:val="bottom"/>
            <w:gridSpan w:val="9"/>
          </w:tcPr>
          <w:p>
            <w:pPr>
              <w:ind w:left="180"/>
              <w:spacing w:after="0"/>
              <w:rPr>
                <w:sz w:val="20"/>
                <w:szCs w:val="20"/>
                <w:color w:val="auto"/>
              </w:rPr>
            </w:pPr>
            <w:r>
              <w:rPr>
                <w:rFonts w:ascii="Arial" w:cs="Arial" w:eastAsia="Arial" w:hAnsi="Arial"/>
                <w:sz w:val="16"/>
                <w:szCs w:val="16"/>
                <w:color w:val="auto"/>
              </w:rPr>
              <w:t>Total debt</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403,080</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376,237</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Less: Current portion of long-term debt, including unamortized debt issuance costs, net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34,833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33,329</w:t>
            </w:r>
          </w:p>
        </w:tc>
        <w:tc>
          <w:tcPr>
            <w:tcW w:w="0" w:type="dxa"/>
            <w:vAlign w:val="bottom"/>
          </w:tcPr>
          <w:p>
            <w:pPr>
              <w:spacing w:after="0"/>
              <w:rPr>
                <w:sz w:val="1"/>
                <w:szCs w:val="1"/>
                <w:color w:val="auto"/>
              </w:rPr>
            </w:pPr>
          </w:p>
        </w:tc>
      </w:tr>
      <w:tr>
        <w:trPr>
          <w:trHeight w:val="244"/>
        </w:trPr>
        <w:tc>
          <w:tcPr>
            <w:tcW w:w="8000" w:type="dxa"/>
            <w:vAlign w:val="bottom"/>
            <w:gridSpan w:val="9"/>
          </w:tcPr>
          <w:p>
            <w:pPr>
              <w:ind w:left="180"/>
              <w:spacing w:after="0"/>
              <w:rPr>
                <w:sz w:val="20"/>
                <w:szCs w:val="20"/>
                <w:color w:val="auto"/>
              </w:rPr>
            </w:pPr>
            <w:r>
              <w:rPr>
                <w:rFonts w:ascii="Arial" w:cs="Arial" w:eastAsia="Arial" w:hAnsi="Arial"/>
                <w:sz w:val="16"/>
                <w:szCs w:val="16"/>
                <w:color w:val="auto"/>
              </w:rPr>
              <w:t>Long-term debt, less current maturities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368,247</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342,908</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capitalized interest to net against interest expense for the three or six months ended June 30, 2019 or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Agreement</w:t>
      </w:r>
    </w:p>
    <w:p>
      <w:pPr>
        <w:spacing w:after="0" w:line="225" w:lineRule="exact"/>
        <w:rPr>
          <w:sz w:val="20"/>
          <w:szCs w:val="20"/>
          <w:color w:val="auto"/>
        </w:rPr>
      </w:pPr>
    </w:p>
    <w:p>
      <w:pPr>
        <w:ind w:right="40" w:firstLine="459"/>
        <w:spacing w:after="0" w:line="257" w:lineRule="auto"/>
        <w:rPr>
          <w:sz w:val="20"/>
          <w:szCs w:val="20"/>
          <w:color w:val="auto"/>
        </w:rPr>
      </w:pPr>
      <w:r>
        <w:rPr>
          <w:rFonts w:ascii="Arial" w:cs="Arial" w:eastAsia="Arial" w:hAnsi="Arial"/>
          <w:sz w:val="18"/>
          <w:szCs w:val="18"/>
          <w:color w:val="auto"/>
        </w:rPr>
        <w:t>As of June 30, 2019, our Credit Agreement, as then amended to date (the Amended Credit Agreement), provided for: (i) a $239.5 million revolving credit facility scheduled to mature on November 30, 2020, allocated as follows: (A) a $20.0 million senior secured revolving credit facility in favor of certain of our U.S. subsidiaries, as borrowers; (B) a $159.5 million senior secured revolving credit facility in favor of Civeo and certain of our Canadian subsidiaries, as borrowers; and (C) a $60.0 million senior secured revolving credit facility in favor of one of our Australian subsidiaries, as borrower; and (ii) a $325.0 million term loan facility scheduled to mature on November 30, 2020 in favor of Civeo.</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maximum leverage ratio financial covenant is set forth in the tables below.</w:t>
      </w:r>
    </w:p>
    <w:p>
      <w:pPr>
        <w:spacing w:after="0" w:line="225"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 qualified offering of indebtedness with gross proceeds in excess of $150 million has been consummated, a maximum leverage ratio not to exceed the ratios set forth in the following table: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4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Leverage</w:t>
            </w:r>
          </w:p>
        </w:tc>
      </w:tr>
      <w:tr>
        <w:trPr>
          <w:trHeight w:val="176"/>
        </w:trPr>
        <w:tc>
          <w:tcPr>
            <w:tcW w:w="9860" w:type="dxa"/>
            <w:vAlign w:val="bottom"/>
            <w:gridSpan w:val="3"/>
          </w:tcPr>
          <w:p>
            <w:pPr>
              <w:ind w:left="4460"/>
              <w:spacing w:after="0" w:line="176" w:lineRule="exact"/>
              <w:rPr>
                <w:sz w:val="20"/>
                <w:szCs w:val="20"/>
                <w:color w:val="auto"/>
              </w:rPr>
            </w:pPr>
            <w:r>
              <w:rPr>
                <w:rFonts w:ascii="Arial" w:cs="Arial" w:eastAsia="Arial" w:hAnsi="Arial"/>
                <w:sz w:val="16"/>
                <w:szCs w:val="16"/>
                <w:b w:val="1"/>
                <w:bCs w:val="1"/>
                <w:color w:val="auto"/>
              </w:rPr>
              <w:t>Period Ended</w:t>
            </w:r>
          </w:p>
        </w:tc>
        <w:tc>
          <w:tcPr>
            <w:tcW w:w="10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Ratio</w:t>
            </w:r>
          </w:p>
        </w:tc>
      </w:tr>
      <w:tr>
        <w:trPr>
          <w:trHeight w:val="48"/>
        </w:trPr>
        <w:tc>
          <w:tcPr>
            <w:tcW w:w="446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446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30"/>
        </w:trPr>
        <w:tc>
          <w:tcPr>
            <w:tcW w:w="9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June 30, 2019</w:t>
            </w:r>
          </w:p>
        </w:tc>
        <w:tc>
          <w:tcPr>
            <w:tcW w:w="10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92"/>
              </w:rPr>
              <w:t>4.50 : 1:00</w:t>
            </w:r>
          </w:p>
        </w:tc>
      </w:tr>
      <w:tr>
        <w:trPr>
          <w:trHeight w:val="224"/>
        </w:trPr>
        <w:tc>
          <w:tcPr>
            <w:tcW w:w="9860" w:type="dxa"/>
            <w:vAlign w:val="bottom"/>
            <w:gridSpan w:val="3"/>
          </w:tcPr>
          <w:p>
            <w:pPr>
              <w:ind w:left="40"/>
              <w:spacing w:after="0"/>
              <w:rPr>
                <w:sz w:val="20"/>
                <w:szCs w:val="20"/>
                <w:color w:val="auto"/>
              </w:rPr>
            </w:pPr>
            <w:r>
              <w:rPr>
                <w:rFonts w:ascii="Arial" w:cs="Arial" w:eastAsia="Arial" w:hAnsi="Arial"/>
                <w:sz w:val="16"/>
                <w:szCs w:val="16"/>
                <w:color w:val="auto"/>
              </w:rPr>
              <w:t>September 30, 2019 &amp; thereafter</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w w:val="92"/>
              </w:rPr>
              <w:t>4.00 : 1:00</w:t>
            </w:r>
          </w:p>
        </w:tc>
      </w:tr>
    </w:tbl>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16" w:name="page17"/>
    <w:bookmarkEnd w:id="16"/>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and, if such qualified offering has not been consummated, a maximum leverage ratio not to exceed the ratios set forth in the following table: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4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Leverage</w:t>
            </w:r>
          </w:p>
        </w:tc>
      </w:tr>
      <w:tr>
        <w:trPr>
          <w:trHeight w:val="176"/>
        </w:trPr>
        <w:tc>
          <w:tcPr>
            <w:tcW w:w="9860" w:type="dxa"/>
            <w:vAlign w:val="bottom"/>
            <w:gridSpan w:val="3"/>
          </w:tcPr>
          <w:p>
            <w:pPr>
              <w:ind w:left="4460"/>
              <w:spacing w:after="0" w:line="176" w:lineRule="exact"/>
              <w:rPr>
                <w:sz w:val="20"/>
                <w:szCs w:val="20"/>
                <w:color w:val="auto"/>
              </w:rPr>
            </w:pPr>
            <w:r>
              <w:rPr>
                <w:rFonts w:ascii="Arial" w:cs="Arial" w:eastAsia="Arial" w:hAnsi="Arial"/>
                <w:sz w:val="16"/>
                <w:szCs w:val="16"/>
                <w:b w:val="1"/>
                <w:bCs w:val="1"/>
                <w:color w:val="auto"/>
              </w:rPr>
              <w:t>Period Ended</w:t>
            </w:r>
          </w:p>
        </w:tc>
        <w:tc>
          <w:tcPr>
            <w:tcW w:w="10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Ratio</w:t>
            </w:r>
          </w:p>
        </w:tc>
      </w:tr>
      <w:tr>
        <w:trPr>
          <w:trHeight w:val="48"/>
        </w:trPr>
        <w:tc>
          <w:tcPr>
            <w:tcW w:w="446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446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30"/>
        </w:trPr>
        <w:tc>
          <w:tcPr>
            <w:tcW w:w="9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June 30, 2019</w:t>
            </w:r>
          </w:p>
        </w:tc>
        <w:tc>
          <w:tcPr>
            <w:tcW w:w="10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92"/>
              </w:rPr>
              <w:t>4.50 : 1:00</w:t>
            </w:r>
          </w:p>
        </w:tc>
      </w:tr>
      <w:tr>
        <w:trPr>
          <w:trHeight w:val="224"/>
        </w:trPr>
        <w:tc>
          <w:tcPr>
            <w:tcW w:w="9860" w:type="dxa"/>
            <w:vAlign w:val="bottom"/>
            <w:gridSpan w:val="3"/>
          </w:tcPr>
          <w:p>
            <w:pPr>
              <w:ind w:left="40"/>
              <w:spacing w:after="0"/>
              <w:rPr>
                <w:sz w:val="20"/>
                <w:szCs w:val="20"/>
                <w:color w:val="auto"/>
              </w:rPr>
            </w:pPr>
            <w:r>
              <w:rPr>
                <w:rFonts w:ascii="Arial" w:cs="Arial" w:eastAsia="Arial" w:hAnsi="Arial"/>
                <w:sz w:val="16"/>
                <w:szCs w:val="16"/>
                <w:color w:val="auto"/>
              </w:rPr>
              <w:t>September 30, 2019</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w w:val="92"/>
              </w:rPr>
              <w:t>4.00 : 1:00</w:t>
            </w:r>
          </w:p>
        </w:tc>
      </w:tr>
      <w:tr>
        <w:trPr>
          <w:trHeight w:val="33"/>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4"/>
        </w:trPr>
        <w:tc>
          <w:tcPr>
            <w:tcW w:w="9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December 31, 2019 &amp; thereafter</w:t>
            </w:r>
          </w:p>
        </w:tc>
        <w:tc>
          <w:tcPr>
            <w:tcW w:w="10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92"/>
              </w:rPr>
              <w:t>3.50 : 1:00</w:t>
            </w:r>
          </w:p>
        </w:tc>
      </w:tr>
      <w:tr>
        <w:trPr>
          <w:trHeight w:val="33"/>
        </w:trPr>
        <w:tc>
          <w:tcPr>
            <w:tcW w:w="44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459"/>
        <w:spacing w:after="0" w:line="273" w:lineRule="auto"/>
        <w:rPr>
          <w:sz w:val="20"/>
          <w:szCs w:val="20"/>
          <w:color w:val="auto"/>
        </w:rPr>
      </w:pPr>
      <w:r>
        <w:rPr>
          <w:rFonts w:ascii="Arial" w:cs="Arial" w:eastAsia="Arial" w:hAnsi="Arial"/>
          <w:sz w:val="17"/>
          <w:szCs w:val="17"/>
          <w:color w:val="auto"/>
        </w:rPr>
        <w:t>U.S. dollar amounts outstanding under the facilities provided by the Amended Credit Agreement bear interest at a variable rate equal to LIBOR plus a margin of 2.25% to 4.00%, or a base rate plus 1.25% to 3.00%, in each case based on a ratio of our total debt to consolidated EBITDA (as defined in the Amended Credit Agreement). Canadian dollar amounts outstanding bear interest at a variable rate equal to a B/A Discount Rate based on the Canadian Dollar Offered Rate plus a margin of 2.25% to 4.00%, or a Canadian Prime rate plus a margin of 1.25% to 3.00%, in each case based on a ratio of our total debt to consolidated EBITDA. Australian dollar amounts outstanding under the Amended Credit Agreement bear interest at a variable rate equal to the Bank Bill Swap Bid Rate plus a margin of 2.25% to 4.00%, based on a ratio of our total debt to consolidated EBITDA.</w:t>
      </w:r>
    </w:p>
    <w:p>
      <w:pPr>
        <w:spacing w:after="0" w:line="178" w:lineRule="exact"/>
        <w:rPr>
          <w:sz w:val="20"/>
          <w:szCs w:val="20"/>
          <w:color w:val="auto"/>
        </w:rPr>
      </w:pPr>
    </w:p>
    <w:p>
      <w:pPr>
        <w:ind w:right="80" w:firstLine="459"/>
        <w:spacing w:after="0" w:line="270" w:lineRule="auto"/>
        <w:rPr>
          <w:sz w:val="20"/>
          <w:szCs w:val="20"/>
          <w:color w:val="auto"/>
        </w:rPr>
      </w:pPr>
      <w:r>
        <w:rPr>
          <w:rFonts w:ascii="Arial" w:cs="Arial" w:eastAsia="Arial" w:hAnsi="Arial"/>
          <w:sz w:val="17"/>
          <w:szCs w:val="17"/>
          <w:color w:val="auto"/>
        </w:rPr>
        <w:t>The Amended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4.5 to 1.0 (as of June 30, 2019). As noted above, the permitted maximum leverage ratio changes over time. Following a qualified offering of indebtedness with gross proceeds in excess of $150 million, we will be required to maintain a maximum senior secured ratio less than 2.50 to 1.0. Each of the factors considered in the calculations of these ratios are defined in the Amended Credit Agreement. EBITDA and consolidated interest, as defined, exclude goodwill and asset impairments, debt discount amortization, amortization of intangibles and other non-cash charges. We were in compliance with our covenants as of June 30, 2019.</w:t>
      </w:r>
    </w:p>
    <w:p>
      <w:pPr>
        <w:spacing w:after="0" w:line="182" w:lineRule="exact"/>
        <w:rPr>
          <w:sz w:val="20"/>
          <w:szCs w:val="20"/>
          <w:color w:val="auto"/>
        </w:rPr>
      </w:pPr>
    </w:p>
    <w:p>
      <w:pPr>
        <w:ind w:right="100" w:firstLine="459"/>
        <w:spacing w:after="0" w:line="257" w:lineRule="auto"/>
        <w:rPr>
          <w:sz w:val="20"/>
          <w:szCs w:val="20"/>
          <w:color w:val="auto"/>
        </w:rPr>
      </w:pPr>
      <w:r>
        <w:rPr>
          <w:rFonts w:ascii="Arial" w:cs="Arial" w:eastAsia="Arial" w:hAnsi="Arial"/>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As of June 30, 2019, we have nine lenders that were parties to the Amended Credit Agreement, with total commitments (including both revolving commitments and term commitments) ranging from $24.9 million to $110.6 million. As of June 30, 2019, we had outstanding letters of credit of $0.3 million under the U.S facility, $0.5 million under the Australian facility and $2.6 million under the Canadian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280" w:firstLine="459"/>
        <w:spacing w:after="0" w:line="277" w:lineRule="auto"/>
        <w:rPr>
          <w:sz w:val="20"/>
          <w:szCs w:val="20"/>
          <w:color w:val="auto"/>
        </w:rPr>
      </w:pPr>
      <w:r>
        <w:rPr>
          <w:rFonts w:ascii="Arial" w:cs="Arial" w:eastAsia="Arial" w:hAnsi="Arial"/>
          <w:sz w:val="18"/>
          <w:szCs w:val="18"/>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primarily in three jurisdictions, Canada, Australia and the U.S., where statutory tax rates range from 21% to 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will vary from period to period based on changes in earnings mix between these different jurisdictions.</w:t>
      </w:r>
    </w:p>
    <w:p>
      <w:pPr>
        <w:spacing w:after="0" w:line="211" w:lineRule="exact"/>
        <w:rPr>
          <w:sz w:val="20"/>
          <w:szCs w:val="20"/>
          <w:color w:val="auto"/>
        </w:rPr>
      </w:pPr>
    </w:p>
    <w:p>
      <w:pPr>
        <w:ind w:firstLine="459"/>
        <w:spacing w:after="0" w:line="279" w:lineRule="auto"/>
        <w:rPr>
          <w:sz w:val="20"/>
          <w:szCs w:val="20"/>
          <w:color w:val="auto"/>
        </w:rPr>
      </w:pPr>
      <w:r>
        <w:rPr>
          <w:rFonts w:ascii="Arial" w:cs="Arial" w:eastAsia="Arial" w:hAnsi="Arial"/>
          <w:sz w:val="17"/>
          <w:szCs w:val="17"/>
          <w:color w:val="auto"/>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June 30, 2019, Australia and the U.S. were considered loss jurisdictions for tax accounting purposes and have been removed from the annual effective tax rate computation for purposes of computing the interim tax provision.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17" w:name="page18"/>
    <w:bookmarkEnd w:id="17"/>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firstLine="459"/>
        <w:spacing w:after="0" w:line="276" w:lineRule="auto"/>
        <w:rPr>
          <w:sz w:val="20"/>
          <w:szCs w:val="20"/>
          <w:color w:val="auto"/>
        </w:rPr>
      </w:pPr>
      <w:r>
        <w:rPr>
          <w:rFonts w:ascii="Arial" w:cs="Arial" w:eastAsia="Arial" w:hAnsi="Arial"/>
          <w:sz w:val="17"/>
          <w:szCs w:val="17"/>
          <w:color w:val="auto"/>
        </w:rPr>
        <w:t>Our income tax benefit for the six months ended June 30, 2019 totaled $7.3 million, or 18.7% of pretax loss, compared to a benefit of $24.1 million, or 30.4% of pretax loss, for the six months ended June 30, 2018. Our effective tax rate for the six months ended June 30, 2019 and 2018 was reduced approximately 3% and 5%, respectively, by the exclusion of Australia and the U.S. for purposes of computing the interim tax provision since they are considered loss jurisdictions for tax accounting purposes. Additionally, the effective tax rate for the six months ended June 30, 2018 was impacted by a tax benefit of $4.9 million that was recorded in the second quarter 2018 to reverse a valuation allowance previously recorded in Canada.</w:t>
      </w:r>
    </w:p>
    <w:p>
      <w:pPr>
        <w:spacing w:after="0" w:line="173" w:lineRule="exact"/>
        <w:rPr>
          <w:sz w:val="20"/>
          <w:szCs w:val="20"/>
          <w:color w:val="auto"/>
        </w:rPr>
      </w:pPr>
    </w:p>
    <w:p>
      <w:pPr>
        <w:ind w:right="20" w:firstLine="459"/>
        <w:spacing w:after="0" w:line="257" w:lineRule="auto"/>
        <w:rPr>
          <w:sz w:val="20"/>
          <w:szCs w:val="20"/>
          <w:color w:val="auto"/>
        </w:rPr>
      </w:pPr>
      <w:r>
        <w:rPr>
          <w:rFonts w:ascii="Arial" w:cs="Arial" w:eastAsia="Arial" w:hAnsi="Arial"/>
          <w:sz w:val="18"/>
          <w:szCs w:val="18"/>
          <w:color w:val="auto"/>
        </w:rPr>
        <w:t>Our income tax benefit for the three months ended June 30, 2019 totaled $2.9 million, or 16.1% of pretax loss, compared to a benefit of $23.4 million, or 101.3% of pretax loss, for the three months ended June 30, 2018. The effective tax rate for the three months ended June 30, 2018 was impacted by an increase in the 2018 effective tax rate due to Canada no longer being considered a loss jurisdiction in the quarter, as a result of the acquisition of Noralta on April 2, 2018. Under ASC 740-270, Accounting for Income Taxes, the quarterly tax provision is based on our current estimate of the annual effective tax rate less the prior quarter’s year-to-date provision.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ind w:right="280" w:firstLine="459"/>
        <w:spacing w:after="0" w:line="297"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229" w:lineRule="exact"/>
        <w:rPr>
          <w:sz w:val="20"/>
          <w:szCs w:val="20"/>
          <w:color w:val="auto"/>
        </w:rPr>
      </w:pPr>
    </w:p>
    <w:p>
      <w:pPr>
        <w:ind w:right="100" w:firstLine="459"/>
        <w:spacing w:after="0" w:line="279" w:lineRule="auto"/>
        <w:rPr>
          <w:sz w:val="20"/>
          <w:szCs w:val="20"/>
          <w:color w:val="auto"/>
        </w:rPr>
      </w:pPr>
      <w:r>
        <w:rPr>
          <w:rFonts w:ascii="Arial" w:cs="Arial" w:eastAsia="Arial" w:hAnsi="Arial"/>
          <w:sz w:val="17"/>
          <w:szCs w:val="17"/>
          <w:color w:val="auto"/>
        </w:rPr>
        <w:t>Our accumulated other comprehensive loss decreased $6.5 million from $371.2 million at December 31, 2018 to $364.8 million at June 30, 2019, as a result of foreign currency exchange rate fluctuations. Changes in other comprehensive loss during the first six months of 2019 were primarily driven by the Canadian dollar increasing in value compared to the U.S. dollar. Excluding intercompany balances, our Canadian dollar and Australian dollar functional currency net assets totaled approximately C$0.3 billion and A$0.4 billion, respectively, at June 30,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229" w:lineRule="exact"/>
        <w:rPr>
          <w:sz w:val="20"/>
          <w:szCs w:val="20"/>
          <w:color w:val="auto"/>
        </w:rPr>
      </w:pPr>
    </w:p>
    <w:p>
      <w:pPr>
        <w:ind w:firstLine="459"/>
        <w:spacing w:after="0" w:line="264" w:lineRule="auto"/>
        <w:rPr>
          <w:sz w:val="20"/>
          <w:szCs w:val="20"/>
          <w:color w:val="auto"/>
        </w:rPr>
      </w:pPr>
      <w:r>
        <w:rPr>
          <w:rFonts w:ascii="Arial" w:cs="Arial" w:eastAsia="Arial" w:hAnsi="Arial"/>
          <w:sz w:val="18"/>
          <w:szCs w:val="18"/>
          <w:color w:val="auto"/>
        </w:rPr>
        <w:t>We have operating leases covering certain land locations and various office facilities and equipment in our three reportable business segments. Our leases have remaining lease terms of one year to nine years, some of which include options to extend the leases for up to 10 years, and some of which include options to terminate the leases within 90 days.</w:t>
      </w:r>
    </w:p>
    <w:p>
      <w:pPr>
        <w:spacing w:after="0" w:line="181" w:lineRule="exact"/>
        <w:rPr>
          <w:sz w:val="20"/>
          <w:szCs w:val="20"/>
          <w:color w:val="auto"/>
        </w:rPr>
      </w:pPr>
    </w:p>
    <w:p>
      <w:pPr>
        <w:ind w:right="60" w:firstLine="459"/>
        <w:spacing w:after="0" w:line="297" w:lineRule="auto"/>
        <w:rPr>
          <w:sz w:val="20"/>
          <w:szCs w:val="20"/>
          <w:color w:val="auto"/>
        </w:rPr>
      </w:pPr>
      <w:r>
        <w:rPr>
          <w:rFonts w:ascii="Arial" w:cs="Arial" w:eastAsia="Arial" w:hAnsi="Arial"/>
          <w:sz w:val="16"/>
          <w:szCs w:val="16"/>
          <w:color w:val="auto"/>
        </w:rPr>
        <w:t>The components of lease expense were $1.7 million and $1.6 million under operating leases during the three month periods ended June 30, 2019 and 2018, respectively. The components of lease expense were $3.3 million and $2.8 million under operating leases during the six month periods ended June 30, 2019 and 2018, respectively. Included in the measurement of lease liabilities, we paid $1.7 million and $3.1 million in cash related to operating leases during the three and six month periods ended June 30, 2019, respectively. Right-of-use assets obtained in exchange for new lease obligations related to operating leases during the three and six months ended June 30, 2019 were $1.3 million and $3.0 million, respectively.</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121" w:right="299" w:bottom="1440" w:gutter="0" w:footer="0" w:header="0"/>
        </w:sectPr>
      </w:pPr>
    </w:p>
    <w:bookmarkStart w:id="18" w:name="page19"/>
    <w:bookmarkEnd w:id="18"/>
    <w:p>
      <w:pPr>
        <w:jc w:val="center"/>
        <w:ind w:left="2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6620" w:type="dxa"/>
            <w:vAlign w:val="bottom"/>
          </w:tcPr>
          <w:p>
            <w:pPr>
              <w:jc w:val="center"/>
              <w:ind w:left="2038"/>
              <w:spacing w:after="0"/>
              <w:rPr>
                <w:sz w:val="20"/>
                <w:szCs w:val="20"/>
                <w:color w:val="auto"/>
              </w:rPr>
            </w:pPr>
            <w:r>
              <w:rPr>
                <w:rFonts w:ascii="Arial" w:cs="Arial" w:eastAsia="Arial" w:hAnsi="Arial"/>
                <w:sz w:val="18"/>
                <w:szCs w:val="18"/>
                <w:b w:val="1"/>
                <w:bCs w:val="1"/>
                <w:color w:val="auto"/>
              </w:rPr>
              <w:t>NOTES TO UNAUDITED CONSOLIDATED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620" w:type="dxa"/>
            <w:vAlign w:val="bottom"/>
          </w:tcPr>
          <w:p>
            <w:pPr>
              <w:jc w:val="center"/>
              <w:ind w:left="2018"/>
              <w:spacing w:after="0"/>
              <w:rPr>
                <w:sz w:val="20"/>
                <w:szCs w:val="20"/>
                <w:color w:val="auto"/>
              </w:rPr>
            </w:pPr>
            <w:r>
              <w:rPr>
                <w:rFonts w:ascii="Arial" w:cs="Arial" w:eastAsia="Arial" w:hAnsi="Arial"/>
                <w:sz w:val="18"/>
                <w:szCs w:val="18"/>
                <w:b w:val="1"/>
                <w:bCs w:val="1"/>
                <w:color w:val="auto"/>
              </w:rPr>
              <w:t>FINANCIAL STATEMENTS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6620" w:type="dxa"/>
            <w:vAlign w:val="bottom"/>
          </w:tcPr>
          <w:p>
            <w:pPr>
              <w:jc w:val="center"/>
              <w:ind w:left="2018"/>
              <w:spacing w:after="0"/>
              <w:rPr>
                <w:sz w:val="20"/>
                <w:szCs w:val="20"/>
                <w:color w:val="auto"/>
              </w:rPr>
            </w:pPr>
            <w:r>
              <w:rPr>
                <w:rFonts w:ascii="Arial" w:cs="Arial" w:eastAsia="Arial" w:hAnsi="Arial"/>
                <w:sz w:val="18"/>
                <w:szCs w:val="18"/>
                <w:b w:val="1"/>
                <w:bCs w:val="1"/>
                <w:color w:val="auto"/>
                <w:w w:val="91"/>
              </w:rPr>
              <w:t>(Continued)</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675"/>
        </w:trPr>
        <w:tc>
          <w:tcPr>
            <w:tcW w:w="758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were as follows (in thousands):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575"/>
        </w:trPr>
        <w:tc>
          <w:tcPr>
            <w:tcW w:w="9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jc w:val="right"/>
              <w:ind w:right="433"/>
              <w:spacing w:after="0"/>
              <w:rPr>
                <w:sz w:val="20"/>
                <w:szCs w:val="20"/>
                <w:color w:val="auto"/>
              </w:rPr>
            </w:pPr>
            <w:r>
              <w:rPr>
                <w:rFonts w:ascii="Arial" w:cs="Arial" w:eastAsia="Arial" w:hAnsi="Arial"/>
                <w:sz w:val="16"/>
                <w:szCs w:val="16"/>
                <w:b w:val="1"/>
                <w:bCs w:val="1"/>
                <w:color w:val="auto"/>
              </w:rPr>
              <w:t>June 30, 2019</w:t>
            </w:r>
          </w:p>
        </w:tc>
      </w:tr>
      <w:tr>
        <w:trPr>
          <w:trHeight w:val="33"/>
        </w:trPr>
        <w:tc>
          <w:tcPr>
            <w:tcW w:w="960" w:type="dxa"/>
            <w:vAlign w:val="bottom"/>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96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24"/>
        </w:trPr>
        <w:tc>
          <w:tcPr>
            <w:tcW w:w="96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73"/>
              <w:spacing w:after="0"/>
              <w:rPr>
                <w:sz w:val="20"/>
                <w:szCs w:val="20"/>
                <w:color w:val="auto"/>
              </w:rPr>
            </w:pPr>
            <w:r>
              <w:rPr>
                <w:rFonts w:ascii="Arial" w:cs="Arial" w:eastAsia="Arial" w:hAnsi="Arial"/>
                <w:sz w:val="16"/>
                <w:szCs w:val="16"/>
                <w:color w:val="auto"/>
              </w:rPr>
              <w:t>22,446</w:t>
            </w:r>
          </w:p>
        </w:tc>
      </w:tr>
      <w:tr>
        <w:trPr>
          <w:trHeight w:val="33"/>
        </w:trPr>
        <w:tc>
          <w:tcPr>
            <w:tcW w:w="9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960" w:type="dxa"/>
            <w:vAlign w:val="bottom"/>
          </w:tcPr>
          <w:p>
            <w:pPr>
              <w:spacing w:after="0"/>
              <w:rPr>
                <w:sz w:val="23"/>
                <w:szCs w:val="23"/>
                <w:color w:val="auto"/>
              </w:rPr>
            </w:pPr>
          </w:p>
        </w:tc>
        <w:tc>
          <w:tcPr>
            <w:tcW w:w="66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24"/>
        </w:trPr>
        <w:tc>
          <w:tcPr>
            <w:tcW w:w="96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73"/>
              <w:spacing w:after="0"/>
              <w:rPr>
                <w:sz w:val="20"/>
                <w:szCs w:val="20"/>
                <w:color w:val="auto"/>
              </w:rPr>
            </w:pPr>
            <w:r>
              <w:rPr>
                <w:rFonts w:ascii="Arial" w:cs="Arial" w:eastAsia="Arial" w:hAnsi="Arial"/>
                <w:sz w:val="16"/>
                <w:szCs w:val="16"/>
                <w:color w:val="auto"/>
              </w:rPr>
              <w:t>5,744</w:t>
            </w:r>
          </w:p>
        </w:tc>
      </w:tr>
      <w:tr>
        <w:trPr>
          <w:trHeight w:val="33"/>
        </w:trPr>
        <w:tc>
          <w:tcPr>
            <w:tcW w:w="9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7"/>
        </w:trPr>
        <w:tc>
          <w:tcPr>
            <w:tcW w:w="960" w:type="dxa"/>
            <w:vAlign w:val="bottom"/>
          </w:tcPr>
          <w:p>
            <w:pPr>
              <w:spacing w:after="0"/>
              <w:rPr>
                <w:sz w:val="22"/>
                <w:szCs w:val="22"/>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6"/>
                <w:szCs w:val="16"/>
                <w:color w:val="auto"/>
              </w:rPr>
              <w:t>17,866</w:t>
            </w:r>
          </w:p>
        </w:tc>
      </w:tr>
      <w:tr>
        <w:trPr>
          <w:trHeight w:val="217"/>
        </w:trPr>
        <w:tc>
          <w:tcPr>
            <w:tcW w:w="96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6"/>
                <w:szCs w:val="16"/>
                <w:color w:val="auto"/>
              </w:rPr>
              <w:t>Total operating lease liabilities</w:t>
            </w:r>
          </w:p>
        </w:tc>
        <w:tc>
          <w:tcPr>
            <w:tcW w:w="3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ind w:right="73"/>
              <w:spacing w:after="0"/>
              <w:rPr>
                <w:sz w:val="20"/>
                <w:szCs w:val="20"/>
                <w:color w:val="auto"/>
              </w:rPr>
            </w:pPr>
            <w:r>
              <w:rPr>
                <w:rFonts w:ascii="Arial" w:cs="Arial" w:eastAsia="Arial" w:hAnsi="Arial"/>
                <w:sz w:val="16"/>
                <w:szCs w:val="16"/>
                <w:color w:val="auto"/>
              </w:rPr>
              <w:t>23,610</w:t>
            </w:r>
          </w:p>
        </w:tc>
      </w:tr>
      <w:tr>
        <w:trPr>
          <w:trHeight w:val="33"/>
        </w:trPr>
        <w:tc>
          <w:tcPr>
            <w:tcW w:w="960" w:type="dxa"/>
            <w:vAlign w:val="bottom"/>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960" w:type="dxa"/>
            <w:vAlign w:val="bottom"/>
          </w:tcPr>
          <w:p>
            <w:pPr>
              <w:spacing w:after="0"/>
              <w:rPr>
                <w:sz w:val="22"/>
                <w:szCs w:val="22"/>
                <w:color w:val="auto"/>
              </w:rPr>
            </w:pPr>
          </w:p>
        </w:tc>
        <w:tc>
          <w:tcPr>
            <w:tcW w:w="66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37"/>
        </w:trPr>
        <w:tc>
          <w:tcPr>
            <w:tcW w:w="96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Weighted average remaining lease term</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9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leases</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5.8 years</w:t>
            </w:r>
          </w:p>
        </w:tc>
      </w:tr>
      <w:tr>
        <w:trPr>
          <w:trHeight w:val="237"/>
        </w:trPr>
        <w:tc>
          <w:tcPr>
            <w:tcW w:w="96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9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960" w:type="dxa"/>
            <w:vAlign w:val="bottom"/>
          </w:tcPr>
          <w:p>
            <w:pPr>
              <w:spacing w:after="0"/>
              <w:rPr>
                <w:sz w:val="20"/>
                <w:szCs w:val="20"/>
                <w:color w:val="auto"/>
              </w:rPr>
            </w:pPr>
          </w:p>
        </w:tc>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leases</w:t>
            </w: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432"/>
        </w:trPr>
        <w:tc>
          <w:tcPr>
            <w:tcW w:w="758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at June 30, 2019, were as follows (in thousands):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588"/>
        </w:trPr>
        <w:tc>
          <w:tcPr>
            <w:tcW w:w="960" w:type="dxa"/>
            <w:vAlign w:val="bottom"/>
          </w:tcPr>
          <w:p>
            <w:pPr>
              <w:spacing w:after="0"/>
              <w:rPr>
                <w:sz w:val="24"/>
                <w:szCs w:val="24"/>
                <w:color w:val="auto"/>
              </w:rPr>
            </w:pPr>
          </w:p>
        </w:tc>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For the years ending December 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3"/>
        </w:trPr>
        <w:tc>
          <w:tcPr>
            <w:tcW w:w="75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r>
      <w:tr>
        <w:trPr>
          <w:trHeight w:val="243"/>
        </w:trPr>
        <w:tc>
          <w:tcPr>
            <w:tcW w:w="7580" w:type="dxa"/>
            <w:vAlign w:val="bottom"/>
            <w:gridSpan w:val="2"/>
          </w:tcPr>
          <w:p>
            <w:pPr>
              <w:ind w:left="980"/>
              <w:spacing w:after="0"/>
              <w:rPr>
                <w:sz w:val="20"/>
                <w:szCs w:val="20"/>
                <w:color w:val="auto"/>
              </w:rPr>
            </w:pPr>
            <w:r>
              <w:rPr>
                <w:rFonts w:ascii="Arial" w:cs="Arial" w:eastAsia="Arial" w:hAnsi="Arial"/>
                <w:sz w:val="16"/>
                <w:szCs w:val="16"/>
                <w:color w:val="auto"/>
              </w:rPr>
              <w:t>2020</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6,314</w:t>
            </w:r>
          </w:p>
        </w:tc>
      </w:tr>
      <w:tr>
        <w:trPr>
          <w:trHeight w:val="27"/>
        </w:trPr>
        <w:tc>
          <w:tcPr>
            <w:tcW w:w="75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4,254</w:t>
            </w:r>
          </w:p>
        </w:tc>
      </w:tr>
      <w:tr>
        <w:trPr>
          <w:trHeight w:val="243"/>
        </w:trPr>
        <w:tc>
          <w:tcPr>
            <w:tcW w:w="7580" w:type="dxa"/>
            <w:vAlign w:val="bottom"/>
            <w:gridSpan w:val="2"/>
          </w:tcPr>
          <w:p>
            <w:pPr>
              <w:ind w:left="980"/>
              <w:spacing w:after="0"/>
              <w:rPr>
                <w:sz w:val="20"/>
                <w:szCs w:val="20"/>
                <w:color w:val="auto"/>
              </w:rPr>
            </w:pPr>
            <w:r>
              <w:rPr>
                <w:rFonts w:ascii="Arial" w:cs="Arial" w:eastAsia="Arial" w:hAnsi="Arial"/>
                <w:sz w:val="16"/>
                <w:szCs w:val="16"/>
                <w:color w:val="auto"/>
              </w:rPr>
              <w:t>2022</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3,160</w:t>
            </w:r>
          </w:p>
        </w:tc>
      </w:tr>
      <w:tr>
        <w:trPr>
          <w:trHeight w:val="27"/>
        </w:trPr>
        <w:tc>
          <w:tcPr>
            <w:tcW w:w="75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r>
      <w:tr>
        <w:trPr>
          <w:trHeight w:val="243"/>
        </w:trPr>
        <w:tc>
          <w:tcPr>
            <w:tcW w:w="96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7,663</w:t>
            </w:r>
          </w:p>
        </w:tc>
      </w:tr>
      <w:tr>
        <w:trPr>
          <w:trHeight w:val="27"/>
        </w:trPr>
        <w:tc>
          <w:tcPr>
            <w:tcW w:w="960" w:type="dxa"/>
            <w:vAlign w:val="bottom"/>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96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lease payments</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27,468</w:t>
            </w:r>
          </w:p>
        </w:tc>
      </w:tr>
      <w:tr>
        <w:trPr>
          <w:trHeight w:val="243"/>
        </w:trPr>
        <w:tc>
          <w:tcPr>
            <w:tcW w:w="96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3,858</w:t>
            </w:r>
          </w:p>
        </w:tc>
      </w:tr>
      <w:tr>
        <w:trPr>
          <w:trHeight w:val="27"/>
        </w:trPr>
        <w:tc>
          <w:tcPr>
            <w:tcW w:w="960" w:type="dxa"/>
            <w:vAlign w:val="bottom"/>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960" w:type="dxa"/>
            <w:vAlign w:val="bottom"/>
          </w:tcPr>
          <w:p>
            <w:pPr>
              <w:spacing w:after="0"/>
              <w:rPr>
                <w:sz w:val="22"/>
                <w:szCs w:val="22"/>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23,610</w:t>
            </w:r>
          </w:p>
        </w:tc>
      </w:tr>
      <w:tr>
        <w:trPr>
          <w:trHeight w:val="20"/>
        </w:trPr>
        <w:tc>
          <w:tcPr>
            <w:tcW w:w="96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 BASED COMPENSATION</w:t>
      </w:r>
    </w:p>
    <w:p>
      <w:pPr>
        <w:spacing w:after="0" w:line="229" w:lineRule="exact"/>
        <w:rPr>
          <w:sz w:val="20"/>
          <w:szCs w:val="20"/>
          <w:color w:val="auto"/>
        </w:rPr>
      </w:pPr>
    </w:p>
    <w:p>
      <w:pPr>
        <w:ind w:right="120" w:firstLine="459"/>
        <w:spacing w:after="0" w:line="302" w:lineRule="auto"/>
        <w:rPr>
          <w:sz w:val="20"/>
          <w:szCs w:val="20"/>
          <w:color w:val="auto"/>
        </w:rPr>
      </w:pPr>
      <w:r>
        <w:rPr>
          <w:rFonts w:ascii="Arial" w:cs="Arial" w:eastAsia="Arial" w:hAnsi="Arial"/>
          <w:sz w:val="16"/>
          <w:szCs w:val="16"/>
          <w:color w:val="auto"/>
        </w:rPr>
        <w:t>Certain key employees and non-employee directors participate in the Amended and Restated 2014 Equity Participation Plan of Civeo Corporation (the Civeo Plan). The Civeo Plan authorizes our Board of Directors and the Compensation Committee of our Board of Directors to approve grants of options, awards of restricted shares, performance awards, phantom share awards and dividend equivalents, awards of deferred shares, and share payments to our employees and non-employee directors. No more than 18.7 million Civeo common shares may be awarded under the Civeo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Awards</w:t>
      </w:r>
    </w:p>
    <w:p>
      <w:pPr>
        <w:spacing w:after="0" w:line="225" w:lineRule="exact"/>
        <w:rPr>
          <w:sz w:val="20"/>
          <w:szCs w:val="20"/>
          <w:color w:val="auto"/>
        </w:rPr>
      </w:pPr>
    </w:p>
    <w:p>
      <w:pPr>
        <w:ind w:right="140" w:firstLine="459"/>
        <w:spacing w:after="0" w:line="277" w:lineRule="auto"/>
        <w:rPr>
          <w:sz w:val="20"/>
          <w:szCs w:val="20"/>
          <w:color w:val="auto"/>
        </w:rPr>
      </w:pPr>
      <w:r>
        <w:rPr>
          <w:rFonts w:ascii="Arial" w:cs="Arial" w:eastAsia="Arial" w:hAnsi="Arial"/>
          <w:sz w:val="18"/>
          <w:szCs w:val="18"/>
          <w:b w:val="1"/>
          <w:bCs w:val="1"/>
          <w:i w:val="1"/>
          <w:iCs w:val="1"/>
          <w:color w:val="auto"/>
        </w:rPr>
        <w:t xml:space="preserve">Options. </w:t>
      </w:r>
      <w:r>
        <w:rPr>
          <w:rFonts w:ascii="Arial" w:cs="Arial" w:eastAsia="Arial" w:hAnsi="Arial"/>
          <w:sz w:val="18"/>
          <w:szCs w:val="18"/>
          <w:color w:val="auto"/>
        </w:rPr>
        <w:t>Compensation expense associated with options recognized in the three and six month periods ended June 30, 2019 and 2018 totaled zero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$0.1 million, respectively. There was no unrecognized compensation cost related to options.</w:t>
      </w:r>
    </w:p>
    <w:p>
      <w:pPr>
        <w:spacing w:after="0" w:line="170" w:lineRule="exact"/>
        <w:rPr>
          <w:sz w:val="20"/>
          <w:szCs w:val="20"/>
          <w:color w:val="auto"/>
        </w:rPr>
      </w:pPr>
    </w:p>
    <w:p>
      <w:pPr>
        <w:jc w:val="both"/>
        <w:ind w:right="180" w:firstLine="459"/>
        <w:spacing w:after="0" w:line="264" w:lineRule="auto"/>
        <w:rPr>
          <w:sz w:val="20"/>
          <w:szCs w:val="20"/>
          <w:color w:val="auto"/>
        </w:rPr>
      </w:pPr>
      <w:r>
        <w:rPr>
          <w:rFonts w:ascii="Arial" w:cs="Arial" w:eastAsia="Arial" w:hAnsi="Arial"/>
          <w:sz w:val="18"/>
          <w:szCs w:val="18"/>
          <w:b w:val="1"/>
          <w:bCs w:val="1"/>
          <w:i w:val="1"/>
          <w:iCs w:val="1"/>
          <w:color w:val="auto"/>
        </w:rPr>
        <w:t xml:space="preserve">Restricted Share / Deferred Share Awards. </w:t>
      </w:r>
      <w:r>
        <w:rPr>
          <w:rFonts w:ascii="Arial" w:cs="Arial" w:eastAsia="Arial" w:hAnsi="Arial"/>
          <w:sz w:val="18"/>
          <w:szCs w:val="18"/>
          <w:color w:val="auto"/>
        </w:rPr>
        <w:t>On February 25, 2019, we granted 1,251,353 restricted share awards and deferred share awards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Civeo Plan, which vest in three equal annual installments beginning on February 25, 2020. On May 16, 2019, we granted 449,100 restricted share awards to our non-employee directors, which vest in their entirety on May 16, 2020.</w:t>
      </w:r>
    </w:p>
    <w:p>
      <w:pPr>
        <w:spacing w:after="0" w:line="181" w:lineRule="exact"/>
        <w:rPr>
          <w:sz w:val="20"/>
          <w:szCs w:val="20"/>
          <w:color w:val="auto"/>
        </w:rPr>
      </w:pPr>
    </w:p>
    <w:p>
      <w:pPr>
        <w:ind w:firstLine="459"/>
        <w:spacing w:after="0" w:line="297" w:lineRule="auto"/>
        <w:rPr>
          <w:sz w:val="20"/>
          <w:szCs w:val="20"/>
          <w:color w:val="auto"/>
        </w:rPr>
      </w:pPr>
      <w:r>
        <w:rPr>
          <w:rFonts w:ascii="Arial" w:cs="Arial" w:eastAsia="Arial" w:hAnsi="Arial"/>
          <w:sz w:val="16"/>
          <w:szCs w:val="16"/>
          <w:color w:val="auto"/>
        </w:rPr>
        <w:t>Compensation expense associated with restricted share awards and deferred share awards recognized in the three months ended June 30, 2019 and 2018 totaled $1.4 million and $1.6 million, respectively. Compensation expense associated with restricted share awards and deferred share awards recognized in the six months ended June 30, 2019 and 2018 totaled $2.8 million and $2.9 million, respectively. The total fair value of restricted share awards and deferred share awards that vested during the three months ended June 30, 2019 and 2018 was $0.4 million and $0.9 million, respectively. The total fair value of restricted share awards and deferred share awards that vested during the six months ended June 30, 2019 and 2018 was $3.9 million and $3.4 million, respectively.</w:t>
      </w:r>
    </w:p>
    <w:p>
      <w:pPr>
        <w:sectPr>
          <w:pgSz w:w="11900" w:h="16838" w:orient="portrait"/>
          <w:cols w:equalWidth="0" w:num="1">
            <w:col w:w="11420"/>
          </w:cols>
          <w:pgMar w:left="240" w:top="121"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19" w:name="page20"/>
    <w:bookmarkEnd w:id="19"/>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firstLine="459"/>
        <w:spacing w:after="0" w:line="277" w:lineRule="auto"/>
        <w:rPr>
          <w:sz w:val="20"/>
          <w:szCs w:val="20"/>
          <w:color w:val="auto"/>
        </w:rPr>
      </w:pPr>
      <w:r>
        <w:rPr>
          <w:rFonts w:ascii="Arial" w:cs="Arial" w:eastAsia="Arial" w:hAnsi="Arial"/>
          <w:sz w:val="18"/>
          <w:szCs w:val="18"/>
          <w:color w:val="auto"/>
        </w:rPr>
        <w:t>At June 30, 2019, unrecognized compensation cost related to restricted share awards and deferred share awards was $8.3 million, which is expected to be recognized over a weighted average period of 1.8 years.</w:t>
      </w:r>
    </w:p>
    <w:p>
      <w:pPr>
        <w:spacing w:after="0" w:line="170" w:lineRule="exact"/>
        <w:rPr>
          <w:sz w:val="20"/>
          <w:szCs w:val="20"/>
          <w:color w:val="auto"/>
        </w:rPr>
      </w:pPr>
    </w:p>
    <w:p>
      <w:pPr>
        <w:jc w:val="both"/>
        <w:ind w:right="200" w:firstLine="459"/>
        <w:spacing w:after="0" w:line="264" w:lineRule="auto"/>
        <w:rPr>
          <w:sz w:val="20"/>
          <w:szCs w:val="20"/>
          <w:color w:val="auto"/>
        </w:rPr>
      </w:pPr>
      <w:r>
        <w:rPr>
          <w:rFonts w:ascii="Arial" w:cs="Arial" w:eastAsia="Arial" w:hAnsi="Arial"/>
          <w:sz w:val="18"/>
          <w:szCs w:val="18"/>
          <w:b w:val="1"/>
          <w:bCs w:val="1"/>
          <w:i w:val="1"/>
          <w:iCs w:val="1"/>
          <w:color w:val="auto"/>
        </w:rPr>
        <w:t xml:space="preserve">Phantom Share Awards. </w:t>
      </w:r>
      <w:r>
        <w:rPr>
          <w:rFonts w:ascii="Arial" w:cs="Arial" w:eastAsia="Arial" w:hAnsi="Arial"/>
          <w:sz w:val="18"/>
          <w:szCs w:val="18"/>
          <w:color w:val="auto"/>
        </w:rPr>
        <w:t>On February 25, 2019, we granted 1,144,407 phantom share awards under the Civeo Plan, which vest in three equal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installments beginning on February 25, 2020. We also granted 270,870 phantom share awards under the Canadian Long-Term Incentive Plan, which vest in three equal annual installments beginning on February 25, 2020.</w:t>
      </w:r>
    </w:p>
    <w:p>
      <w:pPr>
        <w:spacing w:after="0" w:line="181" w:lineRule="exact"/>
        <w:rPr>
          <w:sz w:val="20"/>
          <w:szCs w:val="20"/>
          <w:color w:val="auto"/>
        </w:rPr>
      </w:pPr>
    </w:p>
    <w:p>
      <w:pPr>
        <w:ind w:firstLine="459"/>
        <w:spacing w:after="0" w:line="279" w:lineRule="auto"/>
        <w:rPr>
          <w:sz w:val="20"/>
          <w:szCs w:val="20"/>
          <w:color w:val="auto"/>
        </w:rPr>
      </w:pPr>
      <w:r>
        <w:rPr>
          <w:rFonts w:ascii="Arial" w:cs="Arial" w:eastAsia="Arial" w:hAnsi="Arial"/>
          <w:sz w:val="17"/>
          <w:szCs w:val="17"/>
          <w:color w:val="auto"/>
        </w:rPr>
        <w:t>During the three months ended June 30, 2019 and 2018, we recognized compensation expense associated with phantom shares totaling $0.3 million and $2.6 million, respectively. During the six months ended June 30, 2019 and 2018, we recognized compensation expense associated with phantom shares totaling $3.4 million and $6.0 million, respectively. At June 30, 2019, unrecognized compensation cost related to phantom shares was $2.4 million, as remeasured at June 30, 2019, which is expected to be recognized over a weighted average period of 2.5 years.</w:t>
      </w:r>
    </w:p>
    <w:p>
      <w:pPr>
        <w:spacing w:after="0" w:line="171" w:lineRule="exact"/>
        <w:rPr>
          <w:sz w:val="20"/>
          <w:szCs w:val="20"/>
          <w:color w:val="auto"/>
        </w:rPr>
      </w:pPr>
    </w:p>
    <w:p>
      <w:pPr>
        <w:ind w:right="160" w:firstLine="459"/>
        <w:spacing w:after="0" w:line="286" w:lineRule="auto"/>
        <w:rPr>
          <w:sz w:val="20"/>
          <w:szCs w:val="20"/>
          <w:color w:val="auto"/>
        </w:rPr>
      </w:pPr>
      <w:r>
        <w:rPr>
          <w:rFonts w:ascii="Arial" w:cs="Arial" w:eastAsia="Arial" w:hAnsi="Arial"/>
          <w:sz w:val="17"/>
          <w:szCs w:val="17"/>
          <w:b w:val="1"/>
          <w:bCs w:val="1"/>
          <w:i w:val="1"/>
          <w:iCs w:val="1"/>
          <w:color w:val="auto"/>
        </w:rPr>
        <w:t xml:space="preserve">Performance Awards. </w:t>
      </w:r>
      <w:r>
        <w:rPr>
          <w:rFonts w:ascii="Arial" w:cs="Arial" w:eastAsia="Arial" w:hAnsi="Arial"/>
          <w:sz w:val="17"/>
          <w:szCs w:val="17"/>
          <w:color w:val="auto"/>
        </w:rPr>
        <w:t>On February 25, 2019, we granted 1,184,599 performance awards under the Civeo Plan, which cliff vest in three years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February 25, 2022. These awards will be earned in amounts between 0% and 200% of the participant’s target performance share award, based on the payout percentage associated with Civeo’s relative total shareholder return rank among a peer group that includes 17 other companies.</w:t>
      </w:r>
    </w:p>
    <w:p>
      <w:pPr>
        <w:spacing w:after="0" w:line="166" w:lineRule="exact"/>
        <w:rPr>
          <w:sz w:val="20"/>
          <w:szCs w:val="20"/>
          <w:color w:val="auto"/>
        </w:rPr>
      </w:pPr>
    </w:p>
    <w:p>
      <w:pPr>
        <w:ind w:right="80" w:firstLine="459"/>
        <w:spacing w:after="0" w:line="259" w:lineRule="auto"/>
        <w:rPr>
          <w:sz w:val="20"/>
          <w:szCs w:val="20"/>
          <w:color w:val="auto"/>
        </w:rPr>
      </w:pPr>
      <w:r>
        <w:rPr>
          <w:rFonts w:ascii="Arial" w:cs="Arial" w:eastAsia="Arial" w:hAnsi="Arial"/>
          <w:sz w:val="18"/>
          <w:szCs w:val="18"/>
          <w:color w:val="auto"/>
        </w:rPr>
        <w:t>During the three months ended June 30, 2019 and 2018, we recognized compensation expense associated with performance awards totaling $1.1 million and $1.2 million, respectively. During the six months ended June 30, 2019 and 2018, we recognized compensation expense associated with performance awards totaling $2.2 million and $2.2 million, respectively. The total fair value of performance share awards that vested during the three and six months ended June 30, 2019 was $10.1 million.</w:t>
      </w:r>
    </w:p>
    <w:p>
      <w:pPr>
        <w:spacing w:after="0" w:line="187" w:lineRule="exact"/>
        <w:rPr>
          <w:sz w:val="20"/>
          <w:szCs w:val="20"/>
          <w:color w:val="auto"/>
        </w:rPr>
      </w:pPr>
    </w:p>
    <w:p>
      <w:pPr>
        <w:ind w:right="40" w:firstLine="459"/>
        <w:spacing w:after="0" w:line="277" w:lineRule="auto"/>
        <w:rPr>
          <w:sz w:val="20"/>
          <w:szCs w:val="20"/>
          <w:color w:val="auto"/>
        </w:rPr>
      </w:pPr>
      <w:r>
        <w:rPr>
          <w:rFonts w:ascii="Arial" w:cs="Arial" w:eastAsia="Arial" w:hAnsi="Arial"/>
          <w:sz w:val="18"/>
          <w:szCs w:val="18"/>
          <w:color w:val="auto"/>
        </w:rPr>
        <w:t>At June 30, 2019, unrecognized compensation cost related to performance shares was $7.2 million, which is expected to be recognized over a weighted average period of 2.1 years.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0" w:name="page21"/>
    <w:bookmarkEnd w:id="20"/>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AND RELATED INFORMATION</w:t>
      </w:r>
    </w:p>
    <w:p>
      <w:pPr>
        <w:spacing w:after="0" w:line="229"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In accordance with current accounting standards regarding disclosures about segments of an enterprise and related information, we have identified the following reportable segments: Canada, Australia and U.S., which represent our strategic focus on hospitality services.</w:t>
      </w:r>
    </w:p>
    <w:p>
      <w:pPr>
        <w:spacing w:after="0" w:line="170" w:lineRule="exact"/>
        <w:rPr>
          <w:sz w:val="20"/>
          <w:szCs w:val="20"/>
          <w:color w:val="auto"/>
        </w:rPr>
      </w:pPr>
    </w:p>
    <w:p>
      <w:pPr>
        <w:ind w:right="500" w:firstLine="459"/>
        <w:spacing w:after="0" w:line="277" w:lineRule="auto"/>
        <w:rPr>
          <w:sz w:val="20"/>
          <w:szCs w:val="20"/>
          <w:color w:val="auto"/>
        </w:rPr>
      </w:pPr>
      <w:r>
        <w:rPr>
          <w:rFonts w:ascii="Arial" w:cs="Arial" w:eastAsia="Arial" w:hAnsi="Arial"/>
          <w:sz w:val="18"/>
          <w:szCs w:val="18"/>
          <w:color w:val="auto"/>
        </w:rPr>
        <w:t>Financial information by business segment for each of the three months ended June 30, 2019 and 2018 is summarized in the following table (in thousands):</w:t>
      </w:r>
    </w:p>
    <w:p>
      <w:pPr>
        <w:spacing w:after="0" w:line="333"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Depreciation</w:t>
            </w: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Operating</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and</w:t>
            </w: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income</w:t>
            </w: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Capital</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0"/>
        </w:trPr>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Revenues</w:t>
            </w: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amortization</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(loss)</w:t>
            </w: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expenditures</w:t>
            </w:r>
          </w:p>
        </w:tc>
        <w:tc>
          <w:tcPr>
            <w:tcW w:w="240" w:type="dxa"/>
            <w:vAlign w:val="bottom"/>
          </w:tcPr>
          <w:p>
            <w:pPr>
              <w:spacing w:after="0"/>
              <w:rPr>
                <w:sz w:val="18"/>
                <w:szCs w:val="18"/>
                <w:color w:val="auto"/>
              </w:rPr>
            </w:pPr>
          </w:p>
        </w:tc>
        <w:tc>
          <w:tcPr>
            <w:tcW w:w="1280" w:type="dxa"/>
            <w:vAlign w:val="bottom"/>
          </w:tcPr>
          <w:p>
            <w:pPr>
              <w:jc w:val="right"/>
              <w:ind w:right="279"/>
              <w:spacing w:after="0"/>
              <w:rPr>
                <w:sz w:val="20"/>
                <w:szCs w:val="20"/>
                <w:color w:val="auto"/>
              </w:rPr>
            </w:pPr>
            <w:r>
              <w:rPr>
                <w:rFonts w:ascii="Arial" w:cs="Arial" w:eastAsia="Arial" w:hAnsi="Arial"/>
                <w:sz w:val="16"/>
                <w:szCs w:val="16"/>
                <w:b w:val="1"/>
                <w:bCs w:val="1"/>
                <w:color w:val="auto"/>
                <w:w w:val="97"/>
              </w:rPr>
              <w:t>Total assets</w:t>
            </w:r>
          </w:p>
        </w:tc>
      </w:tr>
      <w:tr>
        <w:trPr>
          <w:trHeight w:val="33"/>
        </w:trPr>
        <w:tc>
          <w:tcPr>
            <w:tcW w:w="2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2"/>
              </w:rPr>
              <w:t>Three months ended June 30,</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3"/>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37"/>
        </w:trPr>
        <w:tc>
          <w:tcPr>
            <w:tcW w:w="2120" w:type="dxa"/>
            <w:vAlign w:val="bottom"/>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78,102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16,127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(5,761)</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9,379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842,551</w:t>
            </w:r>
          </w:p>
        </w:tc>
      </w:tr>
      <w:tr>
        <w:trPr>
          <w:trHeight w:val="33"/>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276,525</w:t>
            </w:r>
          </w:p>
        </w:tc>
      </w:tr>
      <w:tr>
        <w:trPr>
          <w:trHeight w:val="237"/>
        </w:trPr>
        <w:tc>
          <w:tcPr>
            <w:tcW w:w="212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13,055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57,570</w:t>
            </w:r>
          </w:p>
        </w:tc>
      </w:tr>
      <w:tr>
        <w:trPr>
          <w:trHeight w:val="33"/>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(156,241)</w:t>
            </w:r>
          </w:p>
        </w:tc>
      </w:tr>
      <w:tr>
        <w:trPr>
          <w:trHeight w:val="284"/>
        </w:trPr>
        <w:tc>
          <w:tcPr>
            <w:tcW w:w="21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122,153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30,996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(12,056)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11,529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1,020,405</w:t>
            </w:r>
          </w:p>
        </w:tc>
      </w:tr>
      <w:tr>
        <w:trPr>
          <w:trHeight w:val="163"/>
        </w:trPr>
        <w:tc>
          <w:tcPr>
            <w:tcW w:w="2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16"/>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w w:val="92"/>
              </w:rPr>
              <w:t>Three months ended June 30,</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0"/>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860,149</w:t>
            </w:r>
          </w:p>
        </w:tc>
      </w:tr>
      <w:tr>
        <w:trPr>
          <w:trHeight w:val="237"/>
        </w:trPr>
        <w:tc>
          <w:tcPr>
            <w:tcW w:w="2120" w:type="dxa"/>
            <w:vAlign w:val="bottom"/>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30,577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10,649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314,446</w:t>
            </w:r>
          </w:p>
        </w:tc>
      </w:tr>
      <w:tr>
        <w:trPr>
          <w:trHeight w:val="33"/>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61,243</w:t>
            </w:r>
          </w:p>
        </w:tc>
      </w:tr>
      <w:tr>
        <w:trPr>
          <w:trHeight w:val="237"/>
        </w:trPr>
        <w:tc>
          <w:tcPr>
            <w:tcW w:w="2120" w:type="dxa"/>
            <w:vAlign w:val="bottom"/>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(117,890)</w:t>
            </w:r>
          </w:p>
        </w:tc>
      </w:tr>
      <w:tr>
        <w:trPr>
          <w:trHeight w:val="33"/>
        </w:trPr>
        <w:tc>
          <w:tcPr>
            <w:tcW w:w="2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1,117,948</w:t>
            </w:r>
          </w:p>
        </w:tc>
      </w:tr>
      <w:tr>
        <w:trPr>
          <w:trHeight w:val="20"/>
        </w:trPr>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3"/>
        </w:trPr>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6"/>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3"/>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37"/>
        </w:trPr>
        <w:tc>
          <w:tcPr>
            <w:tcW w:w="2120" w:type="dxa"/>
            <w:vAlign w:val="bottom"/>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144,872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32,355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(17,356)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16,443</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842,551</w:t>
            </w:r>
          </w:p>
        </w:tc>
      </w:tr>
      <w:tr>
        <w:trPr>
          <w:trHeight w:val="33"/>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276,525</w:t>
            </w:r>
          </w:p>
        </w:tc>
      </w:tr>
      <w:tr>
        <w:trPr>
          <w:trHeight w:val="237"/>
        </w:trPr>
        <w:tc>
          <w:tcPr>
            <w:tcW w:w="212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26,414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2,294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57,570</w:t>
            </w:r>
          </w:p>
        </w:tc>
      </w:tr>
      <w:tr>
        <w:trPr>
          <w:trHeight w:val="33"/>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(156,241)</w:t>
            </w:r>
          </w:p>
        </w:tc>
      </w:tr>
      <w:tr>
        <w:trPr>
          <w:trHeight w:val="284"/>
        </w:trPr>
        <w:tc>
          <w:tcPr>
            <w:tcW w:w="21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230,703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61,778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(29,949)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21,208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1,020,405</w:t>
            </w:r>
          </w:p>
        </w:tc>
      </w:tr>
      <w:tr>
        <w:trPr>
          <w:trHeight w:val="163"/>
        </w:trPr>
        <w:tc>
          <w:tcPr>
            <w:tcW w:w="2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16"/>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Six months ended June 30,</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0"/>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149,908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860,149</w:t>
            </w:r>
          </w:p>
        </w:tc>
      </w:tr>
      <w:tr>
        <w:trPr>
          <w:trHeight w:val="237"/>
        </w:trPr>
        <w:tc>
          <w:tcPr>
            <w:tcW w:w="2120" w:type="dxa"/>
            <w:vAlign w:val="bottom"/>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58,452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21,766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314,446</w:t>
            </w:r>
          </w:p>
        </w:tc>
      </w:tr>
      <w:tr>
        <w:trPr>
          <w:trHeight w:val="33"/>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61,243</w:t>
            </w:r>
          </w:p>
        </w:tc>
      </w:tr>
      <w:tr>
        <w:trPr>
          <w:trHeight w:val="237"/>
        </w:trPr>
        <w:tc>
          <w:tcPr>
            <w:tcW w:w="2120" w:type="dxa"/>
            <w:vAlign w:val="bottom"/>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(117,890)</w:t>
            </w:r>
          </w:p>
        </w:tc>
      </w:tr>
      <w:tr>
        <w:trPr>
          <w:trHeight w:val="33"/>
        </w:trPr>
        <w:tc>
          <w:tcPr>
            <w:tcW w:w="2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231,681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1,117,948</w:t>
            </w:r>
          </w:p>
        </w:tc>
      </w:tr>
      <w:tr>
        <w:trPr>
          <w:trHeight w:val="20"/>
        </w:trPr>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80"/>
          </w:cols>
          <w:pgMar w:left="240" w:top="121" w:right="379" w:bottom="1440" w:gutter="0" w:footer="0" w:header="0"/>
        </w:sectPr>
      </w:pPr>
    </w:p>
    <w:bookmarkStart w:id="21" w:name="page22"/>
    <w:bookmarkEnd w:id="21"/>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ind w:right="20" w:firstLine="459"/>
        <w:spacing w:after="0" w:line="264" w:lineRule="auto"/>
        <w:rPr>
          <w:sz w:val="20"/>
          <w:szCs w:val="20"/>
          <w:color w:val="auto"/>
        </w:rPr>
      </w:pPr>
      <w:r>
        <w:rPr>
          <w:rFonts w:ascii="Arial" w:cs="Arial" w:eastAsia="Arial" w:hAnsi="Arial"/>
          <w:sz w:val="18"/>
          <w:szCs w:val="18"/>
          <w:color w:val="auto"/>
        </w:rPr>
        <w:t>On July 1, 2019, we acquired Action Industrial Catering (Action), located in Perth, Australia. We funded the purchase price of $17.0 million in cash through a combination of cash on hand and borrowings under our Amended Credit Agreement. Action's operations will be reported as part of our Australian reportable business segment starting with the third quarter of 2019.</w:t>
      </w:r>
    </w:p>
    <w:p>
      <w:pPr>
        <w:spacing w:after="0" w:line="181"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This acquisition will be accounted for in accordance with the acquisition method of accounting for business combinations, which requires us to record the assets acquired and the liabilities assumed at their fair values on the acquisition date.</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80"/>
          </w:cols>
          <w:pgMar w:left="240" w:top="121" w:right="379" w:bottom="1440" w:gutter="0" w:footer="0" w:header="0"/>
        </w:sectPr>
      </w:pPr>
    </w:p>
    <w:bookmarkStart w:id="22" w:name="page23"/>
    <w:bookmarkEnd w:id="22"/>
    <w:p>
      <w:pPr>
        <w:jc w:val="center"/>
        <w:ind w:right="-1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factors expected to impact supply and demand, as well as our expectations about capital expenditures in 2019 and beliefs with respect to liquidity needs. Actual results could differ materially from those projected in the forward-looking statements as a result of a number of important factors. For a discussion of known material factors that could affect our results, please refer to “Risk Factors,” “Forward-Looking Statements,” and “Management’s Discussion and Analysis of Financial Condition and Results of Operations” included in our Annual Report on Form 10-K for the year ended December 31, 2018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60" w:firstLine="459"/>
        <w:spacing w:after="0" w:line="277" w:lineRule="auto"/>
        <w:rPr>
          <w:sz w:val="20"/>
          <w:szCs w:val="20"/>
          <w:color w:val="auto"/>
        </w:rPr>
      </w:pPr>
      <w:r>
        <w:rPr>
          <w:rFonts w:ascii="Arial" w:cs="Arial" w:eastAsia="Arial" w:hAnsi="Arial"/>
          <w:sz w:val="18"/>
          <w:szCs w:val="18"/>
          <w:color w:val="auto"/>
        </w:rPr>
        <w:t>You should read the following discussion and analysis together with our consolidated financial statements and the notes to those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29" w:lineRule="exact"/>
        <w:rPr>
          <w:sz w:val="20"/>
          <w:szCs w:val="20"/>
          <w:color w:val="auto"/>
        </w:rPr>
      </w:pPr>
    </w:p>
    <w:p>
      <w:pPr>
        <w:ind w:right="40" w:firstLine="459"/>
        <w:spacing w:after="0" w:line="291" w:lineRule="auto"/>
        <w:rPr>
          <w:sz w:val="20"/>
          <w:szCs w:val="20"/>
          <w:color w:val="auto"/>
        </w:rPr>
      </w:pPr>
      <w:r>
        <w:rPr>
          <w:rFonts w:ascii="Arial" w:cs="Arial" w:eastAsia="Arial" w:hAnsi="Arial"/>
          <w:sz w:val="16"/>
          <w:szCs w:val="16"/>
          <w:color w:val="auto"/>
        </w:rPr>
        <w:t>We provide hospitality services to the natural resources industry in Canada, Australia and the U.S. Demand for our services can be attributed to two phases of our customers’ projects: (1) the development or construction phase; and (2) the operations or production phase. Historically, initial demand for our hospitality services has been driven by our customers’ capital spending programs related to the construction and development of oil sands and coal mines and associated infrastructure, as well as the exploration for oil and natural gas. Long-term demand for our services has been driven by continued development and expansion of natural resource production and operation of oil sands and mining facilities. In general, industry capital spending programs are based on the outlook for commodity prices, economic growth, global commodity supply/demand dynamics and estimates of resource production. As a result, demand for our hospitality services is largely sensitive to expected commodity prices, principally related to crude oil and metallurgical (met) coal.</w:t>
      </w:r>
    </w:p>
    <w:p>
      <w:pPr>
        <w:spacing w:after="0" w:line="167" w:lineRule="exact"/>
        <w:rPr>
          <w:sz w:val="20"/>
          <w:szCs w:val="20"/>
          <w:color w:val="auto"/>
        </w:rPr>
      </w:pPr>
    </w:p>
    <w:p>
      <w:pPr>
        <w:ind w:right="60" w:firstLine="459"/>
        <w:spacing w:after="0" w:line="257" w:lineRule="auto"/>
        <w:rPr>
          <w:sz w:val="20"/>
          <w:szCs w:val="20"/>
          <w:color w:val="auto"/>
        </w:rPr>
      </w:pPr>
      <w:r>
        <w:rPr>
          <w:rFonts w:ascii="Arial" w:cs="Arial" w:eastAsia="Arial" w:hAnsi="Arial"/>
          <w:sz w:val="18"/>
          <w:szCs w:val="18"/>
          <w:color w:val="auto"/>
        </w:rPr>
        <w:t>In Canada, Western Canadian Select (WCS) crude is the benchmark price for our oil sands customers. Pricing for WCS is driven by several factors, including the underlying price for West Texas Intermediate (WTI) crude, the availability of transportation infrastructure and recent actions by the Alberta provincial government to limit oil production from the province. Historically, WCS has traded at a discount to WTI, creating a “WCS Differential,” due to transportation costs and limited capacity to move Canadian heavy oil production to refineries, primarily along the U.S. Gulf Coast. The WCS Differential has varied depending on the extent of transportation capacity availability.</w:t>
      </w:r>
    </w:p>
    <w:p>
      <w:pPr>
        <w:spacing w:after="0" w:line="188" w:lineRule="exact"/>
        <w:rPr>
          <w:sz w:val="20"/>
          <w:szCs w:val="20"/>
          <w:color w:val="auto"/>
        </w:rPr>
      </w:pPr>
    </w:p>
    <w:p>
      <w:pPr>
        <w:jc w:val="both"/>
        <w:ind w:right="160" w:firstLine="459"/>
        <w:spacing w:after="0" w:line="259" w:lineRule="auto"/>
        <w:rPr>
          <w:sz w:val="20"/>
          <w:szCs w:val="20"/>
          <w:color w:val="auto"/>
        </w:rPr>
      </w:pPr>
      <w:r>
        <w:rPr>
          <w:rFonts w:ascii="Arial" w:cs="Arial" w:eastAsia="Arial" w:hAnsi="Arial"/>
          <w:sz w:val="18"/>
          <w:szCs w:val="18"/>
          <w:color w:val="auto"/>
        </w:rPr>
        <w:t>During the first quarter of 2016, global oil prices dropped to their lowest levels in over ten years due to concerns over global oil demand, global crude inventory levels, worldwide economic growth and price cutting by major oil producing countries, such as Saudi Arabia. Increasing global supply, including increased U.S. shale oil production, also negatively impacted pricing. Although prices began to increase in 2016 and continued to increase through the third quarter of 2018 due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ind w:right="100"/>
        <w:spacing w:after="0" w:line="286" w:lineRule="auto"/>
        <w:rPr>
          <w:sz w:val="20"/>
          <w:szCs w:val="20"/>
          <w:color w:val="auto"/>
        </w:rPr>
      </w:pPr>
      <w:r>
        <w:rPr>
          <w:rFonts w:ascii="Arial" w:cs="Arial" w:eastAsia="Arial" w:hAnsi="Arial"/>
          <w:sz w:val="17"/>
          <w:szCs w:val="17"/>
          <w:color w:val="auto"/>
        </w:rPr>
        <w:t>global oil production cuts rebalancing supply/demand dynamics, oil prices decreased again during the fourth quarter of 2018 as OPEC oil production ramped up once again despite more concerns of decreasing global oil demand. In the first half of 2019, positive oil price trends are primarily related to OPEC oil production falling faster than the markets expected, leading to a more positive oil environment throughout the first half of the year.</w:t>
      </w:r>
    </w:p>
    <w:p>
      <w:pPr>
        <w:spacing w:after="0" w:line="166" w:lineRule="exact"/>
        <w:rPr>
          <w:sz w:val="20"/>
          <w:szCs w:val="20"/>
          <w:color w:val="auto"/>
        </w:rPr>
      </w:pPr>
    </w:p>
    <w:p>
      <w:pPr>
        <w:ind w:right="60" w:firstLine="459"/>
        <w:spacing w:after="0" w:line="297" w:lineRule="auto"/>
        <w:rPr>
          <w:sz w:val="20"/>
          <w:szCs w:val="20"/>
          <w:color w:val="auto"/>
        </w:rPr>
      </w:pPr>
      <w:r>
        <w:rPr>
          <w:rFonts w:ascii="Arial" w:cs="Arial" w:eastAsia="Arial" w:hAnsi="Arial"/>
          <w:sz w:val="16"/>
          <w:szCs w:val="16"/>
          <w:color w:val="auto"/>
        </w:rPr>
        <w:t>WCS prices in the second quarter of 2019 averaged $47.39 per barrel compared to a low of $20.26 in the first quarter of 2016 and a high of $49.93 in the second quarter of 2018. The WCS Differential decreased from $15.75 per barrel at the end of the fourth quarter of 2018 to $13.74 at the end of the second quarter 2019. On December 2, 2018, the Government of Alberta announced it would mandate temporary curtailments of the province’s oil production. This curtailment resulted in a narrowing WCS Differential in December 2018, which ended the year at $15.75 per barrel, that has continued into the first half of 2019. As of July 22, 2019, the WTI price was $56.22 and the WCS price was $41.46, resulting in a WCS Differential of $14.76.</w:t>
      </w:r>
    </w:p>
    <w:p>
      <w:pPr>
        <w:spacing w:after="0" w:line="158" w:lineRule="exact"/>
        <w:rPr>
          <w:sz w:val="20"/>
          <w:szCs w:val="20"/>
          <w:color w:val="auto"/>
        </w:rPr>
      </w:pPr>
    </w:p>
    <w:p>
      <w:pPr>
        <w:ind w:right="20" w:firstLine="459"/>
        <w:spacing w:after="0" w:line="290" w:lineRule="auto"/>
        <w:rPr>
          <w:sz w:val="20"/>
          <w:szCs w:val="20"/>
          <w:color w:val="auto"/>
        </w:rPr>
      </w:pPr>
      <w:r>
        <w:rPr>
          <w:rFonts w:ascii="Arial" w:cs="Arial" w:eastAsia="Arial" w:hAnsi="Arial"/>
          <w:sz w:val="16"/>
          <w:szCs w:val="16"/>
          <w:color w:val="auto"/>
        </w:rPr>
        <w:t>There remains a risk that prices for Canadian oil sands crude oil related products could deteriorate for an extended period of time, and the discount between WCS crude prices and WTI crude prices could widen. The depressed price levels through the first quarter of 2016 negatively impacted exploration, development, maintenance and production spending and activity by Canadian operators and, therefore, demand for our hospitality services. Although we have seen an increase in oil prices since late 2016 through the second quarter of 2019, we are not expecting significant improvement in customer activity in the near-term, partially due to the volatility in the WCS Differential discussed above. The current outlook for expansionary projects in Canada is primarily related to proposed pipeline and in-situ oil sands projects. However, continued uncertainty and commodity price volatility and regulatory complications could cause our Canadian oil sands and pipeline customers to delay expansionary and maintenance spending and defer additional investments in their oil sands assets. Additionally, if oil prices decline, the resulting impact could negatively affect the value of our long-lived assets, including goodwill.</w:t>
      </w:r>
    </w:p>
    <w:p>
      <w:pPr>
        <w:spacing w:after="0" w:line="166"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color w:val="auto"/>
        </w:rPr>
        <w:t>Our Sitka Lodge, within our Canadian business, supports the British Columbia liquefied natural gas (LNG) market and related pipeline projects. From a macroeconomic standpoint, global LNG imports set a record in 2018, reaching 308 million tonnes per annum, up from 284 million tonnes per annum in 2017, reinforcing the need for the global LNG industry to expand access to natural gas. Evolving government energy policies around the world have amplified support for cleaner energy supply, creating more opportunities for natural gas and LNG. Accordingly, the current view is additional investment in LNG supply will be needed to meet the expected long-term LNG demand growth.</w:t>
      </w:r>
    </w:p>
    <w:p>
      <w:pPr>
        <w:spacing w:after="0" w:line="188" w:lineRule="exact"/>
        <w:rPr>
          <w:sz w:val="20"/>
          <w:szCs w:val="20"/>
          <w:color w:val="auto"/>
        </w:rPr>
      </w:pPr>
    </w:p>
    <w:p>
      <w:pPr>
        <w:ind w:right="40" w:firstLine="459"/>
        <w:spacing w:after="0" w:line="255" w:lineRule="auto"/>
        <w:rPr>
          <w:sz w:val="20"/>
          <w:szCs w:val="20"/>
          <w:color w:val="auto"/>
        </w:rPr>
      </w:pPr>
      <w:r>
        <w:rPr>
          <w:rFonts w:ascii="Arial" w:cs="Arial" w:eastAsia="Arial" w:hAnsi="Arial"/>
          <w:sz w:val="18"/>
          <w:szCs w:val="18"/>
          <w:color w:val="auto"/>
        </w:rPr>
        <w:t>Currently, Western Canada does not have any operational LNG export facilities. On October 1, 2018, LNG Canada (LNGC), a large LNG export project proposed by a joint venture between Shell Canada Energy, an affiliate of Royal Dutch Shell plc (40 percent), and affiliates of PETRONAS, through its wholly-owned entity, North Montney LNG Limited Partnership (25 percent), PetroChina (15 percent), Korea Gas Corporation (5 percent) and Mitsubishi Corporation (15 percent), announced that a positive final investment decision (FID) had been reached on the proposed Kitimat liquefaction and export facility in Kitimat, British Columbia (Kitimat LNG Facility). With the project moving forward, British Columbia LNG activity and related pipeline projects could become a material driver of future activity for our Sitka Lodge, as well as for our mobile fleet assets, which are well suited for the related pipeline construction activity.</w:t>
      </w:r>
    </w:p>
    <w:p>
      <w:pPr>
        <w:spacing w:after="0" w:line="189" w:lineRule="exact"/>
        <w:rPr>
          <w:sz w:val="20"/>
          <w:szCs w:val="20"/>
          <w:color w:val="auto"/>
        </w:rPr>
      </w:pPr>
    </w:p>
    <w:p>
      <w:pPr>
        <w:ind w:right="100" w:firstLine="459"/>
        <w:spacing w:after="0" w:line="270" w:lineRule="auto"/>
        <w:rPr>
          <w:sz w:val="20"/>
          <w:szCs w:val="20"/>
          <w:color w:val="auto"/>
        </w:rPr>
      </w:pPr>
      <w:r>
        <w:rPr>
          <w:rFonts w:ascii="Arial" w:cs="Arial" w:eastAsia="Arial" w:hAnsi="Arial"/>
          <w:sz w:val="17"/>
          <w:szCs w:val="17"/>
          <w:color w:val="auto"/>
        </w:rPr>
        <w:t>Our U.S. business supports oil shale drilling and completion activity and is primarily tied to WTI oil prices in the U.S. shale formations in West Texas, the mid Continent, the Bakken and the Rockies. With the recovery in oil prices through the third quarter of 2018, coupled with ample capital availability for U.S. E&amp;P companies, oil shale drilling and completion activity in the U.S. significantly increased in 2018. The U.S. oil rig count has increased from its low of 316 rigs in May 2016 to over 885 during 2018, and 793 rigs were active at the end of the second quarter of 2019. Further, this activity in the U.S. increased oil production from an average of 9.3 million barrels per day in 2017 to an average of 11.0 million barrels per day in 2018 and a year-to-date average of 11.9 million barrels per day through April 2019. With the fall in WTI oil prices in the fourth quarter of 2018 and a call by investors for U.S. E&amp;P companies to generate free cash flow, the U.S. rig count has drifted lower. As of July 19, 2019, there were 779 active oil rigs in the U.S. (as measured by Bakerhughes.com). U.S. oil shale drilling and completion activity will continue to be dependent on sustained higher WTI oil prices, pipeline capacity and sufficient capital to support E&amp;P drilling and completion plans.</w:t>
      </w:r>
    </w:p>
    <w:p>
      <w:pPr>
        <w:spacing w:after="0" w:line="182" w:lineRule="exact"/>
        <w:rPr>
          <w:sz w:val="20"/>
          <w:szCs w:val="20"/>
          <w:color w:val="auto"/>
        </w:rPr>
      </w:pPr>
    </w:p>
    <w:p>
      <w:pPr>
        <w:ind w:right="40" w:firstLine="459"/>
        <w:spacing w:after="0" w:line="257" w:lineRule="auto"/>
        <w:rPr>
          <w:sz w:val="20"/>
          <w:szCs w:val="20"/>
          <w:color w:val="auto"/>
        </w:rPr>
      </w:pPr>
      <w:r>
        <w:rPr>
          <w:rFonts w:ascii="Arial" w:cs="Arial" w:eastAsia="Arial" w:hAnsi="Arial"/>
          <w:sz w:val="18"/>
          <w:szCs w:val="18"/>
          <w:color w:val="auto"/>
        </w:rPr>
        <w:t>In Australia, approximately 80% of our rooms are located in the Bowen Basin and primarily serve met coal mines in that region. Met coal pricing and production growth in the Bowen Basin region is predominantly influenced by the levels of global steel production, which increased by 4.9% during the first half of 2019 compared to the first half of 2018. As of July 22, 2019, met coal spot prices were $179.10 per metric tonne. Current met coal pricing levels have not led our customers to approve many significant new projects. We expect that customers will look for a period of sustained higher prices before the volume of</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spacing w:after="0" w:line="264" w:lineRule="auto"/>
        <w:rPr>
          <w:sz w:val="20"/>
          <w:szCs w:val="20"/>
          <w:color w:val="auto"/>
        </w:rPr>
      </w:pPr>
      <w:r>
        <w:rPr>
          <w:rFonts w:ascii="Arial" w:cs="Arial" w:eastAsia="Arial" w:hAnsi="Arial"/>
          <w:sz w:val="18"/>
          <w:szCs w:val="18"/>
          <w:color w:val="auto"/>
        </w:rPr>
        <w:t>new projects being approved increases. Long-term demand for steel is expected to be driven by increased steel consumption per capita in developing economies, such as China and India, whose current consumption per capita is a fraction of developed countries. Our customers continue to actively implement cost, productivity and efficiency measures to further drive down their cost base.</w:t>
      </w:r>
    </w:p>
    <w:p>
      <w:pPr>
        <w:spacing w:after="0" w:line="181" w:lineRule="exact"/>
        <w:rPr>
          <w:sz w:val="20"/>
          <w:szCs w:val="20"/>
          <w:color w:val="auto"/>
        </w:rPr>
      </w:pPr>
    </w:p>
    <w:p>
      <w:pPr>
        <w:ind w:right="20" w:firstLine="459"/>
        <w:spacing w:after="0" w:line="264" w:lineRule="auto"/>
        <w:rPr>
          <w:sz w:val="20"/>
          <w:szCs w:val="20"/>
          <w:color w:val="auto"/>
        </w:rPr>
      </w:pPr>
      <w:r>
        <w:rPr>
          <w:rFonts w:ascii="Arial" w:cs="Arial" w:eastAsia="Arial" w:hAnsi="Arial"/>
          <w:sz w:val="18"/>
          <w:szCs w:val="18"/>
          <w:color w:val="auto"/>
        </w:rPr>
        <w:t>On July 1, 2019, we completed the acquisition of Action Industrial Catering, a provider of catering and managed services to the remote mining industry in Western Australia. The acquisition enhances our service offering, geographic footprint and exposure to new commodities in Australia and underlines our focus on pursuing growth opportunities that fit within our core competencies and strategic direction.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Recent WTI crude, WCS crude and met coal pricing trends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Average Price (1)</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jc w:val="center"/>
              <w:ind w:left="448"/>
              <w:spacing w:after="0"/>
              <w:rPr>
                <w:sz w:val="20"/>
                <w:szCs w:val="20"/>
                <w:color w:val="auto"/>
              </w:rPr>
            </w:pPr>
            <w:r>
              <w:rPr>
                <w:rFonts w:ascii="Arial" w:cs="Arial" w:eastAsia="Arial" w:hAnsi="Arial"/>
                <w:sz w:val="14"/>
                <w:szCs w:val="14"/>
                <w:b w:val="1"/>
                <w:bCs w:val="1"/>
                <w:color w:val="auto"/>
              </w:rPr>
              <w:t>WTI</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WCS</w:t>
            </w:r>
          </w:p>
        </w:tc>
        <w:tc>
          <w:tcPr>
            <w:tcW w:w="300" w:type="dxa"/>
            <w:vAlign w:val="bottom"/>
          </w:tcPr>
          <w:p>
            <w:pPr>
              <w:spacing w:after="0"/>
              <w:rPr>
                <w:sz w:val="13"/>
                <w:szCs w:val="13"/>
                <w:color w:val="auto"/>
              </w:rPr>
            </w:pPr>
          </w:p>
        </w:tc>
        <w:tc>
          <w:tcPr>
            <w:tcW w:w="1460" w:type="dxa"/>
            <w:vAlign w:val="bottom"/>
          </w:tcPr>
          <w:p>
            <w:pPr>
              <w:jc w:val="center"/>
              <w:ind w:right="228"/>
              <w:spacing w:after="0" w:line="153" w:lineRule="exact"/>
              <w:rPr>
                <w:sz w:val="20"/>
                <w:szCs w:val="20"/>
                <w:color w:val="auto"/>
              </w:rPr>
            </w:pPr>
            <w:r>
              <w:rPr>
                <w:rFonts w:ascii="Arial" w:cs="Arial" w:eastAsia="Arial" w:hAnsi="Arial"/>
                <w:sz w:val="14"/>
                <w:szCs w:val="14"/>
                <w:b w:val="1"/>
                <w:bCs w:val="1"/>
                <w:color w:val="auto"/>
              </w:rPr>
              <w:t>Hard</w:t>
            </w: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Quarter</w:t>
            </w:r>
          </w:p>
        </w:tc>
        <w:tc>
          <w:tcPr>
            <w:tcW w:w="12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5"/>
              </w:rPr>
              <w:t>Coking Coal</w:t>
            </w:r>
          </w:p>
        </w:tc>
        <w:tc>
          <w:tcPr>
            <w:tcW w:w="0" w:type="dxa"/>
            <w:vAlign w:val="bottom"/>
          </w:tcPr>
          <w:p>
            <w:pPr>
              <w:spacing w:after="0"/>
              <w:rPr>
                <w:sz w:val="1"/>
                <w:szCs w:val="1"/>
                <w:color w:val="auto"/>
              </w:rPr>
            </w:pPr>
          </w:p>
        </w:tc>
      </w:tr>
      <w:tr>
        <w:trPr>
          <w:trHeight w:val="149"/>
        </w:trPr>
        <w:tc>
          <w:tcPr>
            <w:tcW w:w="3780" w:type="dxa"/>
            <w:vAlign w:val="bottom"/>
            <w:gridSpan w:val="2"/>
            <w:vMerge w:val="continue"/>
          </w:tcPr>
          <w:p>
            <w:pPr>
              <w:spacing w:after="0"/>
              <w:rPr>
                <w:sz w:val="12"/>
                <w:szCs w:val="12"/>
                <w:color w:val="auto"/>
              </w:rPr>
            </w:pPr>
          </w:p>
        </w:tc>
        <w:tc>
          <w:tcPr>
            <w:tcW w:w="126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w w:val="93"/>
              </w:rPr>
              <w:t>Crude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Crude</w:t>
            </w:r>
          </w:p>
        </w:tc>
        <w:tc>
          <w:tcPr>
            <w:tcW w:w="300" w:type="dxa"/>
            <w:vAlign w:val="bottom"/>
          </w:tcPr>
          <w:p>
            <w:pPr>
              <w:spacing w:after="0"/>
              <w:rPr>
                <w:sz w:val="12"/>
                <w:szCs w:val="12"/>
                <w:color w:val="auto"/>
              </w:rPr>
            </w:pPr>
          </w:p>
        </w:tc>
        <w:tc>
          <w:tcPr>
            <w:tcW w:w="146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7"/>
              </w:rPr>
              <w:t>(Met Coal)</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ended</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w w:val="96"/>
              </w:rPr>
              <w:t>(per bbl)</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6"/>
              </w:rPr>
              <w:t>(per bbl)</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2"/>
              </w:rPr>
              <w:t>(per tonne)</w:t>
            </w:r>
          </w:p>
        </w:tc>
        <w:tc>
          <w:tcPr>
            <w:tcW w:w="0" w:type="dxa"/>
            <w:vAlign w:val="bottom"/>
          </w:tcPr>
          <w:p>
            <w:pPr>
              <w:spacing w:after="0"/>
              <w:rPr>
                <w:sz w:val="1"/>
                <w:szCs w:val="1"/>
                <w:color w:val="auto"/>
              </w:rPr>
            </w:pPr>
          </w:p>
        </w:tc>
      </w:tr>
      <w:tr>
        <w:trPr>
          <w:trHeight w:val="256"/>
        </w:trPr>
        <w:tc>
          <w:tcPr>
            <w:tcW w:w="37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Third Quarter through 7/22/2019</w:t>
            </w:r>
          </w:p>
        </w:tc>
        <w:tc>
          <w:tcPr>
            <w:tcW w:w="1260" w:type="dxa"/>
            <w:vAlign w:val="bottom"/>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57.87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45.39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207.00</w:t>
            </w:r>
          </w:p>
        </w:tc>
        <w:tc>
          <w:tcPr>
            <w:tcW w:w="0" w:type="dxa"/>
            <w:vAlign w:val="bottom"/>
          </w:tcPr>
          <w:p>
            <w:pPr>
              <w:spacing w:after="0"/>
              <w:rPr>
                <w:sz w:val="1"/>
                <w:szCs w:val="1"/>
                <w:color w:val="auto"/>
              </w:rPr>
            </w:pPr>
          </w:p>
        </w:tc>
      </w:tr>
      <w:tr>
        <w:trPr>
          <w:trHeight w:val="264"/>
        </w:trPr>
        <w:tc>
          <w:tcPr>
            <w:tcW w:w="3680" w:type="dxa"/>
            <w:vAlign w:val="bottom"/>
          </w:tcPr>
          <w:p>
            <w:pPr>
              <w:jc w:val="center"/>
              <w:spacing w:after="0"/>
              <w:rPr>
                <w:sz w:val="20"/>
                <w:szCs w:val="20"/>
                <w:color w:val="auto"/>
              </w:rPr>
            </w:pPr>
            <w:r>
              <w:rPr>
                <w:rFonts w:ascii="Arial" w:cs="Arial" w:eastAsia="Arial" w:hAnsi="Arial"/>
                <w:sz w:val="14"/>
                <w:szCs w:val="14"/>
                <w:color w:val="auto"/>
                <w:w w:val="93"/>
              </w:rPr>
              <w:t>6/30/2019</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59.89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47.39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207.00</w:t>
            </w:r>
          </w:p>
        </w:tc>
        <w:tc>
          <w:tcPr>
            <w:tcW w:w="0" w:type="dxa"/>
            <w:vAlign w:val="bottom"/>
          </w:tcPr>
          <w:p>
            <w:pPr>
              <w:spacing w:after="0"/>
              <w:rPr>
                <w:sz w:val="1"/>
                <w:szCs w:val="1"/>
                <w:color w:val="auto"/>
              </w:rPr>
            </w:pPr>
          </w:p>
        </w:tc>
      </w:tr>
      <w:tr>
        <w:trPr>
          <w:trHeight w:val="276"/>
        </w:trPr>
        <w:tc>
          <w:tcPr>
            <w:tcW w:w="3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3/31/2019</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54.87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44.49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210.00</w:t>
            </w:r>
          </w:p>
        </w:tc>
        <w:tc>
          <w:tcPr>
            <w:tcW w:w="0" w:type="dxa"/>
            <w:vAlign w:val="bottom"/>
          </w:tcPr>
          <w:p>
            <w:pPr>
              <w:spacing w:after="0"/>
              <w:rPr>
                <w:sz w:val="1"/>
                <w:szCs w:val="1"/>
                <w:color w:val="auto"/>
              </w:rPr>
            </w:pPr>
          </w:p>
        </w:tc>
      </w:tr>
      <w:tr>
        <w:trPr>
          <w:trHeight w:val="264"/>
        </w:trPr>
        <w:tc>
          <w:tcPr>
            <w:tcW w:w="3680" w:type="dxa"/>
            <w:vAlign w:val="bottom"/>
          </w:tcPr>
          <w:p>
            <w:pPr>
              <w:jc w:val="center"/>
              <w:spacing w:after="0"/>
              <w:rPr>
                <w:sz w:val="20"/>
                <w:szCs w:val="20"/>
                <w:color w:val="auto"/>
              </w:rPr>
            </w:pPr>
            <w:r>
              <w:rPr>
                <w:rFonts w:ascii="Arial" w:cs="Arial" w:eastAsia="Arial" w:hAnsi="Arial"/>
                <w:sz w:val="14"/>
                <w:szCs w:val="14"/>
                <w:color w:val="auto"/>
                <w:w w:val="94"/>
              </w:rPr>
              <w:t>12/31/2018</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59.32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25.66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187.00</w:t>
            </w:r>
          </w:p>
        </w:tc>
        <w:tc>
          <w:tcPr>
            <w:tcW w:w="0" w:type="dxa"/>
            <w:vAlign w:val="bottom"/>
          </w:tcPr>
          <w:p>
            <w:pPr>
              <w:spacing w:after="0"/>
              <w:rPr>
                <w:sz w:val="1"/>
                <w:szCs w:val="1"/>
                <w:color w:val="auto"/>
              </w:rPr>
            </w:pPr>
          </w:p>
        </w:tc>
      </w:tr>
      <w:tr>
        <w:trPr>
          <w:trHeight w:val="276"/>
        </w:trPr>
        <w:tc>
          <w:tcPr>
            <w:tcW w:w="3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9/30/2018</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69.61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41.58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196.00</w:t>
            </w:r>
          </w:p>
        </w:tc>
        <w:tc>
          <w:tcPr>
            <w:tcW w:w="0" w:type="dxa"/>
            <w:vAlign w:val="bottom"/>
          </w:tcPr>
          <w:p>
            <w:pPr>
              <w:spacing w:after="0"/>
              <w:rPr>
                <w:sz w:val="1"/>
                <w:szCs w:val="1"/>
                <w:color w:val="auto"/>
              </w:rPr>
            </w:pPr>
          </w:p>
        </w:tc>
      </w:tr>
      <w:tr>
        <w:trPr>
          <w:trHeight w:val="264"/>
        </w:trPr>
        <w:tc>
          <w:tcPr>
            <w:tcW w:w="3680" w:type="dxa"/>
            <w:vAlign w:val="bottom"/>
          </w:tcPr>
          <w:p>
            <w:pPr>
              <w:jc w:val="center"/>
              <w:spacing w:after="0"/>
              <w:rPr>
                <w:sz w:val="20"/>
                <w:szCs w:val="20"/>
                <w:color w:val="auto"/>
              </w:rPr>
            </w:pPr>
            <w:r>
              <w:rPr>
                <w:rFonts w:ascii="Arial" w:cs="Arial" w:eastAsia="Arial" w:hAnsi="Arial"/>
                <w:sz w:val="14"/>
                <w:szCs w:val="14"/>
                <w:color w:val="auto"/>
                <w:w w:val="93"/>
              </w:rPr>
              <w:t>6/30/2018</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67.97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49.93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196.00</w:t>
            </w:r>
          </w:p>
        </w:tc>
        <w:tc>
          <w:tcPr>
            <w:tcW w:w="0" w:type="dxa"/>
            <w:vAlign w:val="bottom"/>
          </w:tcPr>
          <w:p>
            <w:pPr>
              <w:spacing w:after="0"/>
              <w:rPr>
                <w:sz w:val="1"/>
                <w:szCs w:val="1"/>
                <w:color w:val="auto"/>
              </w:rPr>
            </w:pPr>
          </w:p>
        </w:tc>
      </w:tr>
      <w:tr>
        <w:trPr>
          <w:trHeight w:val="276"/>
        </w:trPr>
        <w:tc>
          <w:tcPr>
            <w:tcW w:w="3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3/31/2018</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62.89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37.09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235.00</w:t>
            </w:r>
          </w:p>
        </w:tc>
        <w:tc>
          <w:tcPr>
            <w:tcW w:w="0" w:type="dxa"/>
            <w:vAlign w:val="bottom"/>
          </w:tcPr>
          <w:p>
            <w:pPr>
              <w:spacing w:after="0"/>
              <w:rPr>
                <w:sz w:val="1"/>
                <w:szCs w:val="1"/>
                <w:color w:val="auto"/>
              </w:rPr>
            </w:pPr>
          </w:p>
        </w:tc>
      </w:tr>
      <w:tr>
        <w:trPr>
          <w:trHeight w:val="264"/>
        </w:trPr>
        <w:tc>
          <w:tcPr>
            <w:tcW w:w="3680" w:type="dxa"/>
            <w:vAlign w:val="bottom"/>
          </w:tcPr>
          <w:p>
            <w:pPr>
              <w:jc w:val="center"/>
              <w:spacing w:after="0"/>
              <w:rPr>
                <w:sz w:val="20"/>
                <w:szCs w:val="20"/>
                <w:color w:val="auto"/>
              </w:rPr>
            </w:pPr>
            <w:r>
              <w:rPr>
                <w:rFonts w:ascii="Arial" w:cs="Arial" w:eastAsia="Arial" w:hAnsi="Arial"/>
                <w:sz w:val="14"/>
                <w:szCs w:val="14"/>
                <w:color w:val="auto"/>
                <w:w w:val="94"/>
              </w:rPr>
              <w:t>12/31/2017</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55.28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38.65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192.00</w:t>
            </w:r>
          </w:p>
        </w:tc>
        <w:tc>
          <w:tcPr>
            <w:tcW w:w="0" w:type="dxa"/>
            <w:vAlign w:val="bottom"/>
          </w:tcPr>
          <w:p>
            <w:pPr>
              <w:spacing w:after="0"/>
              <w:rPr>
                <w:sz w:val="1"/>
                <w:szCs w:val="1"/>
                <w:color w:val="auto"/>
              </w:rPr>
            </w:pPr>
          </w:p>
        </w:tc>
      </w:tr>
      <w:tr>
        <w:trPr>
          <w:trHeight w:val="276"/>
        </w:trPr>
        <w:tc>
          <w:tcPr>
            <w:tcW w:w="3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9/30/2017</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48.16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170.00</w:t>
            </w:r>
          </w:p>
        </w:tc>
        <w:tc>
          <w:tcPr>
            <w:tcW w:w="0" w:type="dxa"/>
            <w:vAlign w:val="bottom"/>
          </w:tcPr>
          <w:p>
            <w:pPr>
              <w:spacing w:after="0"/>
              <w:rPr>
                <w:sz w:val="1"/>
                <w:szCs w:val="1"/>
                <w:color w:val="auto"/>
              </w:rPr>
            </w:pPr>
          </w:p>
        </w:tc>
      </w:tr>
      <w:tr>
        <w:trPr>
          <w:trHeight w:val="264"/>
        </w:trPr>
        <w:tc>
          <w:tcPr>
            <w:tcW w:w="3680" w:type="dxa"/>
            <w:vAlign w:val="bottom"/>
          </w:tcPr>
          <w:p>
            <w:pPr>
              <w:jc w:val="center"/>
              <w:spacing w:after="0"/>
              <w:rPr>
                <w:sz w:val="20"/>
                <w:szCs w:val="20"/>
                <w:color w:val="auto"/>
              </w:rPr>
            </w:pPr>
            <w:r>
              <w:rPr>
                <w:rFonts w:ascii="Arial" w:cs="Arial" w:eastAsia="Arial" w:hAnsi="Arial"/>
                <w:sz w:val="14"/>
                <w:szCs w:val="14"/>
                <w:color w:val="auto"/>
                <w:w w:val="93"/>
              </w:rPr>
              <w:t>6/30/2017</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48.11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38.20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193.50</w:t>
            </w:r>
          </w:p>
        </w:tc>
        <w:tc>
          <w:tcPr>
            <w:tcW w:w="0" w:type="dxa"/>
            <w:vAlign w:val="bottom"/>
          </w:tcPr>
          <w:p>
            <w:pPr>
              <w:spacing w:after="0"/>
              <w:rPr>
                <w:sz w:val="1"/>
                <w:szCs w:val="1"/>
                <w:color w:val="auto"/>
              </w:rPr>
            </w:pPr>
          </w:p>
        </w:tc>
      </w:tr>
      <w:tr>
        <w:trPr>
          <w:trHeight w:val="276"/>
        </w:trPr>
        <w:tc>
          <w:tcPr>
            <w:tcW w:w="3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3/31/2017</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38.09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285.00</w:t>
            </w:r>
          </w:p>
        </w:tc>
        <w:tc>
          <w:tcPr>
            <w:tcW w:w="0" w:type="dxa"/>
            <w:vAlign w:val="bottom"/>
          </w:tcPr>
          <w:p>
            <w:pPr>
              <w:spacing w:after="0"/>
              <w:rPr>
                <w:sz w:val="1"/>
                <w:szCs w:val="1"/>
                <w:color w:val="auto"/>
              </w:rPr>
            </w:pPr>
          </w:p>
        </w:tc>
      </w:tr>
      <w:tr>
        <w:trPr>
          <w:trHeight w:val="264"/>
        </w:trPr>
        <w:tc>
          <w:tcPr>
            <w:tcW w:w="3680" w:type="dxa"/>
            <w:vAlign w:val="bottom"/>
          </w:tcPr>
          <w:p>
            <w:pPr>
              <w:jc w:val="center"/>
              <w:spacing w:after="0"/>
              <w:rPr>
                <w:sz w:val="20"/>
                <w:szCs w:val="20"/>
                <w:color w:val="auto"/>
              </w:rPr>
            </w:pPr>
            <w:r>
              <w:rPr>
                <w:rFonts w:ascii="Arial" w:cs="Arial" w:eastAsia="Arial" w:hAnsi="Arial"/>
                <w:sz w:val="14"/>
                <w:szCs w:val="14"/>
                <w:color w:val="auto"/>
                <w:w w:val="94"/>
              </w:rPr>
              <w:t>12/31/2016</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49.16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34.34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276"/>
        </w:trPr>
        <w:tc>
          <w:tcPr>
            <w:tcW w:w="3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9/30/2016</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44.88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30.67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92.50</w:t>
            </w:r>
          </w:p>
        </w:tc>
        <w:tc>
          <w:tcPr>
            <w:tcW w:w="0" w:type="dxa"/>
            <w:vAlign w:val="bottom"/>
          </w:tcPr>
          <w:p>
            <w:pPr>
              <w:spacing w:after="0"/>
              <w:rPr>
                <w:sz w:val="1"/>
                <w:szCs w:val="1"/>
                <w:color w:val="auto"/>
              </w:rPr>
            </w:pPr>
          </w:p>
        </w:tc>
      </w:tr>
      <w:tr>
        <w:trPr>
          <w:trHeight w:val="258"/>
        </w:trPr>
        <w:tc>
          <w:tcPr>
            <w:tcW w:w="3680" w:type="dxa"/>
            <w:vAlign w:val="bottom"/>
          </w:tcPr>
          <w:p>
            <w:pPr>
              <w:jc w:val="center"/>
              <w:spacing w:after="0"/>
              <w:rPr>
                <w:sz w:val="20"/>
                <w:szCs w:val="20"/>
                <w:color w:val="auto"/>
              </w:rPr>
            </w:pPr>
            <w:r>
              <w:rPr>
                <w:rFonts w:ascii="Arial" w:cs="Arial" w:eastAsia="Arial" w:hAnsi="Arial"/>
                <w:sz w:val="14"/>
                <w:szCs w:val="14"/>
                <w:color w:val="auto"/>
                <w:w w:val="93"/>
              </w:rPr>
              <w:t>6/30/2016</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45.53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32.84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84.00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right="8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WTI crude prices are from U.S. Energy Information Administration (EIA), and WCS crude prices and Seaborne hard coking coal contract prices are from Bloomberg.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firstLine="459"/>
        <w:spacing w:after="0" w:line="342" w:lineRule="auto"/>
        <w:rPr>
          <w:sz w:val="20"/>
          <w:szCs w:val="20"/>
          <w:color w:val="auto"/>
        </w:rPr>
      </w:pPr>
      <w:r>
        <w:rPr>
          <w:rFonts w:ascii="Arial" w:cs="Arial" w:eastAsia="Arial" w:hAnsi="Arial"/>
          <w:sz w:val="16"/>
          <w:szCs w:val="16"/>
          <w:color w:val="auto"/>
        </w:rPr>
        <w:t>As noted above, demand for our hospitality services is primarily tied to the outlook for crude oil and met coal prices. Other factors that can affect our business and financial results include the general global economic environment and regulatory changes in Canada, Australia, the U.S. and other markets.</w:t>
      </w:r>
    </w:p>
    <w:p>
      <w:pPr>
        <w:spacing w:after="0" w:line="124" w:lineRule="exact"/>
        <w:rPr>
          <w:sz w:val="20"/>
          <w:szCs w:val="20"/>
          <w:color w:val="auto"/>
        </w:rPr>
      </w:pPr>
    </w:p>
    <w:p>
      <w:pPr>
        <w:ind w:right="80" w:firstLine="459"/>
        <w:spacing w:after="0" w:line="255" w:lineRule="auto"/>
        <w:rPr>
          <w:sz w:val="20"/>
          <w:szCs w:val="20"/>
          <w:color w:val="auto"/>
        </w:rPr>
      </w:pPr>
      <w:r>
        <w:rPr>
          <w:rFonts w:ascii="Arial" w:cs="Arial" w:eastAsia="Arial" w:hAnsi="Arial"/>
          <w:sz w:val="18"/>
          <w:szCs w:val="18"/>
          <w:color w:val="auto"/>
        </w:rPr>
        <w:t>Our business is predominantly located in northern Alberta, Canada and Queensland, Australia, and we derive most of our business from natural resource companies who are developing and producing oil sands and met coal resources and, to a lesser extent, other hydrocarbon and mineral resources. More than 80% of our revenue is generated by our lodges and villages. Where traditional accommodations and infrastructure are insufficient, inaccessible or cost ineffective, our lodge and village facilities provide comprehensive hospitality services similar to those found in an urban hotel. We typically contract our facilities to our customers on a fee-per-day basis that covers lodging and meals and is based on the duration of customer needs, which can range from several weeks to several years.</w:t>
      </w:r>
    </w:p>
    <w:p>
      <w:pPr>
        <w:spacing w:after="0" w:line="193" w:lineRule="exact"/>
        <w:rPr>
          <w:sz w:val="20"/>
          <w:szCs w:val="20"/>
          <w:color w:val="auto"/>
        </w:rPr>
      </w:pPr>
    </w:p>
    <w:p>
      <w:pPr>
        <w:ind w:right="220" w:firstLine="459"/>
        <w:spacing w:after="0" w:line="342" w:lineRule="auto"/>
        <w:rPr>
          <w:sz w:val="20"/>
          <w:szCs w:val="20"/>
          <w:color w:val="auto"/>
        </w:rPr>
      </w:pPr>
      <w:r>
        <w:rPr>
          <w:rFonts w:ascii="Arial" w:cs="Arial" w:eastAsia="Arial" w:hAnsi="Arial"/>
          <w:sz w:val="16"/>
          <w:szCs w:val="16"/>
          <w:color w:val="auto"/>
        </w:rPr>
        <w:t>Generally, our customers are making multi-billion dollar investments to develop their prospects, which have estimated reserve lives ranging from ten years to in excess of 30 years. Consequently, these investments are dependent on those customers’ long-term views of commodity demand and prices.</w:t>
      </w:r>
    </w:p>
    <w:p>
      <w:pPr>
        <w:spacing w:after="0" w:line="124" w:lineRule="exact"/>
        <w:rPr>
          <w:sz w:val="20"/>
          <w:szCs w:val="20"/>
          <w:color w:val="auto"/>
        </w:rPr>
      </w:pPr>
    </w:p>
    <w:p>
      <w:pPr>
        <w:ind w:right="40" w:firstLine="459"/>
        <w:spacing w:after="0" w:line="264" w:lineRule="auto"/>
        <w:rPr>
          <w:sz w:val="20"/>
          <w:szCs w:val="20"/>
          <w:color w:val="auto"/>
        </w:rPr>
      </w:pPr>
      <w:r>
        <w:rPr>
          <w:rFonts w:ascii="Arial" w:cs="Arial" w:eastAsia="Arial" w:hAnsi="Arial"/>
          <w:sz w:val="18"/>
          <w:szCs w:val="18"/>
          <w:color w:val="auto"/>
        </w:rPr>
        <w:t>During the period of low crude oil prices that extended through the first quarter of 2016, many of our customers in Canada curtailed their operations and spending, and most major oil sands mining operators began reducing their costs and limiting capital spending, thereby limiting the demand for hospitality services of the kind we provide.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right="60" w:firstLine="459"/>
        <w:spacing w:after="0" w:line="286" w:lineRule="auto"/>
        <w:rPr>
          <w:sz w:val="20"/>
          <w:szCs w:val="20"/>
          <w:color w:val="auto"/>
        </w:rPr>
      </w:pPr>
      <w:r>
        <w:rPr>
          <w:rFonts w:ascii="Arial" w:cs="Arial" w:eastAsia="Arial" w:hAnsi="Arial"/>
          <w:sz w:val="16"/>
          <w:szCs w:val="16"/>
          <w:color w:val="auto"/>
        </w:rPr>
        <w:t>In the last several years, however, several catalysts have emerged that we believe could have favorable intermediate to long-term implications for our core end markets. Since the announcement by OPEC in late November 2016 to cut production quotas and the subsequent rise in spot oil prices and future oil price expectations, certain operators with steam-assisted gravity drainage operations in the Canadian oil sands increased capital spending in 2017. Despite construction at the Fort Hill Energy LP project ending in early 2018, Canadian oil sands capital spending in 2018 was relatively flat, in the aggregate. OPEC announced additional production cuts in late 2018 in an effort to further support global oil prices. Also on December 2, 2018, the Government of Alberta announced it would mandate temporary curtailments of the province’s oil production, which has helped increase WCS prices. Recent regulatory approvals of several major pipeline projects have the potential to both drive incremental demand for mobile accommodations assets and to improve take-away capacity for Canadian oil sands producers over the longer term. However, these projects have been delayed due to the lack of agreement between the Canadian federal government, which supports the pipeline projects, and the British Columbia provincial government. The Canadian federal government recently acquired Kinder Morgan’s Trans Mountain Pipeline, emphasizing their support for this particular project. Despite some resistance, the federal government approved the expansion of the Trans Mountain Pipeline project on June 18, 2019 and is currently working through the construction timeline. Additionally, we believe that the Keystone XL pipeline in the U.S., if constructed, would be a positive catalyst for Canadian oil sands producers, as it would bolster confidence in future take-away capacity from the region to U.S. Gulf Coast refineries.</w:t>
      </w:r>
    </w:p>
    <w:p>
      <w:pPr>
        <w:spacing w:after="0" w:line="175" w:lineRule="exact"/>
        <w:rPr>
          <w:sz w:val="20"/>
          <w:szCs w:val="20"/>
          <w:color w:val="auto"/>
        </w:rPr>
      </w:pPr>
    </w:p>
    <w:p>
      <w:pPr>
        <w:ind w:right="40" w:firstLine="459"/>
        <w:spacing w:after="0" w:line="264" w:lineRule="auto"/>
        <w:rPr>
          <w:sz w:val="20"/>
          <w:szCs w:val="20"/>
          <w:color w:val="auto"/>
        </w:rPr>
      </w:pPr>
      <w:r>
        <w:rPr>
          <w:rFonts w:ascii="Arial" w:cs="Arial" w:eastAsia="Arial" w:hAnsi="Arial"/>
          <w:sz w:val="18"/>
          <w:szCs w:val="18"/>
          <w:color w:val="auto"/>
        </w:rPr>
        <w:t>In Australia, approximately 80% of our rooms are located in the Bowen Basin and primarily serve met coal mines in that region, where our customers continue to implement operational efficiency measures, in order to drive down their cost base. We believe prices are currently at a level that may contribute to increased activity over the long term if our customers view these price levels as sustainable.</w:t>
      </w:r>
    </w:p>
    <w:p>
      <w:pPr>
        <w:spacing w:after="0" w:line="181" w:lineRule="exact"/>
        <w:rPr>
          <w:sz w:val="20"/>
          <w:szCs w:val="20"/>
          <w:color w:val="auto"/>
        </w:rPr>
      </w:pPr>
    </w:p>
    <w:p>
      <w:pPr>
        <w:ind w:right="260" w:firstLine="459"/>
        <w:spacing w:after="0" w:line="259" w:lineRule="auto"/>
        <w:rPr>
          <w:sz w:val="20"/>
          <w:szCs w:val="20"/>
          <w:color w:val="auto"/>
        </w:rPr>
      </w:pPr>
      <w:r>
        <w:rPr>
          <w:rFonts w:ascii="Arial" w:cs="Arial" w:eastAsia="Arial" w:hAnsi="Arial"/>
          <w:sz w:val="18"/>
          <w:szCs w:val="18"/>
          <w:color w:val="auto"/>
        </w:rPr>
        <w:t>While we believe that these macroeconomic developments are positive for our customers and for the underlying demand for our hospitality services, we do not expect an immediate improvement in our business. Accordingly, we plan to continue focusing on enhancing the quality of our operations, maintaining financial discipline, proactively managing our business as market conditions continue to evolve and integrating the recently acquired Noralta assets into our business.</w:t>
      </w:r>
    </w:p>
    <w:p>
      <w:pPr>
        <w:spacing w:after="0" w:line="187" w:lineRule="exact"/>
        <w:rPr>
          <w:sz w:val="20"/>
          <w:szCs w:val="20"/>
          <w:color w:val="auto"/>
        </w:rPr>
      </w:pPr>
    </w:p>
    <w:p>
      <w:pPr>
        <w:ind w:right="20" w:firstLine="459"/>
        <w:spacing w:after="0" w:line="257" w:lineRule="auto"/>
        <w:rPr>
          <w:sz w:val="20"/>
          <w:szCs w:val="20"/>
          <w:color w:val="auto"/>
        </w:rPr>
      </w:pPr>
      <w:r>
        <w:rPr>
          <w:rFonts w:ascii="Arial" w:cs="Arial" w:eastAsia="Arial" w:hAnsi="Arial"/>
          <w:sz w:val="18"/>
          <w:szCs w:val="18"/>
          <w:color w:val="auto"/>
        </w:rPr>
        <w:t>We began the expansion of our room count in Kitimat, British Columbia during the second half of 2015 to support potential LNG projects on the west coast of British Columbia. We were awarded a contract with LNGC for the provision of open lodge rooms and associated services that ran through October 2017. To support this contract, we developed a new accommodations facility, Sitka Lodge, which includes private washrooms, recreational facilities and other amenities. The lodge had 774 rooms as of the end of 2018, but due to an expansion in the first half of 2019, the lodge currently has 1,076 rooms. The expansion completed in the third quarter of 2019 and resulted in 1,186 available rooms.</w:t>
      </w:r>
    </w:p>
    <w:p>
      <w:pPr>
        <w:spacing w:after="0" w:line="188"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color w:val="auto"/>
        </w:rPr>
        <w:t>As previously discussed, on October 1, 2018, LNGC's participants announced a positive FID on the Kitimat LNG Facility. With the project moving forward, British Columbia LNG activity and related pipeline projects could become a material driver of future activity for our Sitka Lodge, as well as for our mobile camp assets, which are well suited for the related pipeline construction activity. We previously announced contract awards for locations along the CGL pipeline project and room commitments for our Sitka Lodge. The actual timing of when revenue is realized from the CGL pipeline and Sitka Lodge contracts could be impacted by any delays in the construction of the Kitimat LNG Facility.</w:t>
      </w:r>
    </w:p>
    <w:p>
      <w:pPr>
        <w:spacing w:after="0" w:line="188" w:lineRule="exact"/>
        <w:rPr>
          <w:sz w:val="20"/>
          <w:szCs w:val="20"/>
          <w:color w:val="auto"/>
        </w:rPr>
      </w:pPr>
    </w:p>
    <w:p>
      <w:pPr>
        <w:ind w:right="160" w:firstLine="459"/>
        <w:spacing w:after="0" w:line="259" w:lineRule="auto"/>
        <w:rPr>
          <w:sz w:val="20"/>
          <w:szCs w:val="20"/>
          <w:color w:val="auto"/>
        </w:rPr>
      </w:pPr>
      <w:r>
        <w:rPr>
          <w:rFonts w:ascii="Arial" w:cs="Arial" w:eastAsia="Arial" w:hAnsi="Arial"/>
          <w:sz w:val="18"/>
          <w:szCs w:val="18"/>
          <w:color w:val="auto"/>
        </w:rPr>
        <w:t>Exchange rates between the U.S. dollar and each of the Canadian dollar and the Australian dollar influence our U.S. dollar reported financial results. Our business has historically derived the vast majority of its revenues and operating income in Canada and Australia. These revenues and profits / losses are translated into U.S. dollars for U.S. GAAP financial reporting purposes. The following tables summarize the fluctuations in the exchange rates between the U.S. dollar and each of the Canadian dollar and the Australian dollar:</w:t>
      </w:r>
    </w:p>
    <w:p>
      <w:pPr>
        <w:spacing w:after="0" w:line="12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4"/>
          </w:tcPr>
          <w:p>
            <w:pPr>
              <w:jc w:val="center"/>
              <w:ind w:left="12"/>
              <w:spacing w:after="0"/>
              <w:rPr>
                <w:sz w:val="20"/>
                <w:szCs w:val="20"/>
                <w:color w:val="auto"/>
              </w:rPr>
            </w:pPr>
            <w:r>
              <w:rPr>
                <w:rFonts w:ascii="Arial" w:cs="Arial" w:eastAsia="Arial" w:hAnsi="Arial"/>
                <w:sz w:val="18"/>
                <w:szCs w:val="18"/>
                <w:b w:val="1"/>
                <w:bCs w:val="1"/>
                <w:color w:val="auto"/>
                <w:w w:val="92"/>
              </w:rPr>
              <w:t>Three Months Ended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jc w:val="center"/>
              <w:ind w:left="12"/>
              <w:spacing w:after="0"/>
              <w:rPr>
                <w:sz w:val="20"/>
                <w:szCs w:val="20"/>
                <w:color w:val="auto"/>
              </w:rPr>
            </w:pPr>
            <w:r>
              <w:rPr>
                <w:rFonts w:ascii="Arial" w:cs="Arial" w:eastAsia="Arial" w:hAnsi="Arial"/>
                <w:sz w:val="18"/>
                <w:szCs w:val="18"/>
                <w:b w:val="1"/>
                <w:bCs w:val="1"/>
                <w:color w:val="auto"/>
                <w:w w:val="90"/>
              </w:rPr>
              <w:t>Six Months Ended</w:t>
            </w:r>
          </w:p>
        </w:tc>
        <w:tc>
          <w:tcPr>
            <w:tcW w:w="1040" w:type="dxa"/>
            <w:vAlign w:val="bottom"/>
          </w:tcPr>
          <w:p>
            <w:pPr>
              <w:spacing w:after="0"/>
              <w:rPr>
                <w:sz w:val="18"/>
                <w:szCs w:val="18"/>
                <w:color w:val="auto"/>
              </w:rPr>
            </w:pPr>
          </w:p>
        </w:tc>
      </w:tr>
      <w:tr>
        <w:trPr>
          <w:trHeight w:val="234"/>
        </w:trPr>
        <w:tc>
          <w:tcPr>
            <w:tcW w:w="2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4"/>
          </w:tcPr>
          <w:p>
            <w:pPr>
              <w:jc w:val="center"/>
              <w:ind w:left="12"/>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840" w:type="dxa"/>
            <w:vAlign w:val="bottom"/>
          </w:tcPr>
          <w:p>
            <w:pPr>
              <w:jc w:val="right"/>
              <w:ind w:right="1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Percentage</w:t>
            </w:r>
          </w:p>
        </w:tc>
        <w:tc>
          <w:tcPr>
            <w:tcW w:w="840" w:type="dxa"/>
            <w:vAlign w:val="bottom"/>
          </w:tcPr>
          <w:p>
            <w:pPr>
              <w:jc w:val="right"/>
              <w:ind w:right="17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820" w:type="dxa"/>
            <w:vAlign w:val="bottom"/>
          </w:tcPr>
          <w:p>
            <w:pPr>
              <w:jc w:val="right"/>
              <w:ind w:right="15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w:t>
            </w:r>
          </w:p>
        </w:tc>
      </w:tr>
      <w:tr>
        <w:trPr>
          <w:trHeight w:val="33"/>
        </w:trPr>
        <w:tc>
          <w:tcPr>
            <w:tcW w:w="26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Average Canadian dollar to U.S.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dollar</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$0.748</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$0.775</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(0.027)</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(3.5)%</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$0.750</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$0.783</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(0.033)</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w w:val="98"/>
              </w:rPr>
              <w:t>Average Australian dollar to U.S.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dollar</w:t>
            </w:r>
          </w:p>
        </w:tc>
        <w:tc>
          <w:tcPr>
            <w:tcW w:w="840" w:type="dxa"/>
            <w:vAlign w:val="bottom"/>
          </w:tcPr>
          <w:p>
            <w:pPr>
              <w:jc w:val="right"/>
              <w:spacing w:after="0"/>
              <w:rPr>
                <w:sz w:val="20"/>
                <w:szCs w:val="20"/>
                <w:color w:val="auto"/>
              </w:rPr>
            </w:pPr>
            <w:r>
              <w:rPr>
                <w:rFonts w:ascii="Arial" w:cs="Arial" w:eastAsia="Arial" w:hAnsi="Arial"/>
                <w:sz w:val="18"/>
                <w:szCs w:val="18"/>
                <w:color w:val="auto"/>
              </w:rPr>
              <w:t>$0.700</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$0.757</w:t>
            </w:r>
          </w:p>
        </w:tc>
        <w:tc>
          <w:tcPr>
            <w:tcW w:w="120" w:type="dxa"/>
            <w:vAlign w:val="bottom"/>
          </w:tcPr>
          <w:p>
            <w:pPr>
              <w:spacing w:after="0"/>
              <w:rPr>
                <w:sz w:val="20"/>
                <w:szCs w:val="20"/>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(0.057)</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(7.5)%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$0.706</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$0.771</w:t>
            </w:r>
          </w:p>
        </w:tc>
        <w:tc>
          <w:tcPr>
            <w:tcW w:w="120" w:type="dxa"/>
            <w:vAlign w:val="bottom"/>
          </w:tcPr>
          <w:p>
            <w:pPr>
              <w:spacing w:after="0"/>
              <w:rPr>
                <w:sz w:val="20"/>
                <w:szCs w:val="20"/>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(0.065)</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(8.4)%</w:t>
            </w:r>
          </w:p>
        </w:tc>
      </w:tr>
      <w:tr>
        <w:trPr>
          <w:trHeight w:val="702"/>
        </w:trPr>
        <w:tc>
          <w:tcPr>
            <w:tcW w:w="2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26" w:name="page27"/>
    <w:bookmarkEnd w:id="26"/>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ind w:left="1140"/>
              <w:spacing w:after="0"/>
              <w:rPr>
                <w:sz w:val="20"/>
                <w:szCs w:val="20"/>
                <w:color w:val="auto"/>
              </w:rPr>
            </w:pPr>
            <w:r>
              <w:rPr>
                <w:rFonts w:ascii="Arial" w:cs="Arial" w:eastAsia="Arial" w:hAnsi="Arial"/>
                <w:sz w:val="18"/>
                <w:szCs w:val="18"/>
                <w:b w:val="1"/>
                <w:bCs w:val="1"/>
                <w:color w:val="auto"/>
                <w:w w:val="93"/>
              </w:rPr>
              <w:t>As of</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304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304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2019</w:t>
            </w:r>
          </w:p>
        </w:tc>
        <w:tc>
          <w:tcPr>
            <w:tcW w:w="15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2018</w:t>
            </w:r>
          </w:p>
        </w:tc>
        <w:tc>
          <w:tcPr>
            <w:tcW w:w="1380" w:type="dxa"/>
            <w:vAlign w:val="bottom"/>
            <w:gridSpan w:val="2"/>
          </w:tcPr>
          <w:p>
            <w:pPr>
              <w:ind w:left="34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jc w:val="right"/>
              <w:ind w:right="133"/>
              <w:spacing w:after="0"/>
              <w:rPr>
                <w:sz w:val="20"/>
                <w:szCs w:val="20"/>
                <w:color w:val="auto"/>
              </w:rPr>
            </w:pPr>
            <w:r>
              <w:rPr>
                <w:rFonts w:ascii="Arial" w:cs="Arial" w:eastAsia="Arial" w:hAnsi="Arial"/>
                <w:sz w:val="16"/>
                <w:szCs w:val="16"/>
                <w:b w:val="1"/>
                <w:bCs w:val="1"/>
                <w:color w:val="auto"/>
              </w:rPr>
              <w:t>Percentage</w:t>
            </w:r>
          </w:p>
        </w:tc>
      </w:tr>
      <w:tr>
        <w:trPr>
          <w:trHeight w:val="33"/>
        </w:trPr>
        <w:tc>
          <w:tcPr>
            <w:tcW w:w="30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Canadian dollar to U.S. dollar</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$0.764</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$0.733</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0.031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4.2%</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Australian dollar to U.S. dollar</w:t>
            </w:r>
          </w:p>
        </w:tc>
        <w:tc>
          <w:tcPr>
            <w:tcW w:w="1320" w:type="dxa"/>
            <w:vAlign w:val="bottom"/>
          </w:tcPr>
          <w:p>
            <w:pPr>
              <w:jc w:val="right"/>
              <w:spacing w:after="0"/>
              <w:rPr>
                <w:sz w:val="20"/>
                <w:szCs w:val="20"/>
                <w:color w:val="auto"/>
              </w:rPr>
            </w:pPr>
            <w:r>
              <w:rPr>
                <w:rFonts w:ascii="Arial" w:cs="Arial" w:eastAsia="Arial" w:hAnsi="Arial"/>
                <w:sz w:val="18"/>
                <w:szCs w:val="18"/>
                <w:color w:val="auto"/>
              </w:rPr>
              <w:t>$0.701</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$0.705</w:t>
            </w:r>
          </w:p>
        </w:tc>
        <w:tc>
          <w:tcPr>
            <w:tcW w:w="160" w:type="dxa"/>
            <w:vAlign w:val="bottom"/>
          </w:tcPr>
          <w:p>
            <w:pPr>
              <w:spacing w:after="0"/>
              <w:rPr>
                <w:sz w:val="21"/>
                <w:szCs w:val="21"/>
                <w:color w:val="auto"/>
              </w:rPr>
            </w:pPr>
          </w:p>
        </w:tc>
        <w:tc>
          <w:tcPr>
            <w:tcW w:w="1220" w:type="dxa"/>
            <w:vAlign w:val="bottom"/>
          </w:tcPr>
          <w:p>
            <w:pPr>
              <w:jc w:val="right"/>
              <w:ind w:right="273"/>
              <w:spacing w:after="0"/>
              <w:rPr>
                <w:sz w:val="20"/>
                <w:szCs w:val="20"/>
                <w:color w:val="auto"/>
              </w:rPr>
            </w:pPr>
            <w:r>
              <w:rPr>
                <w:rFonts w:ascii="Arial" w:cs="Arial" w:eastAsia="Arial" w:hAnsi="Arial"/>
                <w:sz w:val="18"/>
                <w:szCs w:val="18"/>
                <w:color w:val="auto"/>
              </w:rPr>
              <w:t>(0.004)</w:t>
            </w:r>
          </w:p>
        </w:tc>
        <w:tc>
          <w:tcPr>
            <w:tcW w:w="160" w:type="dxa"/>
            <w:vAlign w:val="bottom"/>
          </w:tcPr>
          <w:p>
            <w:pPr>
              <w:spacing w:after="0"/>
              <w:rPr>
                <w:sz w:val="21"/>
                <w:szCs w:val="21"/>
                <w:color w:val="auto"/>
              </w:rPr>
            </w:pPr>
          </w:p>
        </w:tc>
        <w:tc>
          <w:tcPr>
            <w:tcW w:w="1200" w:type="dxa"/>
            <w:vAlign w:val="bottom"/>
          </w:tcPr>
          <w:p>
            <w:pPr>
              <w:jc w:val="right"/>
              <w:ind w:right="273"/>
              <w:spacing w:after="0"/>
              <w:rPr>
                <w:sz w:val="20"/>
                <w:szCs w:val="20"/>
                <w:color w:val="auto"/>
              </w:rPr>
            </w:pPr>
            <w:r>
              <w:rPr>
                <w:rFonts w:ascii="Arial" w:cs="Arial" w:eastAsia="Arial" w:hAnsi="Arial"/>
                <w:sz w:val="18"/>
                <w:szCs w:val="18"/>
                <w:color w:val="auto"/>
              </w:rPr>
              <w:t>(0.6)%</w:t>
            </w:r>
          </w:p>
        </w:tc>
      </w:tr>
    </w:tbl>
    <w:p>
      <w:pPr>
        <w:spacing w:after="0" w:line="229"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These fluctuations of the Canadian and Australian dollars have had and will continue to have an impact on the translation of earnings generated from our Canadian and Australian subsidiaries and, therefore, our financial results.</w:t>
      </w:r>
    </w:p>
    <w:p>
      <w:pPr>
        <w:spacing w:after="0" w:line="170"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color w:val="auto"/>
        </w:rPr>
        <w:t>We continue to monitor the global economy, the demand for crude oil and met coal and the resultant impact on the capital spending plans of our customers in order to plan our business activities. We currently expect that our 2019 capital expenditures, exclusive of any business acquisitions, will total approximately $40 million to $45 million, compared to 2018 capital expenditures of $17.1 million. Please see “Liquidity and Capital Resources</w:t>
      </w:r>
      <w:r>
        <w:rPr>
          <w:rFonts w:ascii="Arial" w:cs="Arial" w:eastAsia="Arial" w:hAnsi="Arial"/>
          <w:sz w:val="18"/>
          <w:szCs w:val="18"/>
          <w:i w:val="1"/>
          <w:iCs w:val="1"/>
          <w:color w:val="auto"/>
        </w:rPr>
        <w:t>”</w:t>
      </w:r>
      <w:r>
        <w:rPr>
          <w:rFonts w:ascii="Arial" w:cs="Arial" w:eastAsia="Arial" w:hAnsi="Arial"/>
          <w:sz w:val="18"/>
          <w:szCs w:val="18"/>
          <w:color w:val="auto"/>
        </w:rPr>
        <w:t xml:space="preserve"> below for further discussion of 2019 capital expenditures.</w:t>
      </w: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742"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0" w:firstLine="135"/>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three- and six-month periods ended June 30, 2019, is based on a comparison to the corresponding periods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Three Months Ended June 30, 2019 Compared to Three Months Ended June 30,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46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312"/>
        </w:trPr>
        <w:tc>
          <w:tcPr>
            <w:tcW w:w="5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6"/>
        </w:trPr>
        <w:tc>
          <w:tcPr>
            <w:tcW w:w="5040" w:type="dxa"/>
            <w:vAlign w:val="bottom"/>
          </w:tcPr>
          <w:p>
            <w:pPr>
              <w:ind w:left="40"/>
              <w:spacing w:after="0"/>
              <w:rPr>
                <w:sz w:val="20"/>
                <w:szCs w:val="20"/>
                <w:color w:val="auto"/>
              </w:rPr>
            </w:pPr>
            <w:r>
              <w:rPr>
                <w:rFonts w:ascii="Arial" w:cs="Arial" w:eastAsia="Arial" w:hAnsi="Arial"/>
                <w:sz w:val="14"/>
                <w:szCs w:val="14"/>
                <w:color w:val="auto"/>
              </w:rPr>
              <w:t>Revenues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Canada</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78,102</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86,518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(8,416)</w:t>
            </w: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Australia</w:t>
            </w:r>
          </w:p>
        </w:tc>
        <w:tc>
          <w:tcPr>
            <w:tcW w:w="4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30,996</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30,577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419</w:t>
            </w:r>
          </w:p>
        </w:tc>
      </w:tr>
      <w:tr>
        <w:trPr>
          <w:trHeight w:val="270"/>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United States and other</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13,055</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13,082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42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122,153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130,177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(8,024)</w:t>
            </w: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Costs and expenses</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Cost of sales and services</w:t>
            </w: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Canada</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59,276</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63,557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(4,281)</w:t>
            </w:r>
          </w:p>
        </w:tc>
      </w:tr>
      <w:tr>
        <w:trPr>
          <w:trHeight w:val="264"/>
        </w:trPr>
        <w:tc>
          <w:tcPr>
            <w:tcW w:w="5040" w:type="dxa"/>
            <w:vAlign w:val="bottom"/>
          </w:tcPr>
          <w:p>
            <w:pPr>
              <w:ind w:left="380"/>
              <w:spacing w:after="0"/>
              <w:rPr>
                <w:sz w:val="20"/>
                <w:szCs w:val="20"/>
                <w:color w:val="auto"/>
              </w:rPr>
            </w:pPr>
            <w:r>
              <w:rPr>
                <w:rFonts w:ascii="Arial" w:cs="Arial" w:eastAsia="Arial" w:hAnsi="Arial"/>
                <w:sz w:val="14"/>
                <w:szCs w:val="14"/>
                <w:color w:val="auto"/>
              </w:rPr>
              <w:t>Australia</w:t>
            </w:r>
          </w:p>
        </w:tc>
        <w:tc>
          <w:tcPr>
            <w:tcW w:w="4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16,055</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15,349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706</w:t>
            </w:r>
          </w:p>
        </w:tc>
      </w:tr>
      <w:tr>
        <w:trPr>
          <w:trHeight w:val="27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United States and other</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9,909</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10,549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w:t>
            </w:r>
          </w:p>
        </w:tc>
      </w:tr>
      <w:tr>
        <w:trPr>
          <w:trHeight w:val="250"/>
        </w:trPr>
        <w:tc>
          <w:tcPr>
            <w:tcW w:w="5040" w:type="dxa"/>
            <w:vAlign w:val="bottom"/>
          </w:tcPr>
          <w:p>
            <w:pPr>
              <w:ind w:left="500"/>
              <w:spacing w:after="0"/>
              <w:rPr>
                <w:sz w:val="20"/>
                <w:szCs w:val="20"/>
                <w:color w:val="auto"/>
              </w:rPr>
            </w:pPr>
            <w:r>
              <w:rPr>
                <w:rFonts w:ascii="Arial" w:cs="Arial" w:eastAsia="Arial" w:hAnsi="Arial"/>
                <w:sz w:val="14"/>
                <w:szCs w:val="14"/>
                <w:color w:val="auto"/>
              </w:rPr>
              <w:t>Total cost of sales and services</w:t>
            </w:r>
          </w:p>
        </w:tc>
        <w:tc>
          <w:tcPr>
            <w:tcW w:w="42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85,240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89,455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(4,215)</w:t>
            </w: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 expenses</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12,530</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21,821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(9,291)</w:t>
            </w: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Depreciation and amortization expense</w:t>
            </w:r>
          </w:p>
        </w:tc>
        <w:tc>
          <w:tcPr>
            <w:tcW w:w="4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30,996</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34,270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(3,274)</w:t>
            </w: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expense</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5,546</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5,546</w:t>
            </w: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operating expense (income)</w:t>
            </w: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r>
      <w:tr>
        <w:trPr>
          <w:trHeight w:val="25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costs and expenses</w:t>
            </w: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134,209</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145,678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(11,469)</w:t>
            </w: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Operating loss</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(12,056)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(15,501)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3,445</w:t>
            </w:r>
          </w:p>
        </w:tc>
      </w:tr>
      <w:tr>
        <w:trPr>
          <w:trHeight w:val="276"/>
        </w:trPr>
        <w:tc>
          <w:tcPr>
            <w:tcW w:w="50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Interest expense and income, net</w:t>
            </w:r>
          </w:p>
        </w:tc>
        <w:tc>
          <w:tcPr>
            <w:tcW w:w="4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(6,698)</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(7,833)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1,135</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1,055</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803</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Loss before income taxes</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(17,699)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(23,082)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5,383</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2,850</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23,371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(20,521)</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Net income (loss)</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(14,849)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(15,138)</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attributable to noncontrolling interest</w:t>
            </w:r>
          </w:p>
        </w:tc>
        <w:tc>
          <w:tcPr>
            <w:tcW w:w="4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Net income (loss) attributable to Civeo Corporation</w:t>
            </w:r>
          </w:p>
        </w:tc>
        <w:tc>
          <w:tcPr>
            <w:tcW w:w="4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(14,849)</w:t>
            </w:r>
          </w:p>
        </w:tc>
        <w:tc>
          <w:tcPr>
            <w:tcW w:w="12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(15,016)</w:t>
            </w:r>
          </w:p>
        </w:tc>
      </w:tr>
      <w:tr>
        <w:trPr>
          <w:trHeight w:val="27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attributable to preferred shares</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461</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48,488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(48,027)</w:t>
            </w:r>
          </w:p>
        </w:tc>
      </w:tr>
      <w:tr>
        <w:trPr>
          <w:trHeight w:val="243"/>
        </w:trPr>
        <w:tc>
          <w:tcPr>
            <w:tcW w:w="5040" w:type="dxa"/>
            <w:vAlign w:val="bottom"/>
          </w:tcPr>
          <w:p>
            <w:pPr>
              <w:ind w:left="40"/>
              <w:spacing w:after="0"/>
              <w:rPr>
                <w:sz w:val="20"/>
                <w:szCs w:val="20"/>
                <w:color w:val="auto"/>
              </w:rPr>
            </w:pPr>
            <w:r>
              <w:rPr>
                <w:rFonts w:ascii="Arial" w:cs="Arial" w:eastAsia="Arial" w:hAnsi="Arial"/>
                <w:sz w:val="14"/>
                <w:szCs w:val="14"/>
                <w:color w:val="auto"/>
              </w:rPr>
              <w:t>Net loss attributable to Civeo common shareholders</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(15,310)</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(48,321)</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33,011</w:t>
            </w:r>
          </w:p>
        </w:tc>
      </w:tr>
      <w:tr>
        <w:trPr>
          <w:trHeight w:val="20"/>
        </w:trPr>
        <w:tc>
          <w:tcPr>
            <w:tcW w:w="5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59"/>
        <w:spacing w:after="0" w:line="264" w:lineRule="auto"/>
        <w:rPr>
          <w:sz w:val="20"/>
          <w:szCs w:val="20"/>
          <w:color w:val="auto"/>
        </w:rPr>
      </w:pPr>
      <w:r>
        <w:rPr>
          <w:rFonts w:ascii="Arial" w:cs="Arial" w:eastAsia="Arial" w:hAnsi="Arial"/>
          <w:sz w:val="18"/>
          <w:szCs w:val="18"/>
          <w:color w:val="auto"/>
        </w:rPr>
        <w:t>We reported net loss attributable to Civeo for the quarter ended June 30, 2019 of $15.3 million, or $0.09 per diluted share. As further discussed below, net loss included a $5.5 million pre-tax loss ($5.5 million after-tax, or $0.03 per diluted share) resulting from the impairment of fixed assets included in Impairment expense.</w:t>
      </w:r>
    </w:p>
    <w:p>
      <w:pPr>
        <w:spacing w:after="0" w:line="181"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We reported net loss attributable to Civeo for the quarter ended June 30, 2018 of $48.3 million, or $0.29 per diluted share. As further discussed below, net loss for the second quarter of 2018 included costs totaling $5.6 million ($5.1 million after-tax, or $0.03 per diluted share) incurred in connection with the acquisition of Noralta Lodge Ltd. (Noralta), primarily included in Selling, general and administrative (SG&amp;A) expense below, and $48.5 million of dividends attributable to the preferred shares issued in the Noralta acquisition.</w:t>
      </w:r>
    </w:p>
    <w:p>
      <w:pPr>
        <w:spacing w:after="0" w:line="183" w:lineRule="exact"/>
        <w:rPr>
          <w:sz w:val="20"/>
          <w:szCs w:val="20"/>
          <w:color w:val="auto"/>
        </w:rPr>
      </w:pPr>
    </w:p>
    <w:p>
      <w:pPr>
        <w:ind w:firstLine="459"/>
        <w:spacing w:after="0" w:line="258"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decreased $8.0 million, or 6%, in the second quarter of 2019 compared to the second quarter of 2018. This decrease</w:t>
      </w:r>
      <w:r>
        <w:rPr>
          <w:rFonts w:ascii="Arial" w:cs="Arial" w:eastAsia="Arial" w:hAnsi="Arial"/>
          <w:sz w:val="18"/>
          <w:szCs w:val="18"/>
          <w:b w:val="1"/>
          <w:bCs w:val="1"/>
          <w:color w:val="auto"/>
        </w:rPr>
        <w:t xml:space="preserve"> </w:t>
      </w:r>
      <w:r>
        <w:rPr>
          <w:rFonts w:ascii="Arial" w:cs="Arial" w:eastAsia="Arial" w:hAnsi="Arial"/>
          <w:sz w:val="18"/>
          <w:szCs w:val="18"/>
          <w:color w:val="auto"/>
        </w:rPr>
        <w:t>was primarily due to decreases in Canada due to (1) lower room demand from major customers in our core oil sands lodges resulting from the non-recurrence of large client turnaround projects that positively impacted the second quarter of 2018 and (2) the continued impact of provincially imposed oil production curtailments. Additionally, weaker Canadian and Australian dollars relative to the U.S. dollar in the second quarter of 2019 compared to the second quarter of 2018</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796" w:right="299" w:bottom="1440" w:gutter="0" w:footer="0" w:header="0"/>
        </w:sectPr>
      </w:pPr>
    </w:p>
    <w:bookmarkStart w:id="28" w:name="page29"/>
    <w:bookmarkEnd w:id="28"/>
    <w:p>
      <w:pPr>
        <w:ind w:right="160"/>
        <w:spacing w:after="0" w:line="264" w:lineRule="auto"/>
        <w:rPr>
          <w:sz w:val="20"/>
          <w:szCs w:val="20"/>
          <w:color w:val="auto"/>
        </w:rPr>
      </w:pPr>
      <w:r>
        <w:rPr>
          <w:rFonts w:ascii="Arial" w:cs="Arial" w:eastAsia="Arial" w:hAnsi="Arial"/>
          <w:sz w:val="18"/>
          <w:szCs w:val="18"/>
          <w:color w:val="auto"/>
        </w:rPr>
        <w:t>contributed to decreased revenues. These items were partially offset by higher activity levels in certain markets in Australia and the U.S. and increased food services activity and manufacturing revenue in Canada in the second quarter of 2019 compared to the second quarter of 2018. Please see the discussion of segment results of operations below for further information.</w:t>
      </w:r>
    </w:p>
    <w:p>
      <w:pPr>
        <w:spacing w:after="0" w:line="177" w:lineRule="exact"/>
        <w:rPr>
          <w:sz w:val="20"/>
          <w:szCs w:val="20"/>
          <w:color w:val="auto"/>
        </w:rPr>
      </w:pPr>
    </w:p>
    <w:p>
      <w:pPr>
        <w:ind w:firstLine="459"/>
        <w:spacing w:after="0" w:line="258"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decreased $4.2 million, or 5%, in the second quarter of 2019 compared to the second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2018, primarily due to lower room demand from major customers in our core oil sands lodges. Additionally, weaker Canadian and Australian dollars relative to the U.S. dollar in the second quarter of 2019 compared to the second quarter of 2018 contributed to decreased cost of sales and services. These items were partially offset by increased food services activity and the completion of manufacturing projects in Canada. Please see the discussion of segment results of operations below for further description.</w:t>
      </w:r>
    </w:p>
    <w:p>
      <w:pPr>
        <w:spacing w:after="0" w:line="184" w:lineRule="exact"/>
        <w:rPr>
          <w:sz w:val="20"/>
          <w:szCs w:val="20"/>
          <w:color w:val="auto"/>
        </w:rPr>
      </w:pPr>
    </w:p>
    <w:p>
      <w:pPr>
        <w:ind w:right="20" w:firstLine="459"/>
        <w:spacing w:after="0" w:line="26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SG&amp;A expense decreased $9.3 million, or 43%, in the second quarter of 2019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2018. This decrease was primarily due to lower costs incurred in connection with the Noralta acquisition, lower incentive compensation costs and lower share-based compensation expense. The decrease in share-based compensation was largely due to a reduction in the amount of phantom share awards outstanding during the second quarter of 2019.</w:t>
      </w:r>
    </w:p>
    <w:p>
      <w:pPr>
        <w:spacing w:after="0" w:line="180" w:lineRule="exact"/>
        <w:rPr>
          <w:sz w:val="20"/>
          <w:szCs w:val="20"/>
          <w:color w:val="auto"/>
        </w:rPr>
      </w:pPr>
    </w:p>
    <w:p>
      <w:pPr>
        <w:ind w:right="300" w:firstLine="459"/>
        <w:spacing w:after="0" w:line="289" w:lineRule="auto"/>
        <w:rPr>
          <w:sz w:val="20"/>
          <w:szCs w:val="20"/>
          <w:color w:val="auto"/>
        </w:rPr>
      </w:pPr>
      <w:r>
        <w:rPr>
          <w:rFonts w:ascii="Arial" w:cs="Arial" w:eastAsia="Arial" w:hAnsi="Arial"/>
          <w:sz w:val="17"/>
          <w:szCs w:val="17"/>
          <w:b w:val="1"/>
          <w:bCs w:val="1"/>
          <w:color w:val="auto"/>
        </w:rPr>
        <w:t xml:space="preserve">Depreciation and Amortization Expense. </w:t>
      </w:r>
      <w:r>
        <w:rPr>
          <w:rFonts w:ascii="Arial" w:cs="Arial" w:eastAsia="Arial" w:hAnsi="Arial"/>
          <w:sz w:val="17"/>
          <w:szCs w:val="17"/>
          <w:color w:val="auto"/>
        </w:rPr>
        <w:t>Depreciation and amortization expense decreased $3.3 million, or 10%, in the second quarter of 2019</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second quarter of 2018. The decrease was due to certain assets and intangibles becoming fully depreciated during 2018 as well as weaker Canadian and Australian dollars relative to the U.S. dollar in the second quarter of 2019 compared to the second quarter of 2018.</w:t>
      </w:r>
    </w:p>
    <w:p>
      <w:pPr>
        <w:spacing w:after="0" w:line="158" w:lineRule="exact"/>
        <w:rPr>
          <w:sz w:val="20"/>
          <w:szCs w:val="20"/>
          <w:color w:val="auto"/>
        </w:rPr>
      </w:pPr>
    </w:p>
    <w:p>
      <w:pPr>
        <w:ind w:firstLine="459"/>
        <w:spacing w:after="0" w:line="291" w:lineRule="auto"/>
        <w:rPr>
          <w:sz w:val="20"/>
          <w:szCs w:val="20"/>
          <w:color w:val="auto"/>
        </w:rPr>
      </w:pPr>
      <w:r>
        <w:rPr>
          <w:rFonts w:ascii="Arial" w:cs="Arial" w:eastAsia="Arial" w:hAnsi="Arial"/>
          <w:sz w:val="16"/>
          <w:szCs w:val="16"/>
          <w:b w:val="1"/>
          <w:bCs w:val="1"/>
          <w:color w:val="auto"/>
        </w:rPr>
        <w:t xml:space="preserve">Impairment Expense. </w:t>
      </w:r>
      <w:r>
        <w:rPr>
          <w:rFonts w:ascii="Arial" w:cs="Arial" w:eastAsia="Arial" w:hAnsi="Arial"/>
          <w:sz w:val="16"/>
          <w:szCs w:val="16"/>
          <w:color w:val="auto"/>
        </w:rPr>
        <w:t>We recorded pre-tax impairment expense of $5.5 million in the second quarter of 2019 associated with long-lived assets in our</w:t>
      </w:r>
      <w:r>
        <w:rPr>
          <w:rFonts w:ascii="Arial" w:cs="Arial" w:eastAsia="Arial" w:hAnsi="Arial"/>
          <w:sz w:val="16"/>
          <w:szCs w:val="16"/>
          <w:b w:val="1"/>
          <w:bCs w:val="1"/>
          <w:color w:val="auto"/>
        </w:rPr>
        <w:t xml:space="preserve"> </w:t>
      </w:r>
      <w:r>
        <w:rPr>
          <w:rFonts w:ascii="Arial" w:cs="Arial" w:eastAsia="Arial" w:hAnsi="Arial"/>
          <w:sz w:val="16"/>
          <w:szCs w:val="16"/>
          <w:color w:val="auto"/>
        </w:rPr>
        <w:t>Australian segment. This includes $1.0 million of impairment expense related to an error corrected in the second quarter 2019. We identified a liability related to an asset retirement obligation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2019. Specifically, we recorded the following amounts in our second quarter 2019 unaudited consolidated statements of operations related to prior periods: (1) additional accretion expense related to the ARO of $0.9 million, (2) additional depreciation and amortization expense of $0.5 million related to amortization of the related asset retirement cost and (3) additional impairment expense related to the impairment of the asset retirement cost of $1.0 million offset by recognition of an ARO liability totaling $2.3 million as of June 30, 2019.</w:t>
      </w:r>
    </w:p>
    <w:p>
      <w:pPr>
        <w:spacing w:after="0" w:line="164" w:lineRule="exact"/>
        <w:rPr>
          <w:sz w:val="20"/>
          <w:szCs w:val="20"/>
          <w:color w:val="auto"/>
        </w:rPr>
      </w:pPr>
    </w:p>
    <w:p>
      <w:pPr>
        <w:ind w:right="240" w:firstLine="459"/>
        <w:spacing w:after="0" w:line="277" w:lineRule="auto"/>
        <w:rPr>
          <w:sz w:val="20"/>
          <w:szCs w:val="20"/>
          <w:color w:val="auto"/>
        </w:rPr>
      </w:pPr>
      <w:r>
        <w:rPr>
          <w:rFonts w:ascii="Arial" w:cs="Arial" w:eastAsia="Arial" w:hAnsi="Arial"/>
          <w:sz w:val="18"/>
          <w:szCs w:val="18"/>
          <w:color w:val="auto"/>
        </w:rPr>
        <w:t>Please see Note 6 - Impairment Charges to the notes to the unaudited consolidated financial statements included in Item 1 of this quarterly report for further discussion.</w:t>
      </w:r>
    </w:p>
    <w:p>
      <w:pPr>
        <w:spacing w:after="0" w:line="166" w:lineRule="exact"/>
        <w:rPr>
          <w:sz w:val="20"/>
          <w:szCs w:val="20"/>
          <w:color w:val="auto"/>
        </w:rPr>
      </w:pPr>
    </w:p>
    <w:p>
      <w:pPr>
        <w:ind w:right="220" w:firstLine="459"/>
        <w:spacing w:after="0" w:line="347" w:lineRule="auto"/>
        <w:rPr>
          <w:sz w:val="20"/>
          <w:szCs w:val="20"/>
          <w:color w:val="auto"/>
        </w:rPr>
      </w:pPr>
      <w:r>
        <w:rPr>
          <w:rFonts w:ascii="Arial" w:cs="Arial" w:eastAsia="Arial" w:hAnsi="Arial"/>
          <w:sz w:val="16"/>
          <w:szCs w:val="16"/>
          <w:b w:val="1"/>
          <w:bCs w:val="1"/>
          <w:color w:val="auto"/>
        </w:rPr>
        <w:t xml:space="preserve">Operating Loss. </w:t>
      </w:r>
      <w:r>
        <w:rPr>
          <w:rFonts w:ascii="Arial" w:cs="Arial" w:eastAsia="Arial" w:hAnsi="Arial"/>
          <w:sz w:val="16"/>
          <w:szCs w:val="16"/>
          <w:color w:val="auto"/>
        </w:rPr>
        <w:t>Consolidated operating loss decreased $3.4 million, or 22%, in the second quarter of 2019 compared to the second quarter of 2018,</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due to lower SG&amp;A and depreciation and amortization expense, partially offset by impairment expense recorded in the second quarter of 2019.</w:t>
      </w:r>
    </w:p>
    <w:p>
      <w:pPr>
        <w:spacing w:after="0" w:line="116" w:lineRule="exact"/>
        <w:rPr>
          <w:sz w:val="20"/>
          <w:szCs w:val="20"/>
          <w:color w:val="auto"/>
        </w:rPr>
      </w:pPr>
    </w:p>
    <w:p>
      <w:pPr>
        <w:ind w:right="260" w:firstLine="459"/>
        <w:spacing w:after="0" w:line="314" w:lineRule="auto"/>
        <w:rPr>
          <w:sz w:val="20"/>
          <w:szCs w:val="20"/>
          <w:color w:val="auto"/>
        </w:rPr>
      </w:pPr>
      <w:r>
        <w:rPr>
          <w:rFonts w:ascii="Arial" w:cs="Arial" w:eastAsia="Arial" w:hAnsi="Arial"/>
          <w:sz w:val="16"/>
          <w:szCs w:val="16"/>
          <w:b w:val="1"/>
          <w:bCs w:val="1"/>
          <w:color w:val="auto"/>
        </w:rPr>
        <w:t xml:space="preserve">Interest Expense and Interest Income, net. </w:t>
      </w:r>
      <w:r>
        <w:rPr>
          <w:rFonts w:ascii="Arial" w:cs="Arial" w:eastAsia="Arial" w:hAnsi="Arial"/>
          <w:sz w:val="16"/>
          <w:szCs w:val="16"/>
          <w:color w:val="auto"/>
        </w:rPr>
        <w:t>Net interest expense decreased by $1.1 million, or 14%, in the second quarter of 2019 compared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second quarter of 2018, primarily related to the 2018 write-off of $0.7 million of debt issuance costs associated with the Amended Credit Agreement and lower revolving credit facility and term loan borrowings, partially offset by higher interest rates on term loan and revolving credit facility borrowings.</w:t>
      </w:r>
    </w:p>
    <w:p>
      <w:pPr>
        <w:spacing w:after="0" w:line="142" w:lineRule="exact"/>
        <w:rPr>
          <w:sz w:val="20"/>
          <w:szCs w:val="20"/>
          <w:color w:val="auto"/>
        </w:rPr>
      </w:pPr>
    </w:p>
    <w:p>
      <w:pPr>
        <w:ind w:right="20" w:firstLine="459"/>
        <w:spacing w:after="0" w:line="261" w:lineRule="auto"/>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Consolidated other income increased $0.8 million, or 319%, in the second quarter of 2019 compared to the second quarter of 2018,</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$1.1 million of other income for proceeds received in the second quarter of 2019 from a property damage and business interruption insurance claim related to the closure of a lodge in 2018 for maintenance-related operational issues, partially offset by lower gain on sale of assets in the second quarter of 2019 compared to the second quarter of 2018.</w:t>
      </w:r>
    </w:p>
    <w:p>
      <w:pPr>
        <w:spacing w:after="0" w:line="180" w:lineRule="exact"/>
        <w:rPr>
          <w:sz w:val="20"/>
          <w:szCs w:val="20"/>
          <w:color w:val="auto"/>
        </w:rPr>
      </w:pPr>
    </w:p>
    <w:p>
      <w:pPr>
        <w:ind w:right="60" w:firstLine="459"/>
        <w:spacing w:after="0" w:line="261" w:lineRule="auto"/>
        <w:rPr>
          <w:sz w:val="20"/>
          <w:szCs w:val="20"/>
          <w:color w:val="auto"/>
        </w:rPr>
      </w:pPr>
      <w:r>
        <w:rPr>
          <w:rFonts w:ascii="Arial" w:cs="Arial" w:eastAsia="Arial" w:hAnsi="Arial"/>
          <w:sz w:val="18"/>
          <w:szCs w:val="18"/>
          <w:b w:val="1"/>
          <w:bCs w:val="1"/>
          <w:color w:val="auto"/>
        </w:rPr>
        <w:t xml:space="preserve">Income Tax Benefit. </w:t>
      </w:r>
      <w:r>
        <w:rPr>
          <w:rFonts w:ascii="Arial" w:cs="Arial" w:eastAsia="Arial" w:hAnsi="Arial"/>
          <w:sz w:val="18"/>
          <w:szCs w:val="18"/>
          <w:color w:val="auto"/>
        </w:rPr>
        <w:t>Our income tax benefit for the three months ended June 30, 2019 totaled $2.9 million, or 16.1% of pretax loss, compared to a</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$23.4 million, or 101.3% of pretax loss, for the three months ended June 30, 2018. The effective tax rate for the three months ended June 30, 2018 was impacted by an increase in the 2018 effective tax rate due to Canada no longer being considered a loss jurisdiction in the quarter, as a result of the acquisition of Noralta on April 2,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color w:val="auto"/>
        </w:rPr>
        <w:t>Under ASC 740-270, Accounting for Income Taxes, the quarterly tax provision is based on our current estimate of the annual effective tax rate less the prior quarter’s year-to-date provision.</w:t>
      </w:r>
    </w:p>
    <w:p>
      <w:pPr>
        <w:spacing w:after="0" w:line="383" w:lineRule="exact"/>
        <w:rPr>
          <w:sz w:val="20"/>
          <w:szCs w:val="20"/>
          <w:color w:val="auto"/>
        </w:rPr>
      </w:pPr>
    </w:p>
    <w:p>
      <w:pPr>
        <w:ind w:right="120" w:firstLine="459"/>
        <w:spacing w:after="0" w:line="258"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income increased $17.5 million in the second quarter of 2019 compared to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2018, primarily as a result of foreign currency translation adjustments due to changes in the Canadian and Australian dollar exchange rates compared to the U.S. dollar. The Canadian dollar exchange rate compared to the U.S. dollar increased 2% in the second quarter of 2019 compared to a 2% decrease in the second quarter of 2018. The Australian dollar exchange rate compared to the U.S. dollar decreased 1% in the second quarter of 2019 compared to a 4% decrease in the second quarter of 2018.</w:t>
      </w: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60"/>
          </w:cols>
          <w:pgMar w:left="240" w:top="584"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p>
      <w:pPr>
        <w:spacing w:after="0" w:line="379" w:lineRule="exact"/>
        <w:rPr>
          <w:sz w:val="20"/>
          <w:szCs w:val="20"/>
          <w:color w:val="auto"/>
        </w:rPr>
      </w:pPr>
    </w:p>
    <w:p>
      <w:pPr>
        <w:jc w:val="center"/>
        <w:ind w:left="42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2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13335</wp:posOffset>
            </wp:positionV>
            <wp:extent cx="3653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Change</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64"/>
        </w:trPr>
        <w:tc>
          <w:tcPr>
            <w:tcW w:w="4920" w:type="dxa"/>
            <w:vAlign w:val="bottom"/>
          </w:tcPr>
          <w:p>
            <w:pPr>
              <w:ind w:left="180"/>
              <w:spacing w:after="0"/>
              <w:rPr>
                <w:sz w:val="20"/>
                <w:szCs w:val="20"/>
                <w:color w:val="auto"/>
              </w:rPr>
            </w:pPr>
            <w:r>
              <w:rPr>
                <w:rFonts w:ascii="Arial" w:cs="Arial" w:eastAsia="Arial" w:hAnsi="Arial"/>
                <w:sz w:val="14"/>
                <w:szCs w:val="14"/>
                <w:color w:val="auto"/>
              </w:rPr>
              <w:t>Accommodation revenue (1)</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66,183</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80,620</w:t>
            </w:r>
          </w:p>
        </w:tc>
        <w:tc>
          <w:tcPr>
            <w:tcW w:w="10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(14,437)</w:t>
            </w:r>
          </w:p>
        </w:tc>
      </w:tr>
      <w:tr>
        <w:trPr>
          <w:trHeight w:val="276"/>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Mobile facility rental revenue (2)</w:t>
            </w:r>
          </w:p>
        </w:tc>
        <w:tc>
          <w:tcPr>
            <w:tcW w:w="1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2,107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(288)</w:t>
            </w:r>
          </w:p>
        </w:tc>
      </w:tr>
      <w:tr>
        <w:trPr>
          <w:trHeight w:val="264"/>
        </w:trPr>
        <w:tc>
          <w:tcPr>
            <w:tcW w:w="4920" w:type="dxa"/>
            <w:vAlign w:val="bottom"/>
          </w:tcPr>
          <w:p>
            <w:pPr>
              <w:ind w:left="180"/>
              <w:spacing w:after="0"/>
              <w:rPr>
                <w:sz w:val="20"/>
                <w:szCs w:val="20"/>
                <w:color w:val="auto"/>
              </w:rPr>
            </w:pPr>
            <w:r>
              <w:rPr>
                <w:rFonts w:ascii="Arial" w:cs="Arial" w:eastAsia="Arial" w:hAnsi="Arial"/>
                <w:sz w:val="14"/>
                <w:szCs w:val="14"/>
                <w:color w:val="auto"/>
              </w:rPr>
              <w:t>Food service and other services revenue (3)</w:t>
            </w:r>
          </w:p>
        </w:tc>
        <w:tc>
          <w:tcPr>
            <w:tcW w:w="11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9,086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3,716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5,370</w:t>
            </w: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Manufacturing revenue (4)</w:t>
            </w:r>
          </w:p>
        </w:tc>
        <w:tc>
          <w:tcPr>
            <w:tcW w:w="1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1,014</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939</w:t>
            </w:r>
          </w:p>
        </w:tc>
      </w:tr>
      <w:tr>
        <w:trPr>
          <w:trHeight w:val="250"/>
        </w:trPr>
        <w:tc>
          <w:tcPr>
            <w:tcW w:w="492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78,102</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86,518</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(8,416)</w:t>
            </w:r>
          </w:p>
        </w:tc>
      </w:tr>
      <w:tr>
        <w:trPr>
          <w:trHeight w:val="195"/>
        </w:trPr>
        <w:tc>
          <w:tcPr>
            <w:tcW w:w="49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Cost of sales and services ($ in thousands)</w:t>
            </w:r>
          </w:p>
        </w:tc>
        <w:tc>
          <w:tcPr>
            <w:tcW w:w="1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6"/>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Accommodation cost</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45,145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53,620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(8,475)</w:t>
            </w:r>
          </w:p>
        </w:tc>
      </w:tr>
      <w:tr>
        <w:trPr>
          <w:trHeight w:val="264"/>
        </w:trPr>
        <w:tc>
          <w:tcPr>
            <w:tcW w:w="4920" w:type="dxa"/>
            <w:vAlign w:val="bottom"/>
          </w:tcPr>
          <w:p>
            <w:pPr>
              <w:ind w:left="180"/>
              <w:spacing w:after="0"/>
              <w:rPr>
                <w:sz w:val="20"/>
                <w:szCs w:val="20"/>
                <w:color w:val="auto"/>
              </w:rPr>
            </w:pPr>
            <w:r>
              <w:rPr>
                <w:rFonts w:ascii="Arial" w:cs="Arial" w:eastAsia="Arial" w:hAnsi="Arial"/>
                <w:sz w:val="14"/>
                <w:szCs w:val="14"/>
                <w:color w:val="auto"/>
              </w:rPr>
              <w:t>Mobile facility rental cost</w:t>
            </w:r>
          </w:p>
        </w:tc>
        <w:tc>
          <w:tcPr>
            <w:tcW w:w="11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2,027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2,200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(173)</w:t>
            </w:r>
          </w:p>
        </w:tc>
      </w:tr>
      <w:tr>
        <w:trPr>
          <w:trHeight w:val="276"/>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Food service and other services cost</w:t>
            </w:r>
          </w:p>
        </w:tc>
        <w:tc>
          <w:tcPr>
            <w:tcW w:w="1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8,466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3,479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4,987</w:t>
            </w:r>
          </w:p>
        </w:tc>
      </w:tr>
      <w:tr>
        <w:trPr>
          <w:trHeight w:val="264"/>
        </w:trPr>
        <w:tc>
          <w:tcPr>
            <w:tcW w:w="4920" w:type="dxa"/>
            <w:vAlign w:val="bottom"/>
          </w:tcPr>
          <w:p>
            <w:pPr>
              <w:ind w:left="180"/>
              <w:spacing w:after="0"/>
              <w:rPr>
                <w:sz w:val="20"/>
                <w:szCs w:val="20"/>
                <w:color w:val="auto"/>
              </w:rPr>
            </w:pPr>
            <w:r>
              <w:rPr>
                <w:rFonts w:ascii="Arial" w:cs="Arial" w:eastAsia="Arial" w:hAnsi="Arial"/>
                <w:sz w:val="14"/>
                <w:szCs w:val="14"/>
                <w:color w:val="auto"/>
              </w:rPr>
              <w:t>Manufacturing cost</w:t>
            </w:r>
          </w:p>
        </w:tc>
        <w:tc>
          <w:tcPr>
            <w:tcW w:w="11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668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464</w:t>
            </w: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Indirect other cost</w:t>
            </w:r>
          </w:p>
        </w:tc>
        <w:tc>
          <w:tcPr>
            <w:tcW w:w="1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2,970</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4,054</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(1,084)</w:t>
            </w:r>
          </w:p>
        </w:tc>
      </w:tr>
      <w:tr>
        <w:trPr>
          <w:trHeight w:val="250"/>
        </w:trPr>
        <w:tc>
          <w:tcPr>
            <w:tcW w:w="4920" w:type="dxa"/>
            <w:vAlign w:val="bottom"/>
          </w:tcPr>
          <w:p>
            <w:pPr>
              <w:ind w:left="380"/>
              <w:spacing w:after="0"/>
              <w:rPr>
                <w:sz w:val="20"/>
                <w:szCs w:val="20"/>
                <w:color w:val="auto"/>
              </w:rPr>
            </w:pPr>
            <w:r>
              <w:rPr>
                <w:rFonts w:ascii="Arial" w:cs="Arial" w:eastAsia="Arial" w:hAnsi="Arial"/>
                <w:sz w:val="14"/>
                <w:szCs w:val="14"/>
                <w:color w:val="auto"/>
              </w:rPr>
              <w:t>Total cost of sales and services</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59,276</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63,557</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(4,281)</w:t>
            </w:r>
          </w:p>
        </w:tc>
      </w:tr>
      <w:tr>
        <w:trPr>
          <w:trHeight w:val="195"/>
        </w:trPr>
        <w:tc>
          <w:tcPr>
            <w:tcW w:w="49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Gross margin as a % of revenues</w:t>
            </w:r>
          </w:p>
        </w:tc>
        <w:tc>
          <w:tcPr>
            <w:tcW w:w="1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95"/>
        </w:trPr>
        <w:tc>
          <w:tcPr>
            <w:tcW w:w="49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Average daily rate for lodges (5)</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3</w:t>
            </w:r>
          </w:p>
        </w:tc>
      </w:tr>
      <w:tr>
        <w:trPr>
          <w:trHeight w:val="195"/>
        </w:trPr>
        <w:tc>
          <w:tcPr>
            <w:tcW w:w="49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Total billed rooms for lodges (6)</w:t>
            </w:r>
          </w:p>
        </w:tc>
        <w:tc>
          <w:tcPr>
            <w:tcW w:w="11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739,627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930,828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(191,201)</w:t>
            </w:r>
          </w:p>
        </w:tc>
      </w:tr>
      <w:tr>
        <w:trPr>
          <w:trHeight w:val="195"/>
        </w:trPr>
        <w:tc>
          <w:tcPr>
            <w:tcW w:w="49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Average Canadian dollar to U.S. dollar</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0.748</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0.775</w:t>
            </w:r>
          </w:p>
        </w:tc>
        <w:tc>
          <w:tcPr>
            <w:tcW w:w="10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(0.027)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revenues related to lodge rooms and hospitality services for owned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revenues related to mobile camps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revenues related to food services, laundry and water and wastewater treatment services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revenues related to modular construction and manufacturing services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11" w:lineRule="exact"/>
        <w:rPr>
          <w:sz w:val="20"/>
          <w:szCs w:val="20"/>
          <w:color w:val="auto"/>
        </w:rPr>
      </w:pPr>
    </w:p>
    <w:p>
      <w:pPr>
        <w:ind w:firstLine="459"/>
        <w:spacing w:after="0" w:line="272" w:lineRule="auto"/>
        <w:rPr>
          <w:sz w:val="20"/>
          <w:szCs w:val="20"/>
          <w:color w:val="auto"/>
        </w:rPr>
      </w:pPr>
      <w:r>
        <w:rPr>
          <w:rFonts w:ascii="Arial" w:cs="Arial" w:eastAsia="Arial" w:hAnsi="Arial"/>
          <w:sz w:val="17"/>
          <w:szCs w:val="17"/>
          <w:color w:val="auto"/>
        </w:rPr>
        <w:t>Our Canadian segment reported revenues in the second quarter of 2019 that were $8.4 million, or 10%, lower than the second quarter of 2018. The weakening of the average exchange rates for the Canadian dollar relative to the U.S. dollar by 3% in the second quarter of 2019 compared to the second quarter of 2018 resulted in a $2.8 million period-over-period decrease in revenues. Excluding the impact of the weaker Canadian exchange rates, the segment experienced a 15% decrease in accommodation revenues. This decrease was driven by (1) lower room demand from major customers in our core oil sands lodges related to the non-recurrence of large client turnaround projects that positively impacted the second quarter of 2018 and (2) the continued impact of provincially imposed oil production curtailments. These items were partially offset by increased food services activity due to a new contract with an oilsands customer and increased manufacturing services.</w:t>
      </w:r>
    </w:p>
    <w:p>
      <w:pPr>
        <w:spacing w:after="0" w:line="178" w:lineRule="exact"/>
        <w:rPr>
          <w:sz w:val="20"/>
          <w:szCs w:val="20"/>
          <w:color w:val="auto"/>
        </w:rPr>
      </w:pPr>
    </w:p>
    <w:p>
      <w:pPr>
        <w:ind w:right="20" w:firstLine="459"/>
        <w:spacing w:after="0" w:line="276" w:lineRule="auto"/>
        <w:rPr>
          <w:sz w:val="20"/>
          <w:szCs w:val="20"/>
          <w:color w:val="auto"/>
        </w:rPr>
      </w:pPr>
      <w:r>
        <w:rPr>
          <w:rFonts w:ascii="Arial" w:cs="Arial" w:eastAsia="Arial" w:hAnsi="Arial"/>
          <w:sz w:val="17"/>
          <w:szCs w:val="17"/>
          <w:color w:val="auto"/>
        </w:rPr>
        <w:t>Our Canadian segment cost of sales and services decreased $4.3 million, or 7%, in the second quarter of 2019 compared to the second quarter of 2018. The weakening of the average exchange rates for the Canadian dollar relative to the U.S. dollar by 3% in the second quarter of 2019 compared to the second quarter of 2018 resulted in a $2.2 million period-over-period decrease in cost of sales and services. Excluding the impact of the weaker Canadian exchange rates, the decreased cost of sales and services was driven by lower room demand from major customers in our core oil sands lodges. This was partially offset by increased food services activity and increased manufacturing services.</w:t>
      </w:r>
    </w:p>
    <w:p>
      <w:pPr>
        <w:spacing w:after="0" w:line="173" w:lineRule="exact"/>
        <w:rPr>
          <w:sz w:val="20"/>
          <w:szCs w:val="20"/>
          <w:color w:val="auto"/>
        </w:rPr>
      </w:pPr>
    </w:p>
    <w:p>
      <w:pPr>
        <w:ind w:right="240" w:firstLine="459"/>
        <w:spacing w:after="0" w:line="342" w:lineRule="auto"/>
        <w:rPr>
          <w:sz w:val="20"/>
          <w:szCs w:val="20"/>
          <w:color w:val="auto"/>
        </w:rPr>
      </w:pPr>
      <w:r>
        <w:rPr>
          <w:rFonts w:ascii="Arial" w:cs="Arial" w:eastAsia="Arial" w:hAnsi="Arial"/>
          <w:sz w:val="16"/>
          <w:szCs w:val="16"/>
          <w:color w:val="auto"/>
        </w:rPr>
        <w:t>Our Canadian segment gross margin as a percentage of revenues decreased from 27% in the second quarter of 2018 to 24% in the second quarter of 2019. This was primarily driven by reduced occupancy percentage in certain lodges, impacting operating efficiencies at these lower levels.</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800"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2"/>
        </w:trPr>
        <w:tc>
          <w:tcPr>
            <w:tcW w:w="48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484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Change</w:t>
            </w:r>
          </w:p>
        </w:tc>
      </w:tr>
      <w:tr>
        <w:trPr>
          <w:trHeight w:val="270"/>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4"/>
        </w:trPr>
        <w:tc>
          <w:tcPr>
            <w:tcW w:w="4840" w:type="dxa"/>
            <w:vAlign w:val="bottom"/>
          </w:tcPr>
          <w:p>
            <w:pPr>
              <w:ind w:left="180"/>
              <w:spacing w:after="0"/>
              <w:rPr>
                <w:sz w:val="20"/>
                <w:szCs w:val="20"/>
                <w:color w:val="auto"/>
              </w:rPr>
            </w:pPr>
            <w:r>
              <w:rPr>
                <w:rFonts w:ascii="Arial" w:cs="Arial" w:eastAsia="Arial" w:hAnsi="Arial"/>
                <w:sz w:val="14"/>
                <w:szCs w:val="14"/>
                <w:color w:val="auto"/>
              </w:rPr>
              <w:t>Accommodation revenue (1)</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30,996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29,966</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1,030</w:t>
            </w:r>
          </w:p>
        </w:tc>
      </w:tr>
      <w:tr>
        <w:trPr>
          <w:trHeight w:val="270"/>
        </w:trPr>
        <w:tc>
          <w:tcPr>
            <w:tcW w:w="4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Food service and other services revenue (2)</w:t>
            </w:r>
          </w:p>
        </w:tc>
        <w:tc>
          <w:tcPr>
            <w:tcW w:w="1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(611)</w:t>
            </w:r>
          </w:p>
        </w:tc>
      </w:tr>
      <w:tr>
        <w:trPr>
          <w:trHeight w:val="250"/>
        </w:trPr>
        <w:tc>
          <w:tcPr>
            <w:tcW w:w="484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1120" w:type="dxa"/>
            <w:vAlign w:val="bottom"/>
            <w:tcBorders>
              <w:top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30,996</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30,577</w:t>
            </w:r>
          </w:p>
        </w:tc>
        <w:tc>
          <w:tcPr>
            <w:tcW w:w="100" w:type="dxa"/>
            <w:vAlign w:val="bottom"/>
          </w:tcPr>
          <w:p>
            <w:pPr>
              <w:spacing w:after="0"/>
              <w:rPr>
                <w:sz w:val="21"/>
                <w:szCs w:val="21"/>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419</w:t>
            </w:r>
          </w:p>
        </w:tc>
      </w:tr>
      <w:tr>
        <w:trPr>
          <w:trHeight w:val="276"/>
        </w:trPr>
        <w:tc>
          <w:tcPr>
            <w:tcW w:w="48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40" w:type="dxa"/>
            <w:vAlign w:val="bottom"/>
          </w:tcPr>
          <w:p>
            <w:pPr>
              <w:ind w:left="40"/>
              <w:spacing w:after="0"/>
              <w:rPr>
                <w:sz w:val="20"/>
                <w:szCs w:val="20"/>
                <w:color w:val="auto"/>
              </w:rPr>
            </w:pPr>
            <w:r>
              <w:rPr>
                <w:rFonts w:ascii="Arial" w:cs="Arial" w:eastAsia="Arial" w:hAnsi="Arial"/>
                <w:sz w:val="14"/>
                <w:szCs w:val="14"/>
                <w:color w:val="auto"/>
              </w:rPr>
              <w:t>Cost of sales ($ in thousands)</w:t>
            </w: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4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Accommodation cost</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15,465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14,237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1,228</w:t>
            </w:r>
          </w:p>
        </w:tc>
      </w:tr>
      <w:tr>
        <w:trPr>
          <w:trHeight w:val="264"/>
        </w:trPr>
        <w:tc>
          <w:tcPr>
            <w:tcW w:w="4840" w:type="dxa"/>
            <w:vAlign w:val="bottom"/>
          </w:tcPr>
          <w:p>
            <w:pPr>
              <w:ind w:left="180"/>
              <w:spacing w:after="0"/>
              <w:rPr>
                <w:sz w:val="20"/>
                <w:szCs w:val="20"/>
                <w:color w:val="auto"/>
              </w:rPr>
            </w:pPr>
            <w:r>
              <w:rPr>
                <w:rFonts w:ascii="Arial" w:cs="Arial" w:eastAsia="Arial" w:hAnsi="Arial"/>
                <w:sz w:val="14"/>
                <w:szCs w:val="14"/>
                <w:color w:val="auto"/>
              </w:rPr>
              <w:t>Food service and other services cost</w:t>
            </w:r>
          </w:p>
        </w:tc>
        <w:tc>
          <w:tcPr>
            <w:tcW w:w="112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(497)</w:t>
            </w:r>
          </w:p>
        </w:tc>
      </w:tr>
      <w:tr>
        <w:trPr>
          <w:trHeight w:val="270"/>
        </w:trPr>
        <w:tc>
          <w:tcPr>
            <w:tcW w:w="4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Indirect other cost</w:t>
            </w:r>
          </w:p>
        </w:tc>
        <w:tc>
          <w:tcPr>
            <w:tcW w:w="1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590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w:t>
            </w:r>
          </w:p>
        </w:tc>
      </w:tr>
      <w:tr>
        <w:trPr>
          <w:trHeight w:val="250"/>
        </w:trPr>
        <w:tc>
          <w:tcPr>
            <w:tcW w:w="4840" w:type="dxa"/>
            <w:vAlign w:val="bottom"/>
          </w:tcPr>
          <w:p>
            <w:pPr>
              <w:ind w:left="380"/>
              <w:spacing w:after="0"/>
              <w:rPr>
                <w:sz w:val="20"/>
                <w:szCs w:val="20"/>
                <w:color w:val="auto"/>
              </w:rPr>
            </w:pPr>
            <w:r>
              <w:rPr>
                <w:rFonts w:ascii="Arial" w:cs="Arial" w:eastAsia="Arial" w:hAnsi="Arial"/>
                <w:sz w:val="14"/>
                <w:szCs w:val="14"/>
                <w:color w:val="auto"/>
              </w:rPr>
              <w:t>Total cost of sales and services</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16,055</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15,349</w:t>
            </w:r>
          </w:p>
        </w:tc>
        <w:tc>
          <w:tcPr>
            <w:tcW w:w="10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706</w:t>
            </w:r>
          </w:p>
        </w:tc>
      </w:tr>
      <w:tr>
        <w:trPr>
          <w:trHeight w:val="276"/>
        </w:trPr>
        <w:tc>
          <w:tcPr>
            <w:tcW w:w="48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40" w:type="dxa"/>
            <w:vAlign w:val="bottom"/>
          </w:tcPr>
          <w:p>
            <w:pPr>
              <w:ind w:left="40"/>
              <w:spacing w:after="0"/>
              <w:rPr>
                <w:sz w:val="20"/>
                <w:szCs w:val="20"/>
                <w:color w:val="auto"/>
              </w:rPr>
            </w:pPr>
            <w:r>
              <w:rPr>
                <w:rFonts w:ascii="Arial" w:cs="Arial" w:eastAsia="Arial" w:hAnsi="Arial"/>
                <w:sz w:val="14"/>
                <w:szCs w:val="14"/>
                <w:color w:val="auto"/>
              </w:rPr>
              <w:t>Gross margin as a % of revenues</w:t>
            </w:r>
          </w:p>
        </w:tc>
        <w:tc>
          <w:tcPr>
            <w:tcW w:w="1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76"/>
        </w:trPr>
        <w:tc>
          <w:tcPr>
            <w:tcW w:w="48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40" w:type="dxa"/>
            <w:vAlign w:val="bottom"/>
          </w:tcPr>
          <w:p>
            <w:pPr>
              <w:ind w:left="40"/>
              <w:spacing w:after="0"/>
              <w:rPr>
                <w:sz w:val="20"/>
                <w:szCs w:val="20"/>
                <w:color w:val="auto"/>
              </w:rPr>
            </w:pPr>
            <w:r>
              <w:rPr>
                <w:rFonts w:ascii="Arial" w:cs="Arial" w:eastAsia="Arial" w:hAnsi="Arial"/>
                <w:sz w:val="14"/>
                <w:szCs w:val="14"/>
                <w:color w:val="auto"/>
              </w:rPr>
              <w:t>Average daily rate for villages (3)</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(6)</w:t>
            </w:r>
          </w:p>
        </w:tc>
      </w:tr>
      <w:tr>
        <w:trPr>
          <w:trHeight w:val="276"/>
        </w:trPr>
        <w:tc>
          <w:tcPr>
            <w:tcW w:w="48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40" w:type="dxa"/>
            <w:vAlign w:val="bottom"/>
          </w:tcPr>
          <w:p>
            <w:pPr>
              <w:ind w:left="40"/>
              <w:spacing w:after="0"/>
              <w:rPr>
                <w:sz w:val="20"/>
                <w:szCs w:val="20"/>
                <w:color w:val="auto"/>
              </w:rPr>
            </w:pPr>
            <w:r>
              <w:rPr>
                <w:rFonts w:ascii="Arial" w:cs="Arial" w:eastAsia="Arial" w:hAnsi="Arial"/>
                <w:sz w:val="14"/>
                <w:szCs w:val="14"/>
                <w:color w:val="auto"/>
              </w:rPr>
              <w:t>Total billed rooms for villages (4)</w:t>
            </w:r>
          </w:p>
        </w:tc>
        <w:tc>
          <w:tcPr>
            <w:tcW w:w="112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416,416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376,369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40,047</w:t>
            </w:r>
          </w:p>
        </w:tc>
      </w:tr>
      <w:tr>
        <w:trPr>
          <w:trHeight w:val="276"/>
        </w:trPr>
        <w:tc>
          <w:tcPr>
            <w:tcW w:w="48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58"/>
        </w:trPr>
        <w:tc>
          <w:tcPr>
            <w:tcW w:w="4840" w:type="dxa"/>
            <w:vAlign w:val="bottom"/>
          </w:tcPr>
          <w:p>
            <w:pPr>
              <w:ind w:left="40"/>
              <w:spacing w:after="0"/>
              <w:rPr>
                <w:sz w:val="20"/>
                <w:szCs w:val="20"/>
                <w:color w:val="auto"/>
              </w:rPr>
            </w:pPr>
            <w:r>
              <w:rPr>
                <w:rFonts w:ascii="Arial" w:cs="Arial" w:eastAsia="Arial" w:hAnsi="Arial"/>
                <w:sz w:val="14"/>
                <w:szCs w:val="14"/>
                <w:color w:val="auto"/>
              </w:rPr>
              <w:t>Australian dollar to U.S. dollar</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0.700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0.757</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(0.057)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revenues related to village rooms and hospitality services for owned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revenues related to food services and other services, including facilities management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11"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color w:val="auto"/>
        </w:rPr>
        <w:t>Our Australian segment reported revenues in the second quarter of 2019 that were $0.4 million, or 1%, higher than the second quarter of 2018. The weakening of the average exchange rates for Australian dollars relative to the U.S. dollar by 8% in the second quarter of 2019 compared to the second quarter of 2018 resulted in a $2.5 million period-over-period decrease in revenues and a $6 reduction in the average daily rate. Excluding the impact of the weaker Australian exchange rates, the Australian segment experienced a 10% increase in revenues due to increased activity at our Bowen Basin villages partially offset by decreased activity at our Gunnedah Basin villages.</w:t>
      </w:r>
    </w:p>
    <w:p>
      <w:pPr>
        <w:spacing w:after="0" w:line="188" w:lineRule="exact"/>
        <w:rPr>
          <w:sz w:val="20"/>
          <w:szCs w:val="20"/>
          <w:color w:val="auto"/>
        </w:rPr>
      </w:pPr>
    </w:p>
    <w:p>
      <w:pPr>
        <w:ind w:firstLine="459"/>
        <w:spacing w:after="0" w:line="264" w:lineRule="auto"/>
        <w:rPr>
          <w:sz w:val="20"/>
          <w:szCs w:val="20"/>
          <w:color w:val="auto"/>
        </w:rPr>
      </w:pPr>
      <w:r>
        <w:rPr>
          <w:rFonts w:ascii="Arial" w:cs="Arial" w:eastAsia="Arial" w:hAnsi="Arial"/>
          <w:sz w:val="18"/>
          <w:szCs w:val="18"/>
          <w:color w:val="auto"/>
        </w:rPr>
        <w:t>Our Australian segment cost of sales increased $0.7 million, or 5%, in the second quarter of 2019 compared to the second quarter of 2018. The increase was primarily driven by additional accretion expense related to an ARO we identified at one of our villages in Australia that should have been recorded in 2011, partially offset by the weakening of the Australian dollar.</w:t>
      </w:r>
    </w:p>
    <w:p>
      <w:pPr>
        <w:spacing w:after="0" w:line="181" w:lineRule="exact"/>
        <w:rPr>
          <w:sz w:val="20"/>
          <w:szCs w:val="20"/>
          <w:color w:val="auto"/>
        </w:rPr>
      </w:pPr>
    </w:p>
    <w:p>
      <w:pPr>
        <w:ind w:firstLine="459"/>
        <w:spacing w:after="0" w:line="264" w:lineRule="auto"/>
        <w:rPr>
          <w:sz w:val="20"/>
          <w:szCs w:val="20"/>
          <w:color w:val="auto"/>
        </w:rPr>
      </w:pPr>
      <w:r>
        <w:rPr>
          <w:rFonts w:ascii="Arial" w:cs="Arial" w:eastAsia="Arial" w:hAnsi="Arial"/>
          <w:sz w:val="18"/>
          <w:szCs w:val="18"/>
          <w:color w:val="auto"/>
        </w:rPr>
        <w:t>Our Australian segment gross margin as a percentage of revenues decreased to 48% in the second quarter of 2019 from 50% in the second quarter of 2018. This was primarily driven by the additional accretion expense noted above, partially offset by improved margins at our Bowen Basin villages as a result of increased occupancy.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584"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Segment Results of Operations – U.S.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2"/>
        </w:trPr>
        <w:tc>
          <w:tcPr>
            <w:tcW w:w="49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Change</w:t>
            </w:r>
          </w:p>
        </w:tc>
      </w:tr>
      <w:tr>
        <w:trPr>
          <w:trHeight w:val="256"/>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13,055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13,082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r>
      <w:tr>
        <w:trPr>
          <w:trHeight w:val="270"/>
        </w:trPr>
        <w:tc>
          <w:tcPr>
            <w:tcW w:w="49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 ($ in thousands)</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9,909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10,549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w:t>
            </w:r>
          </w:p>
        </w:tc>
      </w:tr>
      <w:tr>
        <w:trPr>
          <w:trHeight w:val="270"/>
        </w:trPr>
        <w:tc>
          <w:tcPr>
            <w:tcW w:w="49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margin as a % of revenues</w:t>
            </w:r>
          </w:p>
        </w:tc>
        <w:tc>
          <w:tcPr>
            <w:tcW w:w="11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bl>
    <w:p>
      <w:pPr>
        <w:spacing w:after="0" w:line="202" w:lineRule="exact"/>
        <w:rPr>
          <w:sz w:val="20"/>
          <w:szCs w:val="20"/>
          <w:color w:val="auto"/>
        </w:rPr>
      </w:pPr>
    </w:p>
    <w:p>
      <w:pPr>
        <w:ind w:firstLine="459"/>
        <w:spacing w:after="0" w:line="264" w:lineRule="auto"/>
        <w:rPr>
          <w:sz w:val="20"/>
          <w:szCs w:val="20"/>
          <w:color w:val="auto"/>
        </w:rPr>
      </w:pPr>
      <w:r>
        <w:rPr>
          <w:rFonts w:ascii="Arial" w:cs="Arial" w:eastAsia="Arial" w:hAnsi="Arial"/>
          <w:sz w:val="18"/>
          <w:szCs w:val="18"/>
          <w:color w:val="auto"/>
        </w:rPr>
        <w:t>Our U.S. segment reported revenues were flat in the second quarter of 2019 compared to the second quarter of 2018. This was primarily due to greater U.S. drilling and completion activity in the Bakken, Rockies, mid Continent and Texas markets benefiting our wellsite business, offset by lower revenues from our offshore business resulting from lower project activity.</w:t>
      </w:r>
    </w:p>
    <w:p>
      <w:pPr>
        <w:spacing w:after="0" w:line="181" w:lineRule="exact"/>
        <w:rPr>
          <w:sz w:val="20"/>
          <w:szCs w:val="20"/>
          <w:color w:val="auto"/>
        </w:rPr>
      </w:pPr>
    </w:p>
    <w:p>
      <w:pPr>
        <w:ind w:right="140" w:firstLine="459"/>
        <w:spacing w:after="0" w:line="308" w:lineRule="auto"/>
        <w:rPr>
          <w:sz w:val="20"/>
          <w:szCs w:val="20"/>
          <w:color w:val="auto"/>
        </w:rPr>
      </w:pPr>
      <w:r>
        <w:rPr>
          <w:rFonts w:ascii="Arial" w:cs="Arial" w:eastAsia="Arial" w:hAnsi="Arial"/>
          <w:sz w:val="17"/>
          <w:szCs w:val="17"/>
          <w:color w:val="auto"/>
        </w:rPr>
        <w:t>Our U.S. cost of sales decreased $0.6 million, or 6%, in the second quarter of 2019 compared to the second quarter of 2018. The decrease was driven by reduced activity in our offshore business partially offset by higher cost of sales in the wellsite business related to greater activity.</w:t>
      </w:r>
    </w:p>
    <w:p>
      <w:pPr>
        <w:spacing w:after="0" w:line="147" w:lineRule="exact"/>
        <w:rPr>
          <w:sz w:val="20"/>
          <w:szCs w:val="20"/>
          <w:color w:val="auto"/>
        </w:rPr>
      </w:pPr>
    </w:p>
    <w:p>
      <w:pPr>
        <w:ind w:right="240" w:firstLine="459"/>
        <w:spacing w:after="0" w:line="342" w:lineRule="auto"/>
        <w:rPr>
          <w:sz w:val="20"/>
          <w:szCs w:val="20"/>
          <w:color w:val="auto"/>
        </w:rPr>
      </w:pPr>
      <w:r>
        <w:rPr>
          <w:rFonts w:ascii="Arial" w:cs="Arial" w:eastAsia="Arial" w:hAnsi="Arial"/>
          <w:sz w:val="16"/>
          <w:szCs w:val="16"/>
          <w:color w:val="auto"/>
        </w:rPr>
        <w:t>Our U.S. segment gross margin as a percentage of revenues increased from 19% in the second quarter of 2018 to 24% in the second quarter of 2019 primarily due to greater U.S. drilling and completion activity in the Bakken, Rockies, mid Continent and Texas markets benefiting our wellsite business.</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584"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Results of Operations – Six Months Ended June 30, 2019 Compared to Six Months Ended June 30,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46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312"/>
        </w:trPr>
        <w:tc>
          <w:tcPr>
            <w:tcW w:w="5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6"/>
        </w:trPr>
        <w:tc>
          <w:tcPr>
            <w:tcW w:w="5040" w:type="dxa"/>
            <w:vAlign w:val="bottom"/>
          </w:tcPr>
          <w:p>
            <w:pPr>
              <w:ind w:left="40"/>
              <w:spacing w:after="0"/>
              <w:rPr>
                <w:sz w:val="20"/>
                <w:szCs w:val="20"/>
                <w:color w:val="auto"/>
              </w:rPr>
            </w:pPr>
            <w:r>
              <w:rPr>
                <w:rFonts w:ascii="Arial" w:cs="Arial" w:eastAsia="Arial" w:hAnsi="Arial"/>
                <w:sz w:val="14"/>
                <w:szCs w:val="14"/>
                <w:color w:val="auto"/>
              </w:rPr>
              <w:t>Revenues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Canada</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144,872</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149,908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(5,036)</w:t>
            </w: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Australia</w:t>
            </w:r>
          </w:p>
        </w:tc>
        <w:tc>
          <w:tcPr>
            <w:tcW w:w="4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59,417</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58,452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965</w:t>
            </w:r>
          </w:p>
        </w:tc>
      </w:tr>
      <w:tr>
        <w:trPr>
          <w:trHeight w:val="270"/>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United States and other</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26,414</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23,321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3,093</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42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230,703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231,681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(978)</w:t>
            </w: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Costs and expenses</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Cost of sales and services</w:t>
            </w: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Canada</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113,923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115,453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w:t>
            </w:r>
          </w:p>
        </w:tc>
      </w:tr>
      <w:tr>
        <w:trPr>
          <w:trHeight w:val="264"/>
        </w:trPr>
        <w:tc>
          <w:tcPr>
            <w:tcW w:w="5040" w:type="dxa"/>
            <w:vAlign w:val="bottom"/>
          </w:tcPr>
          <w:p>
            <w:pPr>
              <w:ind w:left="380"/>
              <w:spacing w:after="0"/>
              <w:rPr>
                <w:sz w:val="20"/>
                <w:szCs w:val="20"/>
                <w:color w:val="auto"/>
              </w:rPr>
            </w:pPr>
            <w:r>
              <w:rPr>
                <w:rFonts w:ascii="Arial" w:cs="Arial" w:eastAsia="Arial" w:hAnsi="Arial"/>
                <w:sz w:val="14"/>
                <w:szCs w:val="14"/>
                <w:color w:val="auto"/>
              </w:rPr>
              <w:t>Australia</w:t>
            </w:r>
          </w:p>
        </w:tc>
        <w:tc>
          <w:tcPr>
            <w:tcW w:w="4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31,054</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30,682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372</w:t>
            </w:r>
          </w:p>
        </w:tc>
      </w:tr>
      <w:tr>
        <w:trPr>
          <w:trHeight w:val="27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United States and other</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19,893</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21,021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w:t>
            </w:r>
          </w:p>
        </w:tc>
      </w:tr>
      <w:tr>
        <w:trPr>
          <w:trHeight w:val="250"/>
        </w:trPr>
        <w:tc>
          <w:tcPr>
            <w:tcW w:w="5040" w:type="dxa"/>
            <w:vAlign w:val="bottom"/>
          </w:tcPr>
          <w:p>
            <w:pPr>
              <w:ind w:left="500"/>
              <w:spacing w:after="0"/>
              <w:rPr>
                <w:sz w:val="20"/>
                <w:szCs w:val="20"/>
                <w:color w:val="auto"/>
              </w:rPr>
            </w:pPr>
            <w:r>
              <w:rPr>
                <w:rFonts w:ascii="Arial" w:cs="Arial" w:eastAsia="Arial" w:hAnsi="Arial"/>
                <w:sz w:val="14"/>
                <w:szCs w:val="14"/>
                <w:color w:val="auto"/>
              </w:rPr>
              <w:t>Total cost of sales and services</w:t>
            </w:r>
          </w:p>
        </w:tc>
        <w:tc>
          <w:tcPr>
            <w:tcW w:w="42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164,870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167,156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(2,286)</w:t>
            </w: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 expenses</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28,626</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38,335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(9,709)</w:t>
            </w: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Depreciation and amortization expense</w:t>
            </w:r>
          </w:p>
        </w:tc>
        <w:tc>
          <w:tcPr>
            <w:tcW w:w="4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61,778</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65,034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(3,256)</w:t>
            </w: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expense</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5,546</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(23,115)</w:t>
            </w: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operating expense (income)</w:t>
            </w: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w:t>
            </w:r>
          </w:p>
        </w:tc>
      </w:tr>
      <w:tr>
        <w:trPr>
          <w:trHeight w:val="25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costs and expenses</w:t>
            </w: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260,652</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299,697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(39,045)</w:t>
            </w: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Operating loss</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(29,949)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(68,016)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38,067</w:t>
            </w:r>
          </w:p>
        </w:tc>
      </w:tr>
      <w:tr>
        <w:trPr>
          <w:trHeight w:val="276"/>
        </w:trPr>
        <w:tc>
          <w:tcPr>
            <w:tcW w:w="50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Interest expense and income, net</w:t>
            </w:r>
          </w:p>
        </w:tc>
        <w:tc>
          <w:tcPr>
            <w:tcW w:w="4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(13,306)</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(13,597)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291</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4,033</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2,511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1,522</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Loss before income taxes</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(39,222)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(79,102)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39,880</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7,334</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24,056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(16,722)</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Net loss</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(31,888)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(55,046)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23,158</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attributable to noncontrolling interest</w:t>
            </w:r>
          </w:p>
        </w:tc>
        <w:tc>
          <w:tcPr>
            <w:tcW w:w="4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Net loss attributable to Civeo Corporation</w:t>
            </w:r>
          </w:p>
        </w:tc>
        <w:tc>
          <w:tcPr>
            <w:tcW w:w="4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(31,888)</w:t>
            </w:r>
          </w:p>
        </w:tc>
        <w:tc>
          <w:tcPr>
            <w:tcW w:w="12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(55,290)</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23,402</w:t>
            </w:r>
          </w:p>
        </w:tc>
      </w:tr>
      <w:tr>
        <w:trPr>
          <w:trHeight w:val="27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attributable to preferred shares</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920</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48,488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(47,568)</w:t>
            </w:r>
          </w:p>
        </w:tc>
      </w:tr>
      <w:tr>
        <w:trPr>
          <w:trHeight w:val="243"/>
        </w:trPr>
        <w:tc>
          <w:tcPr>
            <w:tcW w:w="5040" w:type="dxa"/>
            <w:vAlign w:val="bottom"/>
          </w:tcPr>
          <w:p>
            <w:pPr>
              <w:ind w:left="40"/>
              <w:spacing w:after="0"/>
              <w:rPr>
                <w:sz w:val="20"/>
                <w:szCs w:val="20"/>
                <w:color w:val="auto"/>
              </w:rPr>
            </w:pPr>
            <w:r>
              <w:rPr>
                <w:rFonts w:ascii="Arial" w:cs="Arial" w:eastAsia="Arial" w:hAnsi="Arial"/>
                <w:sz w:val="14"/>
                <w:szCs w:val="14"/>
                <w:color w:val="auto"/>
              </w:rPr>
              <w:t>Net loss attributable to Civeo common shareholders</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(32,808)</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(103,778)</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70,970</w:t>
            </w:r>
          </w:p>
        </w:tc>
      </w:tr>
      <w:tr>
        <w:trPr>
          <w:trHeight w:val="20"/>
        </w:trPr>
        <w:tc>
          <w:tcPr>
            <w:tcW w:w="5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59"/>
        <w:spacing w:after="0" w:line="264" w:lineRule="auto"/>
        <w:rPr>
          <w:sz w:val="20"/>
          <w:szCs w:val="20"/>
          <w:color w:val="auto"/>
        </w:rPr>
      </w:pPr>
      <w:r>
        <w:rPr>
          <w:rFonts w:ascii="Arial" w:cs="Arial" w:eastAsia="Arial" w:hAnsi="Arial"/>
          <w:sz w:val="18"/>
          <w:szCs w:val="18"/>
          <w:color w:val="auto"/>
        </w:rPr>
        <w:t>We reported net loss attributable to Civeo for the six months ended June 30, 2019 of $32.8 million, or $0.20 per diluted share. As further discussed below, net loss included a $5.5 million pre-tax loss ($5.5 million after-tax, or $0.03 per diluted share) resulting from the impairment of fixed assets included in Impairment expense.</w:t>
      </w:r>
    </w:p>
    <w:p>
      <w:pPr>
        <w:spacing w:after="0" w:line="181" w:lineRule="exact"/>
        <w:rPr>
          <w:sz w:val="20"/>
          <w:szCs w:val="20"/>
          <w:color w:val="auto"/>
        </w:rPr>
      </w:pPr>
    </w:p>
    <w:p>
      <w:pPr>
        <w:ind w:right="80" w:firstLine="459"/>
        <w:spacing w:after="0" w:line="257" w:lineRule="auto"/>
        <w:rPr>
          <w:sz w:val="20"/>
          <w:szCs w:val="20"/>
          <w:color w:val="auto"/>
        </w:rPr>
      </w:pPr>
      <w:r>
        <w:rPr>
          <w:rFonts w:ascii="Arial" w:cs="Arial" w:eastAsia="Arial" w:hAnsi="Arial"/>
          <w:sz w:val="18"/>
          <w:szCs w:val="18"/>
          <w:color w:val="auto"/>
        </w:rPr>
        <w:t>We reported net loss attributable to Civeo for the six months ended June 30, 2018 of $103.8 million, or $0.70 per diluted share. As further discussed below, net loss included (1) a $28.7 million pre-tax loss ($20.9 million after-tax, or $0.14 per diluted share) resulting from the impairment of fixed assets included in Impairment expense, (2) costs totaling $6.6 million ($5.9 million after-tax, or $0.04 per diluted share) incurred in connection with the Noralta acquisition, primarily included in Selling, general and administrative (SG&amp;A) expense below, and (3) $48.5 million of dividends attributable to the preferred shares issued in the Noralta acquisition.</w:t>
      </w:r>
    </w:p>
    <w:p>
      <w:pPr>
        <w:spacing w:after="0" w:line="184" w:lineRule="exact"/>
        <w:rPr>
          <w:sz w:val="20"/>
          <w:szCs w:val="20"/>
          <w:color w:val="auto"/>
        </w:rPr>
      </w:pPr>
    </w:p>
    <w:p>
      <w:pPr>
        <w:ind w:firstLine="459"/>
        <w:spacing w:after="0" w:line="273"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Consolidated revenues decreased $1.0 million in the six months ended June 30, 2019 compared to the six months ended June 30, 2018. This</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 was primarily due to decreases in Canada due to (1) lower room demand from major customers in our core oil sands lodges related to the non-recurrence of large client turnaround projects that positively impacted the second quarter of 2018, (2) reduced mobile facility rental revenue and (3) the continued impact of provincially imposed oil production curtailments. Additionally, weaker Canadian and Australian dollars relative to the U.S. dollar in the first half of 2019 compared to the first half of 2018 contributed to decreased revenues. This was partially offset by higher activity levels in certain markets in Australia and the U.S. and increased food service and other services revenue in Canada in the first half of 2019 compared to the first half of 2018. Please see the discussion of segment results of operations below for further information.</w:t>
      </w:r>
    </w:p>
    <w:p>
      <w:pPr>
        <w:sectPr>
          <w:pgSz w:w="11900" w:h="16838" w:orient="portrait"/>
          <w:cols w:equalWidth="0" w:num="1">
            <w:col w:w="11380"/>
          </w:cols>
          <w:pgMar w:left="240" w:top="584" w:right="27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80"/>
          </w:cols>
          <w:pgMar w:left="240" w:top="584" w:right="279" w:bottom="1440" w:gutter="0" w:footer="0" w:header="0"/>
          <w:type w:val="continuous"/>
        </w:sectPr>
      </w:pPr>
    </w:p>
    <w:bookmarkStart w:id="34" w:name="page35"/>
    <w:bookmarkEnd w:id="34"/>
    <w:p>
      <w:pPr>
        <w:ind w:right="140" w:firstLine="459"/>
        <w:spacing w:after="0" w:line="258"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decreased $2.3 million, or 1%, in the six months ended June 30, 2019 compared to the six</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June 30, 2018, primarily due to reduced mobile facility rental cost of sales in Canada and reduced activity in our offshore business in the U.S. Additionally, weaker Canadian and Australian dollars relative to the U.S. dollar in the first half of 2019 compared to the first half of 2018 contributed to decreased cost of sales and services. This was partially offset by increased food services activity in Canada. Please see the discussion of segment results of operations below for further description.</w:t>
      </w:r>
    </w:p>
    <w:p>
      <w:pPr>
        <w:spacing w:after="0" w:line="184" w:lineRule="exact"/>
        <w:rPr>
          <w:sz w:val="20"/>
          <w:szCs w:val="20"/>
          <w:color w:val="auto"/>
        </w:rPr>
      </w:pPr>
    </w:p>
    <w:p>
      <w:pPr>
        <w:ind w:right="60" w:firstLine="459"/>
        <w:spacing w:after="0" w:line="26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SG&amp;A expense decreased $9.7 million, or 25%, in the six months ended June 30, 2019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six months ended June 30, 2018. This decrease was primarily due to lower costs incurred in connection with the Noralta acquisition, lower incentive compensation costs and lower share-based compensation expense. The decrease in share-based compensation was largely due to a reduction in the amount of phantom share awards outstanding during the six months ended June 30, 2019.</w:t>
      </w:r>
    </w:p>
    <w:p>
      <w:pPr>
        <w:spacing w:after="0" w:line="180" w:lineRule="exact"/>
        <w:rPr>
          <w:sz w:val="20"/>
          <w:szCs w:val="20"/>
          <w:color w:val="auto"/>
        </w:rPr>
      </w:pPr>
    </w:p>
    <w:p>
      <w:pPr>
        <w:ind w:right="180" w:firstLine="459"/>
        <w:spacing w:after="0" w:line="298" w:lineRule="auto"/>
        <w:rPr>
          <w:sz w:val="20"/>
          <w:szCs w:val="20"/>
          <w:color w:val="auto"/>
        </w:rPr>
      </w:pPr>
      <w:r>
        <w:rPr>
          <w:rFonts w:ascii="Arial" w:cs="Arial" w:eastAsia="Arial" w:hAnsi="Arial"/>
          <w:sz w:val="16"/>
          <w:szCs w:val="16"/>
          <w:b w:val="1"/>
          <w:bCs w:val="1"/>
          <w:color w:val="auto"/>
        </w:rPr>
        <w:t xml:space="preserve">Depreciation and Amortization Expense. </w:t>
      </w:r>
      <w:r>
        <w:rPr>
          <w:rFonts w:ascii="Arial" w:cs="Arial" w:eastAsia="Arial" w:hAnsi="Arial"/>
          <w:sz w:val="16"/>
          <w:szCs w:val="16"/>
          <w:color w:val="auto"/>
        </w:rPr>
        <w:t>Depreciation and amortization expense decreased $3.3 million, or 5% in the six months ended June 30,</w:t>
      </w:r>
      <w:r>
        <w:rPr>
          <w:rFonts w:ascii="Arial" w:cs="Arial" w:eastAsia="Arial" w:hAnsi="Arial"/>
          <w:sz w:val="16"/>
          <w:szCs w:val="16"/>
          <w:b w:val="1"/>
          <w:bCs w:val="1"/>
          <w:color w:val="auto"/>
        </w:rPr>
        <w:t xml:space="preserve"> </w:t>
      </w:r>
      <w:r>
        <w:rPr>
          <w:rFonts w:ascii="Arial" w:cs="Arial" w:eastAsia="Arial" w:hAnsi="Arial"/>
          <w:sz w:val="16"/>
          <w:szCs w:val="16"/>
          <w:color w:val="auto"/>
        </w:rPr>
        <w:t>2019 compared to the six months ended June 30, 2018. Decreases are due to (1) certain assets and intangibles becoming fully depreciated during 2018, (2) reduced depreciation expense resulting from impairments recorded in 2018 and (3) weaker Canadian and Australian dollars relative to the U.S. dollar in the six months ended June 30, 2019 compared to the six months ended June 30, 2018. These items were partially offset by additional property, plant and equipment acquired through acquisitions in 2018, as well as incremental intangible amortization expense related to our acquisitions.</w:t>
      </w:r>
    </w:p>
    <w:p>
      <w:pPr>
        <w:spacing w:after="0" w:line="154" w:lineRule="exact"/>
        <w:rPr>
          <w:sz w:val="20"/>
          <w:szCs w:val="20"/>
          <w:color w:val="auto"/>
        </w:rPr>
      </w:pPr>
    </w:p>
    <w:p>
      <w:pPr>
        <w:ind w:firstLine="459"/>
        <w:spacing w:after="0" w:line="272" w:lineRule="auto"/>
        <w:rPr>
          <w:sz w:val="20"/>
          <w:szCs w:val="20"/>
          <w:color w:val="auto"/>
        </w:rPr>
      </w:pPr>
      <w:r>
        <w:rPr>
          <w:rFonts w:ascii="Arial" w:cs="Arial" w:eastAsia="Arial" w:hAnsi="Arial"/>
          <w:sz w:val="17"/>
          <w:szCs w:val="17"/>
          <w:b w:val="1"/>
          <w:bCs w:val="1"/>
          <w:color w:val="auto"/>
        </w:rPr>
        <w:t xml:space="preserve">Impairment Expense. </w:t>
      </w:r>
      <w:r>
        <w:rPr>
          <w:rFonts w:ascii="Arial" w:cs="Arial" w:eastAsia="Arial" w:hAnsi="Arial"/>
          <w:sz w:val="17"/>
          <w:szCs w:val="17"/>
          <w:color w:val="auto"/>
        </w:rPr>
        <w:t>We recorded pre-tax impairment expense of $5.5 million in the second quarter of 2019 associated with long-lived assets in our</w:t>
      </w:r>
      <w:r>
        <w:rPr>
          <w:rFonts w:ascii="Arial" w:cs="Arial" w:eastAsia="Arial" w:hAnsi="Arial"/>
          <w:sz w:val="17"/>
          <w:szCs w:val="17"/>
          <w:b w:val="1"/>
          <w:bCs w:val="1"/>
          <w:color w:val="auto"/>
        </w:rPr>
        <w:t xml:space="preserve"> </w:t>
      </w:r>
      <w:r>
        <w:rPr>
          <w:rFonts w:ascii="Arial" w:cs="Arial" w:eastAsia="Arial" w:hAnsi="Arial"/>
          <w:sz w:val="17"/>
          <w:szCs w:val="17"/>
          <w:color w:val="auto"/>
        </w:rPr>
        <w:t>Australian segment. This includes $1.0 million of impairment expense related to an error corrected in the second quarter 2019. We identified a liability related to an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2019. Specifically, we recorded the following amounts in our second quarter 2019 unaudited consolidated statements of operations related to prior periods: (1) additional accretion expense related to the ARO of $0.9 million, (2) additional depreciation and amortization expense of $0.5 million related to amortization of the asset retirement cost and (3) additional impairment expense related to the impairment of the asset retirement cost of $1.0 million offset by recognition of an ARO liability totaling $2.3 million as of June 30, 2019.</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recorded pre-tax impairment expense of $28.7 million in the first quarter of 2018 associated with long-lived assets in our Canadian segment.</w:t>
      </w:r>
    </w:p>
    <w:p>
      <w:pPr>
        <w:spacing w:after="0" w:line="237" w:lineRule="exact"/>
        <w:rPr>
          <w:sz w:val="20"/>
          <w:szCs w:val="20"/>
          <w:color w:val="auto"/>
        </w:rPr>
      </w:pPr>
    </w:p>
    <w:p>
      <w:pPr>
        <w:ind w:right="240" w:firstLine="459"/>
        <w:spacing w:after="0" w:line="277" w:lineRule="auto"/>
        <w:rPr>
          <w:sz w:val="20"/>
          <w:szCs w:val="20"/>
          <w:color w:val="auto"/>
        </w:rPr>
      </w:pPr>
      <w:r>
        <w:rPr>
          <w:rFonts w:ascii="Arial" w:cs="Arial" w:eastAsia="Arial" w:hAnsi="Arial"/>
          <w:sz w:val="18"/>
          <w:szCs w:val="18"/>
          <w:color w:val="auto"/>
        </w:rPr>
        <w:t>Please see Note 6 - Impairment Charges to the notes to the unaudited consolidated financial statements included in Item 1 of this quarterly report for further discussion.</w:t>
      </w:r>
    </w:p>
    <w:p>
      <w:pPr>
        <w:spacing w:after="0" w:line="166" w:lineRule="exact"/>
        <w:rPr>
          <w:sz w:val="20"/>
          <w:szCs w:val="20"/>
          <w:color w:val="auto"/>
        </w:rPr>
      </w:pPr>
    </w:p>
    <w:p>
      <w:pPr>
        <w:ind w:right="380" w:firstLine="459"/>
        <w:spacing w:after="0" w:line="282"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Consolidated operating loss decreased $38.1 million, or 56%, in the six months ended June 30, 2019 compared to the six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2018, primarily due to lower impairment expense and SG&amp;A expenses.</w:t>
      </w:r>
    </w:p>
    <w:p>
      <w:pPr>
        <w:spacing w:after="0" w:line="162" w:lineRule="exact"/>
        <w:rPr>
          <w:sz w:val="20"/>
          <w:szCs w:val="20"/>
          <w:color w:val="auto"/>
        </w:rPr>
      </w:pPr>
    </w:p>
    <w:p>
      <w:pPr>
        <w:ind w:right="140" w:firstLine="459"/>
        <w:spacing w:after="0" w:line="281" w:lineRule="auto"/>
        <w:rPr>
          <w:sz w:val="20"/>
          <w:szCs w:val="20"/>
          <w:color w:val="auto"/>
        </w:rPr>
      </w:pPr>
      <w:r>
        <w:rPr>
          <w:rFonts w:ascii="Arial" w:cs="Arial" w:eastAsia="Arial" w:hAnsi="Arial"/>
          <w:sz w:val="17"/>
          <w:szCs w:val="17"/>
          <w:b w:val="1"/>
          <w:bCs w:val="1"/>
          <w:color w:val="auto"/>
        </w:rPr>
        <w:t xml:space="preserve">Interest Expense and Interest Income, net. </w:t>
      </w:r>
      <w:r>
        <w:rPr>
          <w:rFonts w:ascii="Arial" w:cs="Arial" w:eastAsia="Arial" w:hAnsi="Arial"/>
          <w:sz w:val="17"/>
          <w:szCs w:val="17"/>
          <w:color w:val="auto"/>
        </w:rPr>
        <w:t>Net interest expense decreased by $0.3 million, or 2%, in the six months ended June 30, 2019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six months ended June 30, 2018, primarily related to the 2018 write-off of $0.7 million of debt issuance costs associated with the Amended Credit Agreement and lower non-cash amortization of debt issuance costs, partially offset by higher average debt levels and higher interest rates on term loan and revolving credit facility borrowings in the six months ended June 30, 2019 compared to the six months ended June 30, 2018.</w:t>
      </w:r>
    </w:p>
    <w:p>
      <w:pPr>
        <w:spacing w:after="0" w:line="165" w:lineRule="exact"/>
        <w:rPr>
          <w:sz w:val="20"/>
          <w:szCs w:val="20"/>
          <w:color w:val="auto"/>
        </w:rPr>
      </w:pPr>
    </w:p>
    <w:p>
      <w:pPr>
        <w:ind w:right="20" w:firstLine="459"/>
        <w:spacing w:after="0" w:line="281" w:lineRule="auto"/>
        <w:rPr>
          <w:sz w:val="20"/>
          <w:szCs w:val="20"/>
          <w:color w:val="auto"/>
        </w:rPr>
      </w:pPr>
      <w:r>
        <w:rPr>
          <w:rFonts w:ascii="Arial" w:cs="Arial" w:eastAsia="Arial" w:hAnsi="Arial"/>
          <w:sz w:val="17"/>
          <w:szCs w:val="17"/>
          <w:b w:val="1"/>
          <w:bCs w:val="1"/>
          <w:color w:val="auto"/>
        </w:rPr>
        <w:t xml:space="preserve">Other Income. </w:t>
      </w:r>
      <w:r>
        <w:rPr>
          <w:rFonts w:ascii="Arial" w:cs="Arial" w:eastAsia="Arial" w:hAnsi="Arial"/>
          <w:sz w:val="17"/>
          <w:szCs w:val="17"/>
          <w:color w:val="auto"/>
        </w:rPr>
        <w:t>Consolidated other income increased $1.5 million, or 61%, in the six months ended June 30, 2019 compared to the six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June 30, 2018, primarily due to $2.6 million of other income for proceeds received in the first half of 2019 from a property damage and business interruption insurance claim related to the closure of a lodge in 2018 for maintenance-related operational issues. This increase was partially offset by lower gain on sale of assets in the six months ended June 30, 2019 compared to the six months ended June 30, 2018.</w:t>
      </w:r>
    </w:p>
    <w:p>
      <w:pPr>
        <w:spacing w:after="0" w:line="165" w:lineRule="exact"/>
        <w:rPr>
          <w:sz w:val="20"/>
          <w:szCs w:val="20"/>
          <w:color w:val="auto"/>
        </w:rPr>
      </w:pPr>
    </w:p>
    <w:p>
      <w:pPr>
        <w:ind w:right="160" w:firstLine="459"/>
        <w:spacing w:after="0" w:line="261" w:lineRule="auto"/>
        <w:rPr>
          <w:sz w:val="20"/>
          <w:szCs w:val="20"/>
          <w:color w:val="auto"/>
        </w:rPr>
      </w:pPr>
      <w:r>
        <w:rPr>
          <w:rFonts w:ascii="Arial" w:cs="Arial" w:eastAsia="Arial" w:hAnsi="Arial"/>
          <w:sz w:val="18"/>
          <w:szCs w:val="18"/>
          <w:b w:val="1"/>
          <w:bCs w:val="1"/>
          <w:color w:val="auto"/>
        </w:rPr>
        <w:t xml:space="preserve">Income Tax Benefit. </w:t>
      </w:r>
      <w:r>
        <w:rPr>
          <w:rFonts w:ascii="Arial" w:cs="Arial" w:eastAsia="Arial" w:hAnsi="Arial"/>
          <w:sz w:val="18"/>
          <w:szCs w:val="18"/>
          <w:color w:val="auto"/>
        </w:rPr>
        <w:t>Our income tax benefit for the six months ended June 30, 2019 totaled $7.3 million, or 18.7% of pretax loss, compared to a</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$24.1 million, or 30.4% of pretax loss, for the six months ended June 30, 2018. Our effective tax rate for the six months ended June 30, 2019 and 2018 was reduced approximately 3% and 5%, respectively, by the exclusion of Australia and the U.S. for purposes of computing the interim tax provision since they are considered loss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80" w:right="259" w:bottom="1440" w:gutter="0" w:footer="0" w:header="0"/>
        </w:sectPr>
      </w:pPr>
    </w:p>
    <w:bookmarkStart w:id="35" w:name="page36"/>
    <w:bookmarkEnd w:id="35"/>
    <w:p>
      <w:pPr>
        <w:ind w:right="280"/>
        <w:spacing w:after="0" w:line="277" w:lineRule="auto"/>
        <w:rPr>
          <w:sz w:val="20"/>
          <w:szCs w:val="20"/>
          <w:color w:val="auto"/>
        </w:rPr>
      </w:pPr>
      <w:r>
        <w:rPr>
          <w:rFonts w:ascii="Arial" w:cs="Arial" w:eastAsia="Arial" w:hAnsi="Arial"/>
          <w:sz w:val="18"/>
          <w:szCs w:val="18"/>
          <w:color w:val="auto"/>
        </w:rPr>
        <w:t>jurisdictions for tax accounting purposes. Additionally, the effective tax rate for the six months ended June 30, 2018 was impacted by a tax benefit of $4.9 million that was recorded in the second quarter 2018 to reverse a valuation allowance previously recorded in Canada.</w:t>
      </w:r>
    </w:p>
    <w:p>
      <w:pPr>
        <w:spacing w:after="0" w:line="166" w:lineRule="exact"/>
        <w:rPr>
          <w:sz w:val="20"/>
          <w:szCs w:val="20"/>
          <w:color w:val="auto"/>
        </w:rPr>
      </w:pPr>
    </w:p>
    <w:p>
      <w:pPr>
        <w:ind w:firstLine="459"/>
        <w:spacing w:after="0" w:line="277" w:lineRule="auto"/>
        <w:rPr>
          <w:sz w:val="20"/>
          <w:szCs w:val="20"/>
          <w:color w:val="auto"/>
        </w:rPr>
      </w:pPr>
      <w:r>
        <w:rPr>
          <w:rFonts w:ascii="Arial" w:cs="Arial" w:eastAsia="Arial" w:hAnsi="Arial"/>
          <w:sz w:val="17"/>
          <w:szCs w:val="17"/>
          <w:b w:val="1"/>
          <w:bCs w:val="1"/>
          <w:color w:val="auto"/>
        </w:rPr>
        <w:t xml:space="preserve">Other Comprehensive Income (Loss). </w:t>
      </w:r>
      <w:r>
        <w:rPr>
          <w:rFonts w:ascii="Arial" w:cs="Arial" w:eastAsia="Arial" w:hAnsi="Arial"/>
          <w:sz w:val="17"/>
          <w:szCs w:val="17"/>
          <w:color w:val="auto"/>
        </w:rPr>
        <w:t>Other comprehensive income increased $30.7 million in the six months ended June 30, 2019 compared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six months ended June 30, 2018, primarily as a result of foreign currency translation adjustments due to changes in the Canadian and Australian dollar exchange rates compared to the U.S. dollar. The Canadian dollar exchange rate compared to the U.S. dollar increased 4% in the six months ended June 30, 2019 compared to a 5% decrease in the six months ended June 30, 2018. The Australian dollar exchange rate compared to the U.S. dollar decreased 1% in the six months ended June 30, 2019 compared to a 5% decrease in the six months ended June 30, 2018.</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584"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p>
      <w:pPr>
        <w:spacing w:after="0" w:line="379" w:lineRule="exact"/>
        <w:rPr>
          <w:sz w:val="20"/>
          <w:szCs w:val="20"/>
          <w:color w:val="auto"/>
        </w:rPr>
      </w:pPr>
    </w:p>
    <w:p>
      <w:pPr>
        <w:jc w:val="center"/>
        <w:ind w:left="42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42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13335</wp:posOffset>
            </wp:positionV>
            <wp:extent cx="36620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Change</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0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64"/>
        </w:trPr>
        <w:tc>
          <w:tcPr>
            <w:tcW w:w="4920" w:type="dxa"/>
            <w:vAlign w:val="bottom"/>
          </w:tcPr>
          <w:p>
            <w:pPr>
              <w:ind w:left="180"/>
              <w:spacing w:after="0"/>
              <w:rPr>
                <w:sz w:val="20"/>
                <w:szCs w:val="20"/>
                <w:color w:val="auto"/>
              </w:rPr>
            </w:pPr>
            <w:r>
              <w:rPr>
                <w:rFonts w:ascii="Arial" w:cs="Arial" w:eastAsia="Arial" w:hAnsi="Arial"/>
                <w:sz w:val="14"/>
                <w:szCs w:val="14"/>
                <w:color w:val="auto"/>
              </w:rPr>
              <w:t>Accommodation revenue (1)</w:t>
            </w:r>
          </w:p>
        </w:tc>
        <w:tc>
          <w:tcPr>
            <w:tcW w:w="1060" w:type="dxa"/>
            <w:vAlign w:val="bottom"/>
          </w:tcPr>
          <w:p>
            <w:pPr>
              <w:jc w:val="right"/>
              <w:ind w:right="90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123,835</w:t>
            </w:r>
          </w:p>
        </w:tc>
        <w:tc>
          <w:tcPr>
            <w:tcW w:w="10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131,267</w:t>
            </w:r>
          </w:p>
        </w:tc>
        <w:tc>
          <w:tcPr>
            <w:tcW w:w="10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(7,432)</w:t>
            </w:r>
          </w:p>
        </w:tc>
      </w:tr>
      <w:tr>
        <w:trPr>
          <w:trHeight w:val="276"/>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Mobile facility rental revenue (2)</w:t>
            </w:r>
          </w:p>
        </w:tc>
        <w:tc>
          <w:tcPr>
            <w:tcW w:w="10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2,600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9,901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(7,301)</w:t>
            </w:r>
          </w:p>
        </w:tc>
      </w:tr>
      <w:tr>
        <w:trPr>
          <w:trHeight w:val="264"/>
        </w:trPr>
        <w:tc>
          <w:tcPr>
            <w:tcW w:w="4920" w:type="dxa"/>
            <w:vAlign w:val="bottom"/>
          </w:tcPr>
          <w:p>
            <w:pPr>
              <w:ind w:left="180"/>
              <w:spacing w:after="0"/>
              <w:rPr>
                <w:sz w:val="20"/>
                <w:szCs w:val="20"/>
                <w:color w:val="auto"/>
              </w:rPr>
            </w:pPr>
            <w:r>
              <w:rPr>
                <w:rFonts w:ascii="Arial" w:cs="Arial" w:eastAsia="Arial" w:hAnsi="Arial"/>
                <w:sz w:val="14"/>
                <w:szCs w:val="14"/>
                <w:color w:val="auto"/>
              </w:rPr>
              <w:t>Food service and other services revenue (3)</w:t>
            </w:r>
          </w:p>
        </w:tc>
        <w:tc>
          <w:tcPr>
            <w:tcW w:w="106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17,423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7,455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9,968</w:t>
            </w: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Manufacturing revenue (4)</w:t>
            </w:r>
          </w:p>
        </w:tc>
        <w:tc>
          <w:tcPr>
            <w:tcW w:w="10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1,014</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1,285</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(271)</w:t>
            </w:r>
          </w:p>
        </w:tc>
      </w:tr>
      <w:tr>
        <w:trPr>
          <w:trHeight w:val="250"/>
        </w:trPr>
        <w:tc>
          <w:tcPr>
            <w:tcW w:w="492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1060" w:type="dxa"/>
            <w:vAlign w:val="bottom"/>
          </w:tcPr>
          <w:p>
            <w:pPr>
              <w:jc w:val="right"/>
              <w:ind w:right="90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144,872</w:t>
            </w:r>
          </w:p>
        </w:tc>
        <w:tc>
          <w:tcPr>
            <w:tcW w:w="10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149,908</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(5,036)</w:t>
            </w:r>
          </w:p>
        </w:tc>
      </w:tr>
      <w:tr>
        <w:trPr>
          <w:trHeight w:val="195"/>
        </w:trPr>
        <w:tc>
          <w:tcPr>
            <w:tcW w:w="4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Cost of sales and services ($ in thousands)</w:t>
            </w:r>
          </w:p>
        </w:tc>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6"/>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Accommodation cost</w:t>
            </w:r>
          </w:p>
        </w:tc>
        <w:tc>
          <w:tcPr>
            <w:tcW w:w="106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87,763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90,658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(2,895)</w:t>
            </w:r>
          </w:p>
        </w:tc>
      </w:tr>
      <w:tr>
        <w:trPr>
          <w:trHeight w:val="264"/>
        </w:trPr>
        <w:tc>
          <w:tcPr>
            <w:tcW w:w="4920" w:type="dxa"/>
            <w:vAlign w:val="bottom"/>
          </w:tcPr>
          <w:p>
            <w:pPr>
              <w:ind w:left="180"/>
              <w:spacing w:after="0"/>
              <w:rPr>
                <w:sz w:val="20"/>
                <w:szCs w:val="20"/>
                <w:color w:val="auto"/>
              </w:rPr>
            </w:pPr>
            <w:r>
              <w:rPr>
                <w:rFonts w:ascii="Arial" w:cs="Arial" w:eastAsia="Arial" w:hAnsi="Arial"/>
                <w:sz w:val="14"/>
                <w:szCs w:val="14"/>
                <w:color w:val="auto"/>
              </w:rPr>
              <w:t>Mobile facility rental cost</w:t>
            </w:r>
          </w:p>
        </w:tc>
        <w:tc>
          <w:tcPr>
            <w:tcW w:w="106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2,676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9,604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(6,928)</w:t>
            </w:r>
          </w:p>
        </w:tc>
      </w:tr>
      <w:tr>
        <w:trPr>
          <w:trHeight w:val="276"/>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Food service and other services cost</w:t>
            </w:r>
          </w:p>
        </w:tc>
        <w:tc>
          <w:tcPr>
            <w:tcW w:w="10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16,301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6,697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9,604</w:t>
            </w:r>
          </w:p>
        </w:tc>
      </w:tr>
      <w:tr>
        <w:trPr>
          <w:trHeight w:val="264"/>
        </w:trPr>
        <w:tc>
          <w:tcPr>
            <w:tcW w:w="4920" w:type="dxa"/>
            <w:vAlign w:val="bottom"/>
          </w:tcPr>
          <w:p>
            <w:pPr>
              <w:ind w:left="180"/>
              <w:spacing w:after="0"/>
              <w:rPr>
                <w:sz w:val="20"/>
                <w:szCs w:val="20"/>
                <w:color w:val="auto"/>
              </w:rPr>
            </w:pPr>
            <w:r>
              <w:rPr>
                <w:rFonts w:ascii="Arial" w:cs="Arial" w:eastAsia="Arial" w:hAnsi="Arial"/>
                <w:sz w:val="14"/>
                <w:szCs w:val="14"/>
                <w:color w:val="auto"/>
              </w:rPr>
              <w:t>Manufacturing cost</w:t>
            </w:r>
          </w:p>
        </w:tc>
        <w:tc>
          <w:tcPr>
            <w:tcW w:w="106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857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1,443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(586)</w:t>
            </w: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Indirect other cost</w:t>
            </w:r>
          </w:p>
        </w:tc>
        <w:tc>
          <w:tcPr>
            <w:tcW w:w="10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6,326</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7,051</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(725)</w:t>
            </w:r>
          </w:p>
        </w:tc>
      </w:tr>
      <w:tr>
        <w:trPr>
          <w:trHeight w:val="250"/>
        </w:trPr>
        <w:tc>
          <w:tcPr>
            <w:tcW w:w="4920" w:type="dxa"/>
            <w:vAlign w:val="bottom"/>
          </w:tcPr>
          <w:p>
            <w:pPr>
              <w:ind w:left="380"/>
              <w:spacing w:after="0"/>
              <w:rPr>
                <w:sz w:val="20"/>
                <w:szCs w:val="20"/>
                <w:color w:val="auto"/>
              </w:rPr>
            </w:pPr>
            <w:r>
              <w:rPr>
                <w:rFonts w:ascii="Arial" w:cs="Arial" w:eastAsia="Arial" w:hAnsi="Arial"/>
                <w:sz w:val="14"/>
                <w:szCs w:val="14"/>
                <w:color w:val="auto"/>
              </w:rPr>
              <w:t>Total cost of sales and services</w:t>
            </w:r>
          </w:p>
        </w:tc>
        <w:tc>
          <w:tcPr>
            <w:tcW w:w="1060" w:type="dxa"/>
            <w:vAlign w:val="bottom"/>
          </w:tcPr>
          <w:p>
            <w:pPr>
              <w:jc w:val="right"/>
              <w:ind w:right="90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113,923</w:t>
            </w:r>
          </w:p>
        </w:tc>
        <w:tc>
          <w:tcPr>
            <w:tcW w:w="10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115,453</w:t>
            </w:r>
          </w:p>
        </w:tc>
        <w:tc>
          <w:tcPr>
            <w:tcW w:w="10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(1,530)</w:t>
            </w:r>
          </w:p>
        </w:tc>
      </w:tr>
      <w:tr>
        <w:trPr>
          <w:trHeight w:val="195"/>
        </w:trPr>
        <w:tc>
          <w:tcPr>
            <w:tcW w:w="4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Gross margin as a % of revenues</w:t>
            </w:r>
          </w:p>
        </w:tc>
        <w:tc>
          <w:tcPr>
            <w:tcW w:w="10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95"/>
        </w:trPr>
        <w:tc>
          <w:tcPr>
            <w:tcW w:w="4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Average daily rate for lodges (5)</w:t>
            </w:r>
          </w:p>
        </w:tc>
        <w:tc>
          <w:tcPr>
            <w:tcW w:w="1060" w:type="dxa"/>
            <w:vAlign w:val="bottom"/>
          </w:tcPr>
          <w:p>
            <w:pPr>
              <w:jc w:val="right"/>
              <w:ind w:right="90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4</w:t>
            </w:r>
          </w:p>
        </w:tc>
      </w:tr>
      <w:tr>
        <w:trPr>
          <w:trHeight w:val="195"/>
        </w:trPr>
        <w:tc>
          <w:tcPr>
            <w:tcW w:w="4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Total billed rooms for lodges (6)</w:t>
            </w:r>
          </w:p>
        </w:tc>
        <w:tc>
          <w:tcPr>
            <w:tcW w:w="106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w w:val="93"/>
              </w:rPr>
              <w:t>1,365,619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1,503,717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(138,098)</w:t>
            </w:r>
          </w:p>
        </w:tc>
      </w:tr>
      <w:tr>
        <w:trPr>
          <w:trHeight w:val="195"/>
        </w:trPr>
        <w:tc>
          <w:tcPr>
            <w:tcW w:w="4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Average Canadian dollar to U.S. dollar</w:t>
            </w:r>
          </w:p>
        </w:tc>
        <w:tc>
          <w:tcPr>
            <w:tcW w:w="1060" w:type="dxa"/>
            <w:vAlign w:val="bottom"/>
          </w:tcPr>
          <w:p>
            <w:pPr>
              <w:jc w:val="right"/>
              <w:ind w:right="90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0.750</w:t>
            </w:r>
          </w:p>
        </w:tc>
        <w:tc>
          <w:tcPr>
            <w:tcW w:w="10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0.783</w:t>
            </w:r>
          </w:p>
        </w:tc>
        <w:tc>
          <w:tcPr>
            <w:tcW w:w="10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(0.033)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revenues related to lodge rooms and hospitality services for owned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revenues related to mobile camps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revenues related to food services, laundry and water and wastewater treatment services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revenues related to modular construction and manufacturing services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11" w:lineRule="exact"/>
        <w:rPr>
          <w:sz w:val="20"/>
          <w:szCs w:val="20"/>
          <w:color w:val="auto"/>
        </w:rPr>
      </w:pPr>
    </w:p>
    <w:p>
      <w:pPr>
        <w:ind w:firstLine="459"/>
        <w:spacing w:after="0" w:line="271" w:lineRule="auto"/>
        <w:rPr>
          <w:sz w:val="20"/>
          <w:szCs w:val="20"/>
          <w:color w:val="auto"/>
        </w:rPr>
      </w:pPr>
      <w:r>
        <w:rPr>
          <w:rFonts w:ascii="Arial" w:cs="Arial" w:eastAsia="Arial" w:hAnsi="Arial"/>
          <w:sz w:val="17"/>
          <w:szCs w:val="17"/>
          <w:color w:val="auto"/>
        </w:rPr>
        <w:t>Our Canadian segment reported revenues in the six months ended June 30, 2019 that were $5.0 million, or 3%, lower than the six months ended June 30, 2018. The weakening of the average exchange rates for the Canadian dollar relative to the U.S. dollar by 4% in the six months ended June 30, 2019 compared to the six months ended June 30, 2018 resulted in a $6.2 million period-over-period decrease in revenues. Excluding the impact of the weaker Canadian exchange rates, the segment experienced a 2% decrease in accommodation revenues. This decrease was driven by lower room demand from major customers in our core oil sands lodges related to the non-recurrence of large client turnaround projects that positively impacted the second quarter of 2018 and the continued impact of provincially imposed oil production curtailments; partially offset by the Noralta acquisition in the second quarter of 2018. Additionally, increased food services activity due to a new contract with an oilsands customer was partially offset by reduced mobile facility rental revenue as 2018 included a pipeline related project.</w:t>
      </w:r>
    </w:p>
    <w:p>
      <w:pPr>
        <w:spacing w:after="0" w:line="179" w:lineRule="exact"/>
        <w:rPr>
          <w:sz w:val="20"/>
          <w:szCs w:val="20"/>
          <w:color w:val="auto"/>
        </w:rPr>
      </w:pPr>
    </w:p>
    <w:p>
      <w:pPr>
        <w:ind w:right="80" w:firstLine="459"/>
        <w:spacing w:after="0" w:line="297" w:lineRule="auto"/>
        <w:rPr>
          <w:sz w:val="20"/>
          <w:szCs w:val="20"/>
          <w:color w:val="auto"/>
        </w:rPr>
      </w:pPr>
      <w:r>
        <w:rPr>
          <w:rFonts w:ascii="Arial" w:cs="Arial" w:eastAsia="Arial" w:hAnsi="Arial"/>
          <w:sz w:val="16"/>
          <w:szCs w:val="16"/>
          <w:color w:val="auto"/>
        </w:rPr>
        <w:t>Our Canadian segment cost of sales and services decreased $1.5 million, or 1%, in the six months ended June 30, 2019 compared to the six months ended June 30, 2018. The weakening of the average exchange rates for the Canadian dollar relative to the U.S. dollar by 4% in the six months ended June 30, 2019 compared to the six months ended June 30, 2018 resulted in a $4.9 million period-over-period decrease in cost of sales and services. Excluding the impact of the weaker Canadian exchange rates, the increased cost of sales and services was driven by increased food services activity and the Noralta acquisition in the second quarter of 2018, partially offset by reduced mobile facility rental cost of sales as 2018 included a pipeline related project.</w:t>
      </w:r>
    </w:p>
    <w:p>
      <w:pPr>
        <w:spacing w:after="0" w:line="158" w:lineRule="exact"/>
        <w:rPr>
          <w:sz w:val="20"/>
          <w:szCs w:val="20"/>
          <w:color w:val="auto"/>
        </w:rPr>
      </w:pPr>
    </w:p>
    <w:p>
      <w:pPr>
        <w:ind w:right="140" w:firstLine="459"/>
        <w:spacing w:after="0" w:line="342" w:lineRule="auto"/>
        <w:rPr>
          <w:sz w:val="20"/>
          <w:szCs w:val="20"/>
          <w:color w:val="auto"/>
        </w:rPr>
      </w:pPr>
      <w:r>
        <w:rPr>
          <w:rFonts w:ascii="Arial" w:cs="Arial" w:eastAsia="Arial" w:hAnsi="Arial"/>
          <w:sz w:val="16"/>
          <w:szCs w:val="16"/>
          <w:color w:val="auto"/>
        </w:rPr>
        <w:t>Our Canadian segment gross margin as a percentage of revenues decreased from 23% in the six months ended June 30, 2018 to 21% in the six months ended June 30, 2019. This was primarily driven by reduced occupancy percentage in certain lodges, impacting operating efficiencies at these lower levels.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2"/>
        </w:trPr>
        <w:tc>
          <w:tcPr>
            <w:tcW w:w="48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486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Change</w:t>
            </w:r>
          </w:p>
        </w:tc>
      </w:tr>
      <w:tr>
        <w:trPr>
          <w:trHeight w:val="270"/>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4"/>
        </w:trPr>
        <w:tc>
          <w:tcPr>
            <w:tcW w:w="4860" w:type="dxa"/>
            <w:vAlign w:val="bottom"/>
          </w:tcPr>
          <w:p>
            <w:pPr>
              <w:ind w:left="180"/>
              <w:spacing w:after="0"/>
              <w:rPr>
                <w:sz w:val="20"/>
                <w:szCs w:val="20"/>
                <w:color w:val="auto"/>
              </w:rPr>
            </w:pPr>
            <w:r>
              <w:rPr>
                <w:rFonts w:ascii="Arial" w:cs="Arial" w:eastAsia="Arial" w:hAnsi="Arial"/>
                <w:sz w:val="14"/>
                <w:szCs w:val="14"/>
                <w:color w:val="auto"/>
              </w:rPr>
              <w:t>Accommodation revenue (1)</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59,417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57,664</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1,753</w:t>
            </w:r>
          </w:p>
        </w:tc>
      </w:tr>
      <w:tr>
        <w:trPr>
          <w:trHeight w:val="270"/>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Food service and other services revenue (2)</w:t>
            </w:r>
          </w:p>
        </w:tc>
        <w:tc>
          <w:tcPr>
            <w:tcW w:w="1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(788)</w:t>
            </w:r>
          </w:p>
        </w:tc>
      </w:tr>
      <w:tr>
        <w:trPr>
          <w:trHeight w:val="250"/>
        </w:trPr>
        <w:tc>
          <w:tcPr>
            <w:tcW w:w="486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1120" w:type="dxa"/>
            <w:vAlign w:val="bottom"/>
            <w:tcBorders>
              <w:top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59,417</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58,452</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965</w:t>
            </w:r>
          </w:p>
        </w:tc>
      </w:tr>
      <w:tr>
        <w:trPr>
          <w:trHeight w:val="276"/>
        </w:trPr>
        <w:tc>
          <w:tcPr>
            <w:tcW w:w="48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Cost of sales ($ in thousands)</w:t>
            </w: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6"/>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Accommodation cost</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29,862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28,743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1,119</w:t>
            </w:r>
          </w:p>
        </w:tc>
      </w:tr>
      <w:tr>
        <w:trPr>
          <w:trHeight w:val="264"/>
        </w:trPr>
        <w:tc>
          <w:tcPr>
            <w:tcW w:w="4860" w:type="dxa"/>
            <w:vAlign w:val="bottom"/>
          </w:tcPr>
          <w:p>
            <w:pPr>
              <w:ind w:left="180"/>
              <w:spacing w:after="0"/>
              <w:rPr>
                <w:sz w:val="20"/>
                <w:szCs w:val="20"/>
                <w:color w:val="auto"/>
              </w:rPr>
            </w:pPr>
            <w:r>
              <w:rPr>
                <w:rFonts w:ascii="Arial" w:cs="Arial" w:eastAsia="Arial" w:hAnsi="Arial"/>
                <w:sz w:val="14"/>
                <w:szCs w:val="14"/>
                <w:color w:val="auto"/>
              </w:rPr>
              <w:t>Food service and other services cost</w:t>
            </w:r>
          </w:p>
        </w:tc>
        <w:tc>
          <w:tcPr>
            <w:tcW w:w="1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(660)</w:t>
            </w:r>
          </w:p>
        </w:tc>
      </w:tr>
      <w:tr>
        <w:trPr>
          <w:trHeight w:val="270"/>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Indirect other cost</w:t>
            </w:r>
          </w:p>
        </w:tc>
        <w:tc>
          <w:tcPr>
            <w:tcW w:w="1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1,192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1,279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r>
      <w:tr>
        <w:trPr>
          <w:trHeight w:val="250"/>
        </w:trPr>
        <w:tc>
          <w:tcPr>
            <w:tcW w:w="4860" w:type="dxa"/>
            <w:vAlign w:val="bottom"/>
          </w:tcPr>
          <w:p>
            <w:pPr>
              <w:ind w:left="380"/>
              <w:spacing w:after="0"/>
              <w:rPr>
                <w:sz w:val="20"/>
                <w:szCs w:val="20"/>
                <w:color w:val="auto"/>
              </w:rPr>
            </w:pPr>
            <w:r>
              <w:rPr>
                <w:rFonts w:ascii="Arial" w:cs="Arial" w:eastAsia="Arial" w:hAnsi="Arial"/>
                <w:sz w:val="14"/>
                <w:szCs w:val="14"/>
                <w:color w:val="auto"/>
              </w:rPr>
              <w:t>Total cost of sales and services</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31,054</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30,682</w:t>
            </w:r>
          </w:p>
        </w:tc>
        <w:tc>
          <w:tcPr>
            <w:tcW w:w="10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372</w:t>
            </w:r>
          </w:p>
        </w:tc>
      </w:tr>
      <w:tr>
        <w:trPr>
          <w:trHeight w:val="276"/>
        </w:trPr>
        <w:tc>
          <w:tcPr>
            <w:tcW w:w="48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Gross margin as a % of revenues</w:t>
            </w:r>
          </w:p>
        </w:tc>
        <w:tc>
          <w:tcPr>
            <w:tcW w:w="1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76"/>
        </w:trPr>
        <w:tc>
          <w:tcPr>
            <w:tcW w:w="48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Average daily rate for villages (3)</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76"/>
        </w:trPr>
        <w:tc>
          <w:tcPr>
            <w:tcW w:w="48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Total billed rooms for villages (4)</w:t>
            </w:r>
          </w:p>
        </w:tc>
        <w:tc>
          <w:tcPr>
            <w:tcW w:w="112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798,997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717,948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81,049</w:t>
            </w:r>
          </w:p>
        </w:tc>
      </w:tr>
      <w:tr>
        <w:trPr>
          <w:trHeight w:val="276"/>
        </w:trPr>
        <w:tc>
          <w:tcPr>
            <w:tcW w:w="48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58"/>
        </w:trPr>
        <w:tc>
          <w:tcPr>
            <w:tcW w:w="4860" w:type="dxa"/>
            <w:vAlign w:val="bottom"/>
          </w:tcPr>
          <w:p>
            <w:pPr>
              <w:ind w:left="40"/>
              <w:spacing w:after="0"/>
              <w:rPr>
                <w:sz w:val="20"/>
                <w:szCs w:val="20"/>
                <w:color w:val="auto"/>
              </w:rPr>
            </w:pPr>
            <w:r>
              <w:rPr>
                <w:rFonts w:ascii="Arial" w:cs="Arial" w:eastAsia="Arial" w:hAnsi="Arial"/>
                <w:sz w:val="14"/>
                <w:szCs w:val="14"/>
                <w:color w:val="auto"/>
              </w:rPr>
              <w:t>Australian dollar to U.S. dollar</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0.706</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0.771</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(0.065)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revenues related to village rooms and hospitality services for owned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revenues related to food services and other services, including facilities management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11" w:lineRule="exact"/>
        <w:rPr>
          <w:sz w:val="20"/>
          <w:szCs w:val="20"/>
          <w:color w:val="auto"/>
        </w:rPr>
      </w:pPr>
    </w:p>
    <w:p>
      <w:pPr>
        <w:ind w:right="20" w:firstLine="459"/>
        <w:spacing w:after="0" w:line="276" w:lineRule="auto"/>
        <w:rPr>
          <w:sz w:val="20"/>
          <w:szCs w:val="20"/>
          <w:color w:val="auto"/>
        </w:rPr>
      </w:pPr>
      <w:r>
        <w:rPr>
          <w:rFonts w:ascii="Arial" w:cs="Arial" w:eastAsia="Arial" w:hAnsi="Arial"/>
          <w:sz w:val="17"/>
          <w:szCs w:val="17"/>
          <w:color w:val="auto"/>
        </w:rPr>
        <w:t>Our Australian segment reported revenues in the six months ended June 30, 2019 that were $1.0 million, or 2%, higher than the six months ended June 30, 2018. The weakening of the average exchange rates for Australian dollars relative to the U.S. dollar by 8% in the six months ended June 30, 2019 compared to the six months ended June 30, 2018 resulted in a $5.4 million period-over-period decrease in revenues and a $6 reduction in the average daily rate. Excluding the impact of the weaker Australian exchange rates, the Australian segment experienced an 11% increase in revenues due to increased activity at our Bowen Basin villages partially offset by decreased activity at our Gunnedah Basin villages.</w:t>
      </w:r>
    </w:p>
    <w:p>
      <w:pPr>
        <w:spacing w:after="0" w:line="173" w:lineRule="exact"/>
        <w:rPr>
          <w:sz w:val="20"/>
          <w:szCs w:val="20"/>
          <w:color w:val="auto"/>
        </w:rPr>
      </w:pPr>
    </w:p>
    <w:p>
      <w:pPr>
        <w:jc w:val="both"/>
        <w:ind w:right="120" w:firstLine="459"/>
        <w:spacing w:after="0" w:line="264" w:lineRule="auto"/>
        <w:rPr>
          <w:sz w:val="20"/>
          <w:szCs w:val="20"/>
          <w:color w:val="auto"/>
        </w:rPr>
      </w:pPr>
      <w:r>
        <w:rPr>
          <w:rFonts w:ascii="Arial" w:cs="Arial" w:eastAsia="Arial" w:hAnsi="Arial"/>
          <w:sz w:val="18"/>
          <w:szCs w:val="18"/>
          <w:color w:val="auto"/>
        </w:rPr>
        <w:t>Our Australian segment cost of sales increased $0.4 million, or 1%, in the six months ended June 30, 2019 compared to the six months ended June 30, 2018. The increase was primarily driven by additional accretion expense related to an ARO we identified at one of our villages in Australia that should have been recorded in 2011, partially offset by the weakening of the Australian dollar.</w:t>
      </w:r>
    </w:p>
    <w:p>
      <w:pPr>
        <w:spacing w:after="0" w:line="181" w:lineRule="exact"/>
        <w:rPr>
          <w:sz w:val="20"/>
          <w:szCs w:val="20"/>
          <w:color w:val="auto"/>
        </w:rPr>
      </w:pPr>
    </w:p>
    <w:p>
      <w:pPr>
        <w:ind w:firstLine="459"/>
        <w:spacing w:after="0" w:line="342" w:lineRule="auto"/>
        <w:rPr>
          <w:sz w:val="20"/>
          <w:szCs w:val="20"/>
          <w:color w:val="auto"/>
        </w:rPr>
      </w:pPr>
      <w:r>
        <w:rPr>
          <w:rFonts w:ascii="Arial" w:cs="Arial" w:eastAsia="Arial" w:hAnsi="Arial"/>
          <w:sz w:val="16"/>
          <w:szCs w:val="16"/>
          <w:color w:val="auto"/>
        </w:rPr>
        <w:t>Our Australian segment gross margin as a percentage of revenues was 48% in the six months ended June 30, 2019 and 2018 . This was primarily driven by improved margins at our Bowen Basin villages as a result of increased occupancy offset by the additional accretion expense noted above.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017"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Segment Results of Operations – U.S.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2"/>
        </w:trPr>
        <w:tc>
          <w:tcPr>
            <w:tcW w:w="49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Change</w:t>
            </w:r>
          </w:p>
        </w:tc>
      </w:tr>
      <w:tr>
        <w:trPr>
          <w:trHeight w:val="256"/>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26,414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23,321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3,093</w:t>
            </w:r>
          </w:p>
        </w:tc>
      </w:tr>
      <w:tr>
        <w:trPr>
          <w:trHeight w:val="270"/>
        </w:trPr>
        <w:tc>
          <w:tcPr>
            <w:tcW w:w="49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 ($ in thousands)</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19,893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21,021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(1,128)</w:t>
            </w:r>
          </w:p>
        </w:tc>
      </w:tr>
      <w:tr>
        <w:trPr>
          <w:trHeight w:val="270"/>
        </w:trPr>
        <w:tc>
          <w:tcPr>
            <w:tcW w:w="49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margin as a % of revenues</w:t>
            </w:r>
          </w:p>
        </w:tc>
        <w:tc>
          <w:tcPr>
            <w:tcW w:w="11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bl>
    <w:p>
      <w:pPr>
        <w:spacing w:after="0" w:line="202" w:lineRule="exact"/>
        <w:rPr>
          <w:sz w:val="20"/>
          <w:szCs w:val="20"/>
          <w:color w:val="auto"/>
        </w:rPr>
      </w:pPr>
    </w:p>
    <w:p>
      <w:pPr>
        <w:ind w:right="120" w:firstLine="459"/>
        <w:spacing w:after="0" w:line="259" w:lineRule="auto"/>
        <w:rPr>
          <w:sz w:val="20"/>
          <w:szCs w:val="20"/>
          <w:color w:val="auto"/>
        </w:rPr>
      </w:pPr>
      <w:r>
        <w:rPr>
          <w:rFonts w:ascii="Arial" w:cs="Arial" w:eastAsia="Arial" w:hAnsi="Arial"/>
          <w:sz w:val="18"/>
          <w:szCs w:val="18"/>
          <w:color w:val="auto"/>
        </w:rPr>
        <w:t>Our U.S. segment reported revenues in the six months ended June 30, 2019 that were $3.1 million, or 13%, higher than the six months ended June 30, 2018. The increase was primarily due to greater U.S. drilling and completion activity in the Bakken, Rockies, mid Continent and Texas markets benefiting our wellsite business and having a full six months of operations from our Acadian Acres Lodge, which we acquired in late February 2018, offset by lower revenues from our offshore business resulting from lower project activity.</w:t>
      </w:r>
    </w:p>
    <w:p>
      <w:pPr>
        <w:spacing w:after="0" w:line="187" w:lineRule="exact"/>
        <w:rPr>
          <w:sz w:val="20"/>
          <w:szCs w:val="20"/>
          <w:color w:val="auto"/>
        </w:rPr>
      </w:pPr>
    </w:p>
    <w:p>
      <w:pPr>
        <w:ind w:right="120" w:firstLine="459"/>
        <w:spacing w:after="0" w:line="264" w:lineRule="auto"/>
        <w:rPr>
          <w:sz w:val="20"/>
          <w:szCs w:val="20"/>
          <w:color w:val="auto"/>
        </w:rPr>
      </w:pPr>
      <w:r>
        <w:rPr>
          <w:rFonts w:ascii="Arial" w:cs="Arial" w:eastAsia="Arial" w:hAnsi="Arial"/>
          <w:sz w:val="18"/>
          <w:szCs w:val="18"/>
          <w:color w:val="auto"/>
        </w:rPr>
        <w:t>Our U.S. cost of sales decreased $1.1 million, or 5%, in the six months ended June 30, 2019 compared to the six months ended June 30, 2018. The decrease was driven by reduced activity in our offshore business partially offset by higher cost of sales in the wellsite business related to greater activity and the Acadian Acres acquisition in late February 2018.</w:t>
      </w:r>
    </w:p>
    <w:p>
      <w:pPr>
        <w:spacing w:after="0" w:line="181" w:lineRule="exact"/>
        <w:rPr>
          <w:sz w:val="20"/>
          <w:szCs w:val="20"/>
          <w:color w:val="auto"/>
        </w:rPr>
      </w:pPr>
    </w:p>
    <w:p>
      <w:pPr>
        <w:jc w:val="both"/>
        <w:ind w:firstLine="459"/>
        <w:spacing w:after="0" w:line="264" w:lineRule="auto"/>
        <w:rPr>
          <w:sz w:val="20"/>
          <w:szCs w:val="20"/>
          <w:color w:val="auto"/>
        </w:rPr>
      </w:pPr>
      <w:r>
        <w:rPr>
          <w:rFonts w:ascii="Arial" w:cs="Arial" w:eastAsia="Arial" w:hAnsi="Arial"/>
          <w:sz w:val="18"/>
          <w:szCs w:val="18"/>
          <w:color w:val="auto"/>
        </w:rPr>
        <w:t>Our U.S. segment gross margin as a percentage of revenues increased from 10% in the six months ended June 30, 2018 to 25% in the six months ended June 30, 2019 primarily due to greater U.S. drilling and completion activity in the Bakken, Rockies, mid Continent and Texas markets benefiting our wellsite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459"/>
        <w:spacing w:after="0" w:line="297" w:lineRule="auto"/>
        <w:rPr>
          <w:sz w:val="20"/>
          <w:szCs w:val="20"/>
          <w:color w:val="auto"/>
        </w:rPr>
      </w:pPr>
      <w:r>
        <w:rPr>
          <w:rFonts w:ascii="Arial" w:cs="Arial" w:eastAsia="Arial" w:hAnsi="Arial"/>
          <w:sz w:val="16"/>
          <w:szCs w:val="16"/>
          <w:color w:val="auto"/>
        </w:rPr>
        <w:t>Our primary liquidity needs are to fund capital expenditures, which in the past have included expanding and improving our hospitality services, developing new lodges and villages, purchasing or leasing land, and for general working capital needs. In addition, capital has been used to repay debt, fund strategic business acquisitions and pay dividends. Historically, our primary sources of funds have been available cash, cash flow from operations, borrowings under the Amended Credit Agreement (as defined below) and proceeds from equity issuances. In the future, we may seek to access the debt and equity capital markets from time to time to raise additional capital, increase liquidity, fund acquisitions, refinance debt or retire preferred shares.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liquidity position as of June 30, 2019 and December 31, 2018:</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6"/>
                <w:szCs w:val="16"/>
                <w:color w:val="auto"/>
              </w:rPr>
            </w:pPr>
          </w:p>
        </w:tc>
        <w:tc>
          <w:tcPr>
            <w:tcW w:w="1540" w:type="dxa"/>
            <w:vAlign w:val="bottom"/>
          </w:tcPr>
          <w:p>
            <w:pPr>
              <w:jc w:val="right"/>
              <w:ind w:right="228"/>
              <w:spacing w:after="0"/>
              <w:rPr>
                <w:sz w:val="20"/>
                <w:szCs w:val="20"/>
                <w:color w:val="auto"/>
              </w:rPr>
            </w:pPr>
            <w:r>
              <w:rPr>
                <w:rFonts w:ascii="Arial" w:cs="Arial" w:eastAsia="Arial" w:hAnsi="Arial"/>
                <w:sz w:val="14"/>
                <w:szCs w:val="14"/>
                <w:b w:val="1"/>
                <w:bCs w:val="1"/>
                <w:color w:val="auto"/>
                <w:w w:val="96"/>
              </w:rPr>
              <w:t>December 31, 2018</w:t>
            </w:r>
          </w:p>
        </w:tc>
      </w:tr>
      <w:tr>
        <w:trPr>
          <w:trHeight w:val="256"/>
        </w:trPr>
        <w:tc>
          <w:tcPr>
            <w:tcW w:w="7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Lender commitments (1)</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239,500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239,500</w:t>
            </w:r>
          </w:p>
        </w:tc>
      </w:tr>
      <w:tr>
        <w:trPr>
          <w:trHeight w:val="264"/>
        </w:trPr>
        <w:tc>
          <w:tcPr>
            <w:tcW w:w="7320" w:type="dxa"/>
            <w:vAlign w:val="bottom"/>
          </w:tcPr>
          <w:p>
            <w:pPr>
              <w:ind w:left="200"/>
              <w:spacing w:after="0"/>
              <w:rPr>
                <w:sz w:val="20"/>
                <w:szCs w:val="20"/>
                <w:color w:val="auto"/>
              </w:rPr>
            </w:pPr>
            <w:r>
              <w:rPr>
                <w:rFonts w:ascii="Arial" w:cs="Arial" w:eastAsia="Arial" w:hAnsi="Arial"/>
                <w:sz w:val="14"/>
                <w:szCs w:val="14"/>
                <w:color w:val="auto"/>
              </w:rPr>
              <w:t>Reductions in availability (2)</w:t>
            </w:r>
          </w:p>
        </w:tc>
        <w:tc>
          <w:tcPr>
            <w:tcW w:w="2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(51,874)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(14,469)</w:t>
            </w:r>
          </w:p>
        </w:tc>
      </w:tr>
      <w:tr>
        <w:trPr>
          <w:trHeight w:val="276"/>
        </w:trPr>
        <w:tc>
          <w:tcPr>
            <w:tcW w:w="7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against revolving credit capacity</w:t>
            </w:r>
          </w:p>
        </w:tc>
        <w:tc>
          <w:tcPr>
            <w:tcW w:w="2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(164,473)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(131,266)</w:t>
            </w:r>
          </w:p>
        </w:tc>
      </w:tr>
      <w:tr>
        <w:trPr>
          <w:trHeight w:val="264"/>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Outstanding letters of credit</w:t>
            </w: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(3,445)</w:t>
            </w:r>
          </w:p>
        </w:tc>
      </w:tr>
      <w:tr>
        <w:trPr>
          <w:trHeight w:val="256"/>
        </w:trPr>
        <w:tc>
          <w:tcPr>
            <w:tcW w:w="7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Unused availability</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19,757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90,320</w:t>
            </w:r>
          </w:p>
        </w:tc>
      </w:tr>
      <w:tr>
        <w:trPr>
          <w:trHeight w:val="264"/>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w:t>
            </w: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13,459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12,372</w:t>
            </w: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available liquidity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33,216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102,692</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43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182" w:lineRule="exact"/>
        <w:rPr>
          <w:sz w:val="20"/>
          <w:szCs w:val="20"/>
          <w:color w:val="auto"/>
        </w:rPr>
      </w:pPr>
    </w:p>
    <w:p>
      <w:pPr>
        <w:ind w:left="340" w:right="140" w:hanging="332"/>
        <w:spacing w:after="0" w:line="258"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also have a A$2.0 million bank guarantee facility. We had bank guarantees of A$0.7 million under this facility outstanding as of both June 30, 2019 and December 31, 2018, respectively.</w:t>
      </w:r>
    </w:p>
    <w:p>
      <w:pPr>
        <w:spacing w:after="0" w:line="1" w:lineRule="exact"/>
        <w:rPr>
          <w:rFonts w:ascii="Arial" w:cs="Arial" w:eastAsia="Arial" w:hAnsi="Arial"/>
          <w:sz w:val="18"/>
          <w:szCs w:val="18"/>
          <w:color w:val="auto"/>
        </w:rPr>
      </w:pPr>
    </w:p>
    <w:p>
      <w:pPr>
        <w:ind w:left="340" w:right="400" w:hanging="332"/>
        <w:spacing w:after="0" w:line="25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June 30, 2019, $51.9 million of our borrowing capacity under the Amended Credit Agreement could not be utilized in order to maintain compliance with the maximum leverage ratio financial covenant in the Amended Credit Agreement. As of December 31, 2018, $14.5 million of our borrowing capacity under the Amended Credit Agreement could not be utilized in order to maintain compliance with the maximum leverage ratio financial covenant in the Amended Credit Agreement.</w:t>
      </w:r>
    </w:p>
    <w:p>
      <w:pPr>
        <w:spacing w:after="0" w:line="190" w:lineRule="exact"/>
        <w:rPr>
          <w:sz w:val="20"/>
          <w:szCs w:val="20"/>
          <w:color w:val="auto"/>
        </w:rPr>
      </w:pPr>
    </w:p>
    <w:p>
      <w:pPr>
        <w:ind w:right="80" w:firstLine="459"/>
        <w:spacing w:after="0" w:line="277" w:lineRule="auto"/>
        <w:rPr>
          <w:sz w:val="20"/>
          <w:szCs w:val="20"/>
          <w:color w:val="auto"/>
        </w:rPr>
      </w:pPr>
      <w:r>
        <w:rPr>
          <w:rFonts w:ascii="Arial" w:cs="Arial" w:eastAsia="Arial" w:hAnsi="Arial"/>
          <w:sz w:val="18"/>
          <w:szCs w:val="18"/>
          <w:color w:val="auto"/>
        </w:rPr>
        <w:t>Cash totaling $10.0 million was provided by operations during the six months ended June 30, 2019, compared to $14.0 million provided by operations during the six months ended June 30, 2018. During the six months ended June 30, 2019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584" w:right="279" w:bottom="1440" w:gutter="0" w:footer="0" w:header="0"/>
        </w:sectPr>
      </w:pPr>
    </w:p>
    <w:bookmarkStart w:id="39" w:name="page40"/>
    <w:bookmarkEnd w:id="39"/>
    <w:p>
      <w:pPr>
        <w:ind w:right="300"/>
        <w:spacing w:after="0" w:line="277" w:lineRule="auto"/>
        <w:rPr>
          <w:sz w:val="20"/>
          <w:szCs w:val="20"/>
          <w:color w:val="auto"/>
        </w:rPr>
      </w:pPr>
      <w:r>
        <w:rPr>
          <w:rFonts w:ascii="Arial" w:cs="Arial" w:eastAsia="Arial" w:hAnsi="Arial"/>
          <w:sz w:val="18"/>
          <w:szCs w:val="18"/>
          <w:color w:val="auto"/>
        </w:rPr>
        <w:t>2018, $22.7 million and $7.4 million, respectively, was used in working capital. The decrease in cash provided in 2019 compared to 2018 is largely due to increased accounts receivable balances in Canada.</w:t>
      </w:r>
    </w:p>
    <w:p>
      <w:pPr>
        <w:spacing w:after="0" w:line="170" w:lineRule="exact"/>
        <w:rPr>
          <w:sz w:val="20"/>
          <w:szCs w:val="20"/>
          <w:color w:val="auto"/>
        </w:rPr>
      </w:pPr>
    </w:p>
    <w:p>
      <w:pPr>
        <w:ind w:right="60" w:firstLine="459"/>
        <w:spacing w:after="0" w:line="255" w:lineRule="auto"/>
        <w:rPr>
          <w:sz w:val="20"/>
          <w:szCs w:val="20"/>
          <w:color w:val="auto"/>
        </w:rPr>
      </w:pPr>
      <w:r>
        <w:rPr>
          <w:rFonts w:ascii="Arial" w:cs="Arial" w:eastAsia="Arial" w:hAnsi="Arial"/>
          <w:sz w:val="18"/>
          <w:szCs w:val="18"/>
          <w:color w:val="auto"/>
        </w:rPr>
        <w:t>Cash was used in investing activities during the six months ended June 30, 2019 in the amount of $15.0 million, compared to cash used in investing activities during the six months ended June 30, 2018 in the amount of $187.6 million. The decrease in cash used in investing activities was primarily due to $161.4 million to fund the Noralta acquisition and $23.8 million to fund the Acadian Acres asset acquisition in the first half of 2018. Capital expenditures totaled $21.2 million and $5.9 million during the six months ended June 30, 2019 and 2018, respectively. The increase in capital expenditures in the six months ended June 30, 2019 was related primarily to the expansion of the Sitka Lodge. Capital expenditures in the six months ended June 30, 2018 consisted primarily of routine maintenance capital expenditures.</w:t>
      </w:r>
    </w:p>
    <w:p>
      <w:pPr>
        <w:spacing w:after="0" w:line="193" w:lineRule="exact"/>
        <w:rPr>
          <w:sz w:val="20"/>
          <w:szCs w:val="20"/>
          <w:color w:val="auto"/>
        </w:rPr>
      </w:pPr>
    </w:p>
    <w:p>
      <w:pPr>
        <w:ind w:right="60" w:firstLine="459"/>
        <w:spacing w:after="0" w:line="273" w:lineRule="auto"/>
        <w:rPr>
          <w:sz w:val="20"/>
          <w:szCs w:val="20"/>
          <w:color w:val="auto"/>
        </w:rPr>
      </w:pPr>
      <w:r>
        <w:rPr>
          <w:rFonts w:ascii="Arial" w:cs="Arial" w:eastAsia="Arial" w:hAnsi="Arial"/>
          <w:sz w:val="17"/>
          <w:szCs w:val="17"/>
          <w:color w:val="auto"/>
        </w:rPr>
        <w:t>We expect our capital expenditures for 2019, exclusive of any business acquisitions, to be in the range of $40 million to $45 million, which excludes any unannounced and uncommitted projects, the spending for which is contingent on obtaining customer contracts. Whether planned expenditures will actually be spent in 2019 depends on industry conditions, project approvals and schedules, customer room commitments and project and construction timing. We expect to fund these capital expenditures with available cash, cash flow from operations and revolving credit borrowings under our Amended Credit Agreement. The foregoing capital expenditure forecast does not include any funds for strategic acquisitions, which we could pursue depending on the economic environment in our industry and the availability of transactions at prices deemed to be attractive to us.</w:t>
      </w:r>
    </w:p>
    <w:p>
      <w:pPr>
        <w:spacing w:after="0" w:line="178" w:lineRule="exact"/>
        <w:rPr>
          <w:sz w:val="20"/>
          <w:szCs w:val="20"/>
          <w:color w:val="auto"/>
        </w:rPr>
      </w:pPr>
    </w:p>
    <w:p>
      <w:pPr>
        <w:ind w:firstLine="459"/>
        <w:spacing w:after="0" w:line="276" w:lineRule="auto"/>
        <w:rPr>
          <w:sz w:val="20"/>
          <w:szCs w:val="20"/>
          <w:color w:val="auto"/>
        </w:rPr>
      </w:pPr>
      <w:r>
        <w:rPr>
          <w:rFonts w:ascii="Arial" w:cs="Arial" w:eastAsia="Arial" w:hAnsi="Arial"/>
          <w:sz w:val="17"/>
          <w:szCs w:val="17"/>
          <w:color w:val="auto"/>
        </w:rPr>
        <w:t>Net cash of $6.1 million was provided by financing activities during the six months ended June 30, 2019 primarily due to net borrowings under our revolving credit facilities of $27.8 million, partially offset by repayments of term loan borrowings of $17.4 million and $4.3 million used to settle tax obligations on vested shares under our share based compensation plans. Net cash of $147.6 million was provided by financing activities during the six months ended June 30, 2018, primarily due to net borrowings under our revolving credit facilities of $162.1 million, largely to fund the Noralta acquisition. This was partially offset by repayments of term loan borrowings of $11.1 million and debt issuance costs of $2.7 million.</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summarizes the changes in debt outstanding during the six months ended June 30, 2019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Canada</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Australia</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256"/>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2018</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362,258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16,918</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379,176</w:t>
            </w:r>
          </w:p>
        </w:tc>
      </w:tr>
      <w:tr>
        <w:trPr>
          <w:trHeight w:val="264"/>
        </w:trPr>
        <w:tc>
          <w:tcPr>
            <w:tcW w:w="4820" w:type="dxa"/>
            <w:vAlign w:val="bottom"/>
          </w:tcPr>
          <w:p>
            <w:pPr>
              <w:ind w:left="180"/>
              <w:spacing w:after="0"/>
              <w:rPr>
                <w:sz w:val="20"/>
                <w:szCs w:val="20"/>
                <w:color w:val="auto"/>
              </w:rPr>
            </w:pPr>
            <w:r>
              <w:rPr>
                <w:rFonts w:ascii="Arial" w:cs="Arial" w:eastAsia="Arial" w:hAnsi="Arial"/>
                <w:sz w:val="14"/>
                <w:szCs w:val="14"/>
                <w:color w:val="auto"/>
              </w:rPr>
              <w:t>Borrowings under revolving credit facilities</w:t>
            </w:r>
          </w:p>
        </w:tc>
        <w:tc>
          <w:tcPr>
            <w:tcW w:w="28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130,362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2"/>
                <w:szCs w:val="22"/>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5,500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135,862</w:t>
            </w:r>
          </w:p>
        </w:tc>
      </w:tr>
      <w:tr>
        <w:trPr>
          <w:trHeight w:val="276"/>
        </w:trPr>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Repayments of borrowings under revolving credit facilities</w:t>
            </w: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(93,199)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(14,909)</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(108,108)</w:t>
            </w:r>
          </w:p>
        </w:tc>
      </w:tr>
      <w:tr>
        <w:trPr>
          <w:trHeight w:val="264"/>
        </w:trPr>
        <w:tc>
          <w:tcPr>
            <w:tcW w:w="4820" w:type="dxa"/>
            <w:vAlign w:val="bottom"/>
          </w:tcPr>
          <w:p>
            <w:pPr>
              <w:ind w:left="180"/>
              <w:spacing w:after="0"/>
              <w:rPr>
                <w:sz w:val="20"/>
                <w:szCs w:val="20"/>
                <w:color w:val="auto"/>
              </w:rPr>
            </w:pPr>
            <w:r>
              <w:rPr>
                <w:rFonts w:ascii="Arial" w:cs="Arial" w:eastAsia="Arial" w:hAnsi="Arial"/>
                <w:sz w:val="14"/>
                <w:szCs w:val="14"/>
                <w:color w:val="auto"/>
              </w:rPr>
              <w:t>Repayments of term loans</w:t>
            </w: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(17,398)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(17,398)</w:t>
            </w:r>
          </w:p>
        </w:tc>
      </w:tr>
      <w:tr>
        <w:trPr>
          <w:trHeight w:val="270"/>
        </w:trPr>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Translation</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15,696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15,790</w:t>
            </w:r>
          </w:p>
        </w:tc>
      </w:tr>
      <w:tr>
        <w:trPr>
          <w:trHeight w:val="243"/>
        </w:trPr>
        <w:tc>
          <w:tcPr>
            <w:tcW w:w="4820" w:type="dxa"/>
            <w:vAlign w:val="bottom"/>
          </w:tcPr>
          <w:p>
            <w:pPr>
              <w:ind w:left="40"/>
              <w:spacing w:after="0"/>
              <w:rPr>
                <w:sz w:val="20"/>
                <w:szCs w:val="20"/>
                <w:color w:val="auto"/>
              </w:rPr>
            </w:pPr>
            <w:r>
              <w:rPr>
                <w:rFonts w:ascii="Arial" w:cs="Arial" w:eastAsia="Arial" w:hAnsi="Arial"/>
                <w:sz w:val="14"/>
                <w:szCs w:val="14"/>
                <w:color w:val="auto"/>
              </w:rPr>
              <w:t>Balance at June 30, 2019</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397,719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2,103</w:t>
            </w:r>
          </w:p>
        </w:tc>
        <w:tc>
          <w:tcPr>
            <w:tcW w:w="10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5,500</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405,322</w:t>
            </w:r>
          </w:p>
        </w:tc>
      </w:tr>
      <w:tr>
        <w:trPr>
          <w:trHeight w:val="20"/>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59"/>
        <w:spacing w:after="0" w:line="269" w:lineRule="auto"/>
        <w:rPr>
          <w:sz w:val="20"/>
          <w:szCs w:val="20"/>
          <w:color w:val="auto"/>
        </w:rPr>
      </w:pPr>
      <w:r>
        <w:rPr>
          <w:rFonts w:ascii="Arial" w:cs="Arial" w:eastAsia="Arial" w:hAnsi="Arial"/>
          <w:sz w:val="17"/>
          <w:szCs w:val="17"/>
          <w:color w:val="auto"/>
        </w:rPr>
        <w:t>We believe that cash on hand and cash flow from operations will be sufficient to meet our anticipated liquidity needs in the coming 12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 In addition, in some cases, we may incur costs to acquire land and/or construct assets without securing a customer contract or prior to finalization of an accommodations contract with a customer. If the contract is not obtained or the underlying investment decision is delayed, the resulting impact could result in an impairment of the related investment.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84"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Amended Credit Agreement</w:t>
      </w:r>
    </w:p>
    <w:p>
      <w:pPr>
        <w:spacing w:after="0" w:line="229"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color w:val="auto"/>
        </w:rPr>
        <w:t>As of June 30, 2019, our Credit Agreement, as amended (the Amended Credit Agreement), provided for: (i) a $239.5 million revolving credit facility scheduled to mature on November 30, 2020, allocated as follows: (A) a $20.0 million senior secured revolving credit facility in favor of certain of our U.S. subsidiaries, as borrowers; (B) a $159.5 million senior secured revolving credit facility in favor of Civeo and certain of our Canadian subsidiaries, as borrowers; and (C) a $60.0 million senior secured revolving credit facility in favor of one of our Australian subsidiaries, as borrower; and (ii) a $325.0 million term loan facility scheduled to mature on November 30, 2020 in favor of Civeo.</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maximum leverage ratio financial covenant is set forth in the tables below.</w:t>
      </w:r>
    </w:p>
    <w:p>
      <w:pPr>
        <w:spacing w:after="0" w:line="225" w:lineRule="exact"/>
        <w:rPr>
          <w:sz w:val="20"/>
          <w:szCs w:val="20"/>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 qualified offering of indebtedness with gross proceeds in excess of $150 million has been consummated, a maximum leverage ratio not to exceed the ratios set forth in the following table: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4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Leverage</w:t>
            </w:r>
          </w:p>
        </w:tc>
      </w:tr>
      <w:tr>
        <w:trPr>
          <w:trHeight w:val="176"/>
        </w:trPr>
        <w:tc>
          <w:tcPr>
            <w:tcW w:w="9860" w:type="dxa"/>
            <w:vAlign w:val="bottom"/>
            <w:gridSpan w:val="3"/>
          </w:tcPr>
          <w:p>
            <w:pPr>
              <w:ind w:left="4460"/>
              <w:spacing w:after="0" w:line="176" w:lineRule="exact"/>
              <w:rPr>
                <w:sz w:val="20"/>
                <w:szCs w:val="20"/>
                <w:color w:val="auto"/>
              </w:rPr>
            </w:pPr>
            <w:r>
              <w:rPr>
                <w:rFonts w:ascii="Arial" w:cs="Arial" w:eastAsia="Arial" w:hAnsi="Arial"/>
                <w:sz w:val="16"/>
                <w:szCs w:val="16"/>
                <w:b w:val="1"/>
                <w:bCs w:val="1"/>
                <w:color w:val="auto"/>
              </w:rPr>
              <w:t>Period Ended</w:t>
            </w:r>
          </w:p>
        </w:tc>
        <w:tc>
          <w:tcPr>
            <w:tcW w:w="10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Ratio</w:t>
            </w:r>
          </w:p>
        </w:tc>
      </w:tr>
      <w:tr>
        <w:trPr>
          <w:trHeight w:val="48"/>
        </w:trPr>
        <w:tc>
          <w:tcPr>
            <w:tcW w:w="446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446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30"/>
        </w:trPr>
        <w:tc>
          <w:tcPr>
            <w:tcW w:w="9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June 30, 2019</w:t>
            </w:r>
          </w:p>
        </w:tc>
        <w:tc>
          <w:tcPr>
            <w:tcW w:w="10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92"/>
              </w:rPr>
              <w:t>4.50 : 1:00</w:t>
            </w:r>
          </w:p>
        </w:tc>
      </w:tr>
      <w:tr>
        <w:trPr>
          <w:trHeight w:val="224"/>
        </w:trPr>
        <w:tc>
          <w:tcPr>
            <w:tcW w:w="9860" w:type="dxa"/>
            <w:vAlign w:val="bottom"/>
            <w:gridSpan w:val="3"/>
          </w:tcPr>
          <w:p>
            <w:pPr>
              <w:ind w:left="40"/>
              <w:spacing w:after="0"/>
              <w:rPr>
                <w:sz w:val="20"/>
                <w:szCs w:val="20"/>
                <w:color w:val="auto"/>
              </w:rPr>
            </w:pPr>
            <w:r>
              <w:rPr>
                <w:rFonts w:ascii="Arial" w:cs="Arial" w:eastAsia="Arial" w:hAnsi="Arial"/>
                <w:sz w:val="16"/>
                <w:szCs w:val="16"/>
                <w:color w:val="auto"/>
              </w:rPr>
              <w:t>September 30, 2019 &amp; thereafter</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w w:val="92"/>
              </w:rPr>
              <w:t>4.00 : 1:00</w:t>
            </w:r>
          </w:p>
        </w:tc>
      </w:tr>
    </w:tbl>
    <w:p>
      <w:pPr>
        <w:spacing w:after="0" w:line="23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and, if such qualified offering has not been consummated, a maximum leverage ratio not to exceed the ratios set forth in the following table:</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4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Leverage</w:t>
            </w:r>
          </w:p>
        </w:tc>
      </w:tr>
      <w:tr>
        <w:trPr>
          <w:trHeight w:val="176"/>
        </w:trPr>
        <w:tc>
          <w:tcPr>
            <w:tcW w:w="9860" w:type="dxa"/>
            <w:vAlign w:val="bottom"/>
            <w:gridSpan w:val="3"/>
          </w:tcPr>
          <w:p>
            <w:pPr>
              <w:ind w:left="4460"/>
              <w:spacing w:after="0" w:line="176" w:lineRule="exact"/>
              <w:rPr>
                <w:sz w:val="20"/>
                <w:szCs w:val="20"/>
                <w:color w:val="auto"/>
              </w:rPr>
            </w:pPr>
            <w:r>
              <w:rPr>
                <w:rFonts w:ascii="Arial" w:cs="Arial" w:eastAsia="Arial" w:hAnsi="Arial"/>
                <w:sz w:val="16"/>
                <w:szCs w:val="16"/>
                <w:b w:val="1"/>
                <w:bCs w:val="1"/>
                <w:color w:val="auto"/>
              </w:rPr>
              <w:t>Period Ended</w:t>
            </w:r>
          </w:p>
        </w:tc>
        <w:tc>
          <w:tcPr>
            <w:tcW w:w="10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Ratio</w:t>
            </w:r>
          </w:p>
        </w:tc>
      </w:tr>
      <w:tr>
        <w:trPr>
          <w:trHeight w:val="48"/>
        </w:trPr>
        <w:tc>
          <w:tcPr>
            <w:tcW w:w="446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446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30"/>
        </w:trPr>
        <w:tc>
          <w:tcPr>
            <w:tcW w:w="9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June 30, 2019</w:t>
            </w:r>
          </w:p>
        </w:tc>
        <w:tc>
          <w:tcPr>
            <w:tcW w:w="10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92"/>
              </w:rPr>
              <w:t>4.50 : 1:00</w:t>
            </w:r>
          </w:p>
        </w:tc>
      </w:tr>
      <w:tr>
        <w:trPr>
          <w:trHeight w:val="224"/>
        </w:trPr>
        <w:tc>
          <w:tcPr>
            <w:tcW w:w="9860" w:type="dxa"/>
            <w:vAlign w:val="bottom"/>
            <w:gridSpan w:val="3"/>
          </w:tcPr>
          <w:p>
            <w:pPr>
              <w:ind w:left="40"/>
              <w:spacing w:after="0"/>
              <w:rPr>
                <w:sz w:val="20"/>
                <w:szCs w:val="20"/>
                <w:color w:val="auto"/>
              </w:rPr>
            </w:pPr>
            <w:r>
              <w:rPr>
                <w:rFonts w:ascii="Arial" w:cs="Arial" w:eastAsia="Arial" w:hAnsi="Arial"/>
                <w:sz w:val="16"/>
                <w:szCs w:val="16"/>
                <w:color w:val="auto"/>
              </w:rPr>
              <w:t>September 30, 2019</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w w:val="92"/>
              </w:rPr>
              <w:t>4.00 : 1:00</w:t>
            </w:r>
          </w:p>
        </w:tc>
      </w:tr>
      <w:tr>
        <w:trPr>
          <w:trHeight w:val="33"/>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4"/>
        </w:trPr>
        <w:tc>
          <w:tcPr>
            <w:tcW w:w="9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December 31, 2019 &amp; thereafter</w:t>
            </w:r>
          </w:p>
        </w:tc>
        <w:tc>
          <w:tcPr>
            <w:tcW w:w="10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92"/>
              </w:rPr>
              <w:t>3.50 : 1:00</w:t>
            </w:r>
          </w:p>
        </w:tc>
      </w:tr>
      <w:tr>
        <w:trPr>
          <w:trHeight w:val="33"/>
        </w:trPr>
        <w:tc>
          <w:tcPr>
            <w:tcW w:w="44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459"/>
        <w:spacing w:after="0" w:line="273" w:lineRule="auto"/>
        <w:rPr>
          <w:sz w:val="20"/>
          <w:szCs w:val="20"/>
          <w:color w:val="auto"/>
        </w:rPr>
      </w:pPr>
      <w:r>
        <w:rPr>
          <w:rFonts w:ascii="Arial" w:cs="Arial" w:eastAsia="Arial" w:hAnsi="Arial"/>
          <w:sz w:val="17"/>
          <w:szCs w:val="17"/>
          <w:color w:val="auto"/>
        </w:rPr>
        <w:t>U.S. dollar amounts outstanding under the facilities provided by the Amended Credit Agreement bear interest at a variable rate equal to LIBOR plus a margin of 2.25% to 4.00%, or a base rate plus 1.25% to 3.00%, in each case based on a ratio of our total debt to consolidated EBITDA (as defined in the Amended Credit Agreement). Canadian dollar amounts outstanding bear interest at a variable rate equal to a B/A Discount Rate based on the Canadian Dollar Offered Rate plus a margin of 2.25% to 4.00%, or a Canadian Prime rate plus a margin of 1.25% to 3.00%, in each case based on a ratio of our total debt to consolidated EBITDA. Australian dollar amounts outstanding under the Amended Credit Agreement bear interest at a variable rate equal to the Bank Bill Swap Bid Rate plus a margin of 2.25% to 4.00%, based on a ratio of our total debt to consolidated EBITDA.</w:t>
      </w:r>
    </w:p>
    <w:p>
      <w:pPr>
        <w:spacing w:after="0" w:line="178" w:lineRule="exact"/>
        <w:rPr>
          <w:sz w:val="20"/>
          <w:szCs w:val="20"/>
          <w:color w:val="auto"/>
        </w:rPr>
      </w:pPr>
    </w:p>
    <w:p>
      <w:pPr>
        <w:ind w:right="100" w:firstLine="459"/>
        <w:spacing w:after="0" w:line="270" w:lineRule="auto"/>
        <w:rPr>
          <w:sz w:val="20"/>
          <w:szCs w:val="20"/>
          <w:color w:val="auto"/>
        </w:rPr>
      </w:pPr>
      <w:r>
        <w:rPr>
          <w:rFonts w:ascii="Arial" w:cs="Arial" w:eastAsia="Arial" w:hAnsi="Arial"/>
          <w:sz w:val="17"/>
          <w:szCs w:val="17"/>
          <w:color w:val="auto"/>
        </w:rPr>
        <w:t>The Amended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4.5 to 1.0 (as of June 30, 2019). As noted above, the permitted maximum leverage ratio changes over time. Following a qualified offering of indebtedness with gross proceeds in excess of $150 million, we will be required to maintain a maximum senior secured ratio less than 2.50 to 1.0. Each of the factors considered in the calculations of these ratios are defined in the Amended Credit Agreement. EBITDA and consolidated interest, as defined, exclude goodwill and asset impairments, debt discount amortization, amortization of intangibles and other non-cash charges. We were in compliance with our covenants as of June 30, 2019.</w:t>
      </w:r>
    </w:p>
    <w:p>
      <w:pPr>
        <w:spacing w:after="0" w:line="182" w:lineRule="exact"/>
        <w:rPr>
          <w:sz w:val="20"/>
          <w:szCs w:val="20"/>
          <w:color w:val="auto"/>
        </w:rPr>
      </w:pPr>
    </w:p>
    <w:p>
      <w:pPr>
        <w:ind w:right="120" w:firstLine="459"/>
        <w:spacing w:after="0" w:line="264" w:lineRule="auto"/>
        <w:rPr>
          <w:sz w:val="20"/>
          <w:szCs w:val="20"/>
          <w:color w:val="auto"/>
        </w:rPr>
      </w:pPr>
      <w:r>
        <w:rPr>
          <w:rFonts w:ascii="Arial" w:cs="Arial" w:eastAsia="Arial" w:hAnsi="Arial"/>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As of June 30, 2019, we have nine lenders that were parties to the Amended Credit Agreement, with total commitments (including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1" w:name="page42"/>
    <w:bookmarkEnd w:id="41"/>
    <w:p>
      <w:pPr>
        <w:ind w:right="140"/>
        <w:spacing w:after="0" w:line="277" w:lineRule="auto"/>
        <w:rPr>
          <w:sz w:val="20"/>
          <w:szCs w:val="20"/>
          <w:color w:val="auto"/>
        </w:rPr>
      </w:pPr>
      <w:r>
        <w:rPr>
          <w:rFonts w:ascii="Arial" w:cs="Arial" w:eastAsia="Arial" w:hAnsi="Arial"/>
          <w:sz w:val="18"/>
          <w:szCs w:val="18"/>
          <w:color w:val="auto"/>
        </w:rPr>
        <w:t>both revolving commitments and term commitments) ranging from $24.9 million to $110.6 million. As of June 30, 2019, we had outstanding letters of credit of $0.3 million under the U.S facility, $0.5 million under the Australian facility and $2.6 million under the Canadian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60" w:firstLine="459"/>
        <w:spacing w:after="0" w:line="254" w:lineRule="auto"/>
        <w:rPr>
          <w:sz w:val="20"/>
          <w:szCs w:val="20"/>
          <w:color w:val="auto"/>
        </w:rPr>
      </w:pPr>
      <w:r>
        <w:rPr>
          <w:rFonts w:ascii="Arial" w:cs="Arial" w:eastAsia="Arial" w:hAnsi="Arial"/>
          <w:sz w:val="18"/>
          <w:szCs w:val="18"/>
          <w:color w:val="auto"/>
        </w:rPr>
        <w:t>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cash dividends on common or preferred shares is limited by covenants in the Amended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192"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color w:val="auto"/>
        </w:rPr>
        <w:t>The preferred shares we issued in the Noralta acquisition are entitled to receive a 2% annual dividend on the liquidation preference (initially $10,000 per share), subject to increase to up to 3% in certain circumstances, paid quarterly in cash or, at our option, by increasing the preferred shares’ liquidation preference, or any combination thereof. Quarterly dividends were paid in-kind on June 30, 2019, thereby increasing the liquidation preference to $10,252 per share as of June 30, 2019. We currently expect to pay dividends on the preferred shares for the foreseeable future through an increase in liquidation preference rather than cash.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2019,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00" w:firstLine="459"/>
        <w:spacing w:after="0" w:line="312" w:lineRule="auto"/>
        <w:rPr>
          <w:sz w:val="20"/>
          <w:szCs w:val="20"/>
          <w:color w:val="auto"/>
        </w:rPr>
      </w:pPr>
      <w:r>
        <w:rPr>
          <w:rFonts w:ascii="Arial" w:cs="Arial" w:eastAsia="Arial" w:hAnsi="Arial"/>
          <w:sz w:val="16"/>
          <w:szCs w:val="16"/>
          <w:color w:val="auto"/>
        </w:rPr>
        <w:t>For additional information about our contractual obligations, refer to “Liquidity and Capital Resources—Contractual Obligations” in our Annual Report on Form 10-K for the year ended December 31, 2018. As of June 30, 2019, except for net borrowings under our revolving credit facilities, there were no material changes to the disclosure regarding our contractual obligations made in our Annual Report on Form 10-K for the year ended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459"/>
        <w:spacing w:after="0" w:line="257" w:lineRule="auto"/>
        <w:rPr>
          <w:sz w:val="20"/>
          <w:szCs w:val="20"/>
          <w:color w:val="auto"/>
        </w:rPr>
      </w:pPr>
      <w:r>
        <w:rPr>
          <w:rFonts w:ascii="Arial" w:cs="Arial" w:eastAsia="Arial" w:hAnsi="Arial"/>
          <w:sz w:val="18"/>
          <w:szCs w:val="18"/>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2018.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40" w:firstLine="459"/>
        <w:spacing w:after="0" w:line="302" w:lineRule="auto"/>
        <w:rPr>
          <w:sz w:val="20"/>
          <w:szCs w:val="20"/>
          <w:color w:val="auto"/>
        </w:rPr>
      </w:pPr>
      <w:r>
        <w:rPr>
          <w:rFonts w:ascii="Arial" w:cs="Arial" w:eastAsia="Arial" w:hAnsi="Arial"/>
          <w:sz w:val="16"/>
          <w:szCs w:val="16"/>
          <w:color w:val="auto"/>
        </w:rPr>
        <w:t>We have credit facilities that are subject to the risk of higher interest charges associated with increases in interest rates. As of June 30, 2019, we had $405.3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$4.1 million annually, based on our floating-rate debt obligations and interest rates in effect as of June 30,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firstLine="459"/>
        <w:spacing w:after="0" w:line="289"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functional currency, or (ii) the functional currency of our subsidiaries, which is not necessarily the U.S. dollar. Excluding intercompany balances, our Canadian dollar and Australian dollar functional currency net assets total approximately C$0.3 billion and A$0.4 billion, respectively, at June 30, 2019. We use a sensitivity analysis model to measure the impact of a 10% adverse movement of foreign currency exchange rates against the United States dollar. A hypothetical 10% adverse change in the value of the Canadian dollar and Australian dollar relative to the U.S. dollar as of June 30, 2019 would result in translation adjustments of approximately $27 million and $37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firstLine="459"/>
        <w:spacing w:after="0" w:line="254"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June 30, 2019, at the reasonable assurance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firstLine="459"/>
        <w:spacing w:after="0" w:line="342" w:lineRule="auto"/>
        <w:rPr>
          <w:sz w:val="20"/>
          <w:szCs w:val="20"/>
          <w:color w:val="auto"/>
        </w:rPr>
      </w:pPr>
      <w:r>
        <w:rPr>
          <w:rFonts w:ascii="Arial" w:cs="Arial" w:eastAsia="Arial" w:hAnsi="Arial"/>
          <w:sz w:val="16"/>
          <w:szCs w:val="16"/>
          <w:color w:val="auto"/>
        </w:rPr>
        <w:t>During the three months ended June 30, 2019,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580" w:right="299" w:bottom="1440" w:gutter="0" w:footer="0" w:header="0"/>
        </w:sectPr>
      </w:pPr>
    </w:p>
    <w:bookmarkStart w:id="43" w:name="page44"/>
    <w:bookmarkEnd w:id="43"/>
    <w:p>
      <w:pPr>
        <w:ind w:left="450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140" w:firstLine="459"/>
        <w:spacing w:after="0" w:line="277" w:lineRule="auto"/>
        <w:rPr>
          <w:sz w:val="20"/>
          <w:szCs w:val="20"/>
          <w:color w:val="auto"/>
        </w:rPr>
      </w:pPr>
      <w:r>
        <w:rPr>
          <w:rFonts w:ascii="Arial" w:cs="Arial" w:eastAsia="Arial" w:hAnsi="Arial"/>
          <w:sz w:val="18"/>
          <w:szCs w:val="18"/>
          <w:color w:val="auto"/>
        </w:rPr>
        <w:t>For additional information about our risk factors, please read the section entitled “Risk Factors” included in our Annual Report on Form 10-K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about purchases of our common shares during the three months ended June 30, 2019.</w:t>
      </w:r>
    </w:p>
    <w:p>
      <w:pPr>
        <w:spacing w:after="0" w:line="388"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700" w:type="dxa"/>
            <w:vAlign w:val="bottom"/>
          </w:tcPr>
          <w:p>
            <w:pPr>
              <w:jc w:val="right"/>
              <w:ind w:right="19"/>
              <w:spacing w:after="0"/>
              <w:rPr>
                <w:sz w:val="20"/>
                <w:szCs w:val="20"/>
                <w:color w:val="auto"/>
              </w:rPr>
            </w:pPr>
            <w:r>
              <w:rPr>
                <w:rFonts w:ascii="Arial" w:cs="Arial" w:eastAsia="Arial" w:hAnsi="Arial"/>
                <w:sz w:val="16"/>
                <w:szCs w:val="16"/>
                <w:b w:val="1"/>
                <w:bCs w:val="1"/>
                <w:color w:val="auto"/>
              </w:rPr>
              <w:t>Maximum number of</w:t>
            </w:r>
          </w:p>
        </w:tc>
      </w:tr>
      <w:tr>
        <w:trPr>
          <w:trHeight w:val="203"/>
        </w:trPr>
        <w:tc>
          <w:tcPr>
            <w:tcW w:w="29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w w:val="93"/>
              </w:rPr>
              <w:t>shares that may yet be</w:t>
            </w:r>
          </w:p>
        </w:tc>
      </w:tr>
      <w:tr>
        <w:trPr>
          <w:trHeight w:val="203"/>
        </w:trPr>
        <w:tc>
          <w:tcPr>
            <w:tcW w:w="294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6"/>
                <w:szCs w:val="16"/>
                <w:b w:val="1"/>
                <w:bCs w:val="1"/>
                <w:color w:val="auto"/>
              </w:rPr>
              <w:t>Total Number of</w:t>
            </w:r>
          </w:p>
        </w:tc>
        <w:tc>
          <w:tcPr>
            <w:tcW w:w="280" w:type="dxa"/>
            <w:vAlign w:val="bottom"/>
          </w:tcPr>
          <w:p>
            <w:pPr>
              <w:spacing w:after="0"/>
              <w:rPr>
                <w:sz w:val="17"/>
                <w:szCs w:val="17"/>
                <w:color w:val="auto"/>
              </w:rPr>
            </w:pPr>
          </w:p>
        </w:tc>
        <w:tc>
          <w:tcPr>
            <w:tcW w:w="1840" w:type="dxa"/>
            <w:vAlign w:val="bottom"/>
          </w:tcPr>
          <w:p>
            <w:pPr>
              <w:ind w:left="160"/>
              <w:spacing w:after="0"/>
              <w:rPr>
                <w:sz w:val="20"/>
                <w:szCs w:val="20"/>
                <w:color w:val="auto"/>
              </w:rPr>
            </w:pPr>
            <w:r>
              <w:rPr>
                <w:rFonts w:ascii="Arial" w:cs="Arial" w:eastAsia="Arial" w:hAnsi="Arial"/>
                <w:sz w:val="16"/>
                <w:szCs w:val="16"/>
                <w:b w:val="1"/>
                <w:bCs w:val="1"/>
                <w:color w:val="auto"/>
              </w:rPr>
              <w:t>Average Price Paid</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700" w:type="dxa"/>
            <w:vAlign w:val="bottom"/>
          </w:tcPr>
          <w:p>
            <w:pPr>
              <w:jc w:val="right"/>
              <w:ind w:right="39"/>
              <w:spacing w:after="0"/>
              <w:rPr>
                <w:sz w:val="20"/>
                <w:szCs w:val="20"/>
                <w:color w:val="auto"/>
              </w:rPr>
            </w:pPr>
            <w:r>
              <w:rPr>
                <w:rFonts w:ascii="Arial" w:cs="Arial" w:eastAsia="Arial" w:hAnsi="Arial"/>
                <w:sz w:val="16"/>
                <w:szCs w:val="16"/>
                <w:b w:val="1"/>
                <w:bCs w:val="1"/>
                <w:color w:val="auto"/>
                <w:w w:val="98"/>
              </w:rPr>
              <w:t>purchased under the</w:t>
            </w:r>
          </w:p>
        </w:tc>
      </w:tr>
      <w:tr>
        <w:trPr>
          <w:trHeight w:val="210"/>
        </w:trPr>
        <w:tc>
          <w:tcPr>
            <w:tcW w:w="2940" w:type="dxa"/>
            <w:vAlign w:val="bottom"/>
          </w:tcPr>
          <w:p>
            <w:pPr>
              <w:ind w:left="1640"/>
              <w:spacing w:after="0"/>
              <w:rPr>
                <w:sz w:val="20"/>
                <w:szCs w:val="20"/>
                <w:color w:val="auto"/>
              </w:rPr>
            </w:pPr>
            <w:r>
              <w:rPr>
                <w:rFonts w:ascii="Arial" w:cs="Arial" w:eastAsia="Arial" w:hAnsi="Arial"/>
                <w:sz w:val="16"/>
                <w:szCs w:val="16"/>
                <w:b w:val="1"/>
                <w:bCs w:val="1"/>
                <w:color w:val="auto"/>
              </w:rPr>
              <w:t>Period</w:t>
            </w:r>
          </w:p>
        </w:tc>
        <w:tc>
          <w:tcPr>
            <w:tcW w:w="2100" w:type="dxa"/>
            <w:vAlign w:val="bottom"/>
          </w:tcPr>
          <w:p>
            <w:pPr>
              <w:jc w:val="right"/>
              <w:spacing w:after="0"/>
              <w:rPr>
                <w:sz w:val="20"/>
                <w:szCs w:val="20"/>
                <w:color w:val="auto"/>
              </w:rPr>
            </w:pPr>
            <w:r>
              <w:rPr>
                <w:rFonts w:ascii="Arial" w:cs="Arial" w:eastAsia="Arial" w:hAnsi="Arial"/>
                <w:sz w:val="16"/>
                <w:szCs w:val="16"/>
                <w:b w:val="1"/>
                <w:bCs w:val="1"/>
                <w:color w:val="auto"/>
              </w:rPr>
              <w:t>Shares Purchased</w:t>
            </w:r>
          </w:p>
        </w:tc>
        <w:tc>
          <w:tcPr>
            <w:tcW w:w="280" w:type="dxa"/>
            <w:vAlign w:val="bottom"/>
          </w:tcPr>
          <w:p>
            <w:pPr>
              <w:spacing w:after="0"/>
              <w:rPr>
                <w:sz w:val="18"/>
                <w:szCs w:val="18"/>
                <w:color w:val="auto"/>
              </w:rPr>
            </w:pPr>
          </w:p>
        </w:tc>
        <w:tc>
          <w:tcPr>
            <w:tcW w:w="1840" w:type="dxa"/>
            <w:vAlign w:val="bottom"/>
          </w:tcPr>
          <w:p>
            <w:pPr>
              <w:ind w:left="480"/>
              <w:spacing w:after="0"/>
              <w:rPr>
                <w:sz w:val="20"/>
                <w:szCs w:val="20"/>
                <w:color w:val="auto"/>
              </w:rPr>
            </w:pPr>
            <w:r>
              <w:rPr>
                <w:rFonts w:ascii="Arial" w:cs="Arial" w:eastAsia="Arial" w:hAnsi="Arial"/>
                <w:sz w:val="16"/>
                <w:szCs w:val="16"/>
                <w:b w:val="1"/>
                <w:bCs w:val="1"/>
                <w:color w:val="auto"/>
              </w:rPr>
              <w:t>per Share</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 (3)</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w w:val="97"/>
              </w:rPr>
              <w:t>plans or programs (3)</w:t>
            </w:r>
          </w:p>
        </w:tc>
      </w:tr>
      <w:tr>
        <w:trPr>
          <w:trHeight w:val="33"/>
        </w:trPr>
        <w:tc>
          <w:tcPr>
            <w:tcW w:w="29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April 1, 2019 - April 30, 2019</w:t>
            </w:r>
          </w:p>
        </w:tc>
        <w:tc>
          <w:tcPr>
            <w:tcW w:w="2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940" w:type="dxa"/>
            <w:vAlign w:val="bottom"/>
          </w:tcPr>
          <w:p>
            <w:pPr>
              <w:ind w:left="20"/>
              <w:spacing w:after="0"/>
              <w:rPr>
                <w:sz w:val="20"/>
                <w:szCs w:val="20"/>
                <w:color w:val="auto"/>
              </w:rPr>
            </w:pPr>
            <w:r>
              <w:rPr>
                <w:rFonts w:ascii="Arial" w:cs="Arial" w:eastAsia="Arial" w:hAnsi="Arial"/>
                <w:sz w:val="16"/>
                <w:szCs w:val="16"/>
                <w:color w:val="auto"/>
              </w:rPr>
              <w:t>May 1, 2019 - May 31, 2019</w:t>
            </w:r>
          </w:p>
        </w:tc>
        <w:tc>
          <w:tcPr>
            <w:tcW w:w="2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840" w:type="dxa"/>
            <w:vAlign w:val="bottom"/>
          </w:tcPr>
          <w:p>
            <w:pPr>
              <w:ind w:left="1300"/>
              <w:spacing w:after="0"/>
              <w:rPr>
                <w:sz w:val="20"/>
                <w:szCs w:val="20"/>
                <w:color w:val="auto"/>
              </w:rPr>
            </w:pPr>
            <w:r>
              <w:rPr>
                <w:rFonts w:ascii="Arial" w:cs="Arial" w:eastAsia="Arial" w:hAnsi="Arial"/>
                <w:sz w:val="16"/>
                <w:szCs w:val="16"/>
                <w:color w:val="auto"/>
              </w:rPr>
              <w:t>—</w:t>
            </w:r>
          </w:p>
        </w:tc>
        <w:tc>
          <w:tcPr>
            <w:tcW w:w="1840" w:type="dxa"/>
            <w:vAlign w:val="bottom"/>
          </w:tcPr>
          <w:p>
            <w:pPr>
              <w:ind w:left="160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9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7"/>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1, 2019 - June 30, 2019</w:t>
            </w:r>
          </w:p>
        </w:tc>
        <w:tc>
          <w:tcPr>
            <w:tcW w:w="2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(1)</w:t>
            </w:r>
          </w:p>
        </w:tc>
        <w:tc>
          <w:tcPr>
            <w:tcW w:w="184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 xml:space="preserve">$1.36 </w:t>
            </w:r>
            <w:r>
              <w:rPr>
                <w:rFonts w:ascii="Arial" w:cs="Arial" w:eastAsia="Arial" w:hAnsi="Arial"/>
                <w:sz w:val="17"/>
                <w:szCs w:val="17"/>
                <w:color w:val="auto"/>
                <w:vertAlign w:val="superscript"/>
              </w:rPr>
              <w:t>(2)</w:t>
            </w:r>
          </w:p>
        </w:tc>
        <w:tc>
          <w:tcPr>
            <w:tcW w:w="184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940" w:type="dxa"/>
            <w:vAlign w:val="bottom"/>
          </w:tcPr>
          <w:p>
            <w:pPr>
              <w:ind w:left="20"/>
              <w:spacing w:after="0"/>
              <w:rPr>
                <w:sz w:val="20"/>
                <w:szCs w:val="20"/>
                <w:color w:val="auto"/>
              </w:rPr>
            </w:pPr>
            <w:r>
              <w:rPr>
                <w:rFonts w:ascii="Arial" w:cs="Arial" w:eastAsia="Arial" w:hAnsi="Arial"/>
                <w:sz w:val="16"/>
                <w:szCs w:val="16"/>
                <w:color w:val="auto"/>
              </w:rPr>
              <w:t>Total</w:t>
            </w:r>
          </w:p>
        </w:tc>
        <w:tc>
          <w:tcPr>
            <w:tcW w:w="210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280" w:type="dxa"/>
            <w:vAlign w:val="bottom"/>
          </w:tcPr>
          <w:p>
            <w:pPr>
              <w:spacing w:after="0"/>
              <w:rPr>
                <w:sz w:val="20"/>
                <w:szCs w:val="20"/>
                <w:color w:val="auto"/>
              </w:rPr>
            </w:pPr>
          </w:p>
        </w:tc>
        <w:tc>
          <w:tcPr>
            <w:tcW w:w="1840" w:type="dxa"/>
            <w:vAlign w:val="bottom"/>
          </w:tcPr>
          <w:p>
            <w:pPr>
              <w:ind w:left="1180"/>
              <w:spacing w:after="0"/>
              <w:rPr>
                <w:sz w:val="20"/>
                <w:szCs w:val="20"/>
                <w:color w:val="auto"/>
              </w:rPr>
            </w:pPr>
            <w:r>
              <w:rPr>
                <w:rFonts w:ascii="Arial" w:cs="Arial" w:eastAsia="Arial" w:hAnsi="Arial"/>
                <w:sz w:val="16"/>
                <w:szCs w:val="16"/>
                <w:color w:val="auto"/>
              </w:rPr>
              <w:t>$1.36</w:t>
            </w:r>
          </w:p>
        </w:tc>
        <w:tc>
          <w:tcPr>
            <w:tcW w:w="1840" w:type="dxa"/>
            <w:vAlign w:val="bottom"/>
          </w:tcPr>
          <w:p>
            <w:pPr>
              <w:ind w:left="160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429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15" w:lineRule="exact"/>
        <w:rPr>
          <w:sz w:val="20"/>
          <w:szCs w:val="20"/>
          <w:color w:val="auto"/>
        </w:rPr>
      </w:pPr>
    </w:p>
    <w:p>
      <w:pPr>
        <w:ind w:left="340" w:right="220" w:hanging="332"/>
        <w:spacing w:after="0" w:line="258"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Consists of shares surrendered to us by participants in our 2014 Equity Participation Plan to settle the participants' personal tax liabilities that resulted from the lapsing of restrictions on shares awarded to the participants under the plan.</w:t>
      </w:r>
    </w:p>
    <w:p>
      <w:pPr>
        <w:spacing w:after="0" w:line="1" w:lineRule="exact"/>
        <w:rPr>
          <w:rFonts w:ascii="Arial" w:cs="Arial" w:eastAsia="Arial" w:hAnsi="Arial"/>
          <w:sz w:val="18"/>
          <w:szCs w:val="18"/>
          <w:color w:val="auto"/>
        </w:rPr>
      </w:pPr>
    </w:p>
    <w:p>
      <w:pPr>
        <w:ind w:left="340" w:right="460" w:hanging="332"/>
        <w:spacing w:after="0" w:line="250"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paid per share was based on the closing price of our common shares on June 1, 2019, the date as of which the restrictions lapsed on such shares.</w:t>
      </w: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did not have at any time during the quarter ended June 30, 2019, and currently do not have, a share repurchase program in place.</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580" w:right="3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ind w:left="660" w:hanging="490"/>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INDEX OF EXHIBITS</w:t>
      </w:r>
    </w:p>
    <w:p>
      <w:pPr>
        <w:spacing w:after="0" w:line="167" w:lineRule="exact"/>
        <w:rPr>
          <w:sz w:val="20"/>
          <w:szCs w:val="20"/>
          <w:color w:val="auto"/>
        </w:rPr>
      </w:pPr>
    </w:p>
    <w:p>
      <w:pPr>
        <w:ind w:left="820"/>
        <w:spacing w:after="0"/>
        <w:tabs>
          <w:tab w:leader="none" w:pos="63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31.1*</w:t>
            </w:r>
          </w:p>
        </w:tc>
        <w:tc>
          <w:tcPr>
            <w:tcW w:w="9520" w:type="dxa"/>
            <w:vAlign w:val="bottom"/>
            <w:gridSpan w:val="3"/>
          </w:tcPr>
          <w:p>
            <w:pPr>
              <w:ind w:left="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47">
              <w:r>
                <w:rPr>
                  <w:rFonts w:ascii="Arial" w:cs="Arial" w:eastAsia="Arial" w:hAnsi="Arial"/>
                  <w:sz w:val="18"/>
                  <w:szCs w:val="18"/>
                  <w:color w:val="0000FF"/>
                  <w:w w:val="94"/>
                </w:rPr>
                <w:t>Certification of Chief Executive Officer of Civeo Corporation pursuant to Rules 13a-14(a) or 15d-14(a) under the Securities</w:t>
              </w:r>
            </w:hyperlink>
          </w:p>
        </w:tc>
      </w:tr>
      <w:tr>
        <w:trPr>
          <w:trHeight w:val="196"/>
        </w:trPr>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Exchange Act of 1934.</w:t>
              </w:r>
            </w:hyperlink>
          </w:p>
        </w:tc>
        <w:tc>
          <w:tcPr>
            <w:tcW w:w="7500" w:type="dxa"/>
            <w:vAlign w:val="bottom"/>
            <w:tcBorders>
              <w:top w:val="single" w:sz="8" w:color="0000FF"/>
            </w:tcBorders>
          </w:tcPr>
          <w:p>
            <w:pPr>
              <w:spacing w:after="0"/>
              <w:rPr>
                <w:sz w:val="17"/>
                <w:szCs w:val="17"/>
                <w:color w:val="auto"/>
              </w:rPr>
            </w:pPr>
          </w:p>
        </w:tc>
      </w:tr>
      <w:tr>
        <w:trPr>
          <w:trHeight w:val="52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31.2*</w:t>
            </w:r>
          </w:p>
        </w:tc>
        <w:tc>
          <w:tcPr>
            <w:tcW w:w="9520" w:type="dxa"/>
            <w:vAlign w:val="bottom"/>
            <w:gridSpan w:val="3"/>
          </w:tcPr>
          <w:p>
            <w:pPr>
              <w:ind w:left="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w:anchor="page48">
              <w:r>
                <w:rPr>
                  <w:rFonts w:ascii="Arial" w:cs="Arial" w:eastAsia="Arial" w:hAnsi="Arial"/>
                  <w:sz w:val="18"/>
                  <w:szCs w:val="18"/>
                  <w:color w:val="0000FF"/>
                  <w:w w:val="95"/>
                </w:rPr>
                <w:t>Certification of Chief Financial Officer of Civeo Corporation pursuant to Rules 13a-14(a) or 15d-14(a) under the Securities</w:t>
              </w:r>
            </w:hyperlink>
          </w:p>
        </w:tc>
      </w:tr>
      <w:tr>
        <w:trPr>
          <w:trHeight w:val="196"/>
        </w:trPr>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48">
              <w:r>
                <w:rPr>
                  <w:rFonts w:ascii="Arial" w:cs="Arial" w:eastAsia="Arial" w:hAnsi="Arial"/>
                  <w:sz w:val="18"/>
                  <w:szCs w:val="18"/>
                  <w:color w:val="0000FF"/>
                  <w:w w:val="90"/>
                </w:rPr>
                <w:t>Exchange Act of 1934.</w:t>
              </w:r>
            </w:hyperlink>
          </w:p>
        </w:tc>
        <w:tc>
          <w:tcPr>
            <w:tcW w:w="7500" w:type="dxa"/>
            <w:vAlign w:val="bottom"/>
            <w:tcBorders>
              <w:top w:val="single" w:sz="8" w:color="0000FF"/>
            </w:tcBorders>
          </w:tcPr>
          <w:p>
            <w:pPr>
              <w:spacing w:after="0"/>
              <w:rPr>
                <w:sz w:val="17"/>
                <w:szCs w:val="17"/>
                <w:color w:val="auto"/>
              </w:rPr>
            </w:pPr>
          </w:p>
        </w:tc>
      </w:tr>
      <w:tr>
        <w:trPr>
          <w:trHeight w:val="52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32.1**</w:t>
            </w:r>
          </w:p>
        </w:tc>
        <w:tc>
          <w:tcPr>
            <w:tcW w:w="9520" w:type="dxa"/>
            <w:vAlign w:val="bottom"/>
            <w:gridSpan w:val="3"/>
          </w:tcPr>
          <w:p>
            <w:pPr>
              <w:ind w:left="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49">
              <w:r>
                <w:rPr>
                  <w:rFonts w:ascii="Arial" w:cs="Arial" w:eastAsia="Arial" w:hAnsi="Arial"/>
                  <w:sz w:val="18"/>
                  <w:szCs w:val="18"/>
                  <w:color w:val="0000FF"/>
                  <w:w w:val="94"/>
                </w:rPr>
                <w:t>Certification of Chief Executive Officer of Civeo Corporation pursuant to Rules 13a-14(b) or 15d-14(b) under the Securities</w:t>
              </w:r>
            </w:hyperlink>
          </w:p>
        </w:tc>
      </w:tr>
      <w:tr>
        <w:trPr>
          <w:trHeight w:val="196"/>
        </w:trPr>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Exchange Act of 1934.</w:t>
              </w:r>
            </w:hyperlink>
          </w:p>
        </w:tc>
        <w:tc>
          <w:tcPr>
            <w:tcW w:w="7500" w:type="dxa"/>
            <w:vAlign w:val="bottom"/>
            <w:tcBorders>
              <w:top w:val="single" w:sz="8" w:color="0000FF"/>
            </w:tcBorders>
          </w:tcPr>
          <w:p>
            <w:pPr>
              <w:spacing w:after="0"/>
              <w:rPr>
                <w:sz w:val="17"/>
                <w:szCs w:val="17"/>
                <w:color w:val="auto"/>
              </w:rPr>
            </w:pPr>
          </w:p>
        </w:tc>
      </w:tr>
      <w:tr>
        <w:trPr>
          <w:trHeight w:val="52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32.2**</w:t>
            </w:r>
          </w:p>
        </w:tc>
        <w:tc>
          <w:tcPr>
            <w:tcW w:w="9520" w:type="dxa"/>
            <w:vAlign w:val="bottom"/>
            <w:gridSpan w:val="3"/>
          </w:tcPr>
          <w:p>
            <w:pPr>
              <w:ind w:left="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w:anchor="page50">
              <w:r>
                <w:rPr>
                  <w:rFonts w:ascii="Arial" w:cs="Arial" w:eastAsia="Arial" w:hAnsi="Arial"/>
                  <w:sz w:val="18"/>
                  <w:szCs w:val="18"/>
                  <w:color w:val="0000FF"/>
                  <w:w w:val="95"/>
                </w:rPr>
                <w:t>Certification of Chief Financial Officer of Civeo Corporation pursuant to Rules 13a-14(b) or 15d-14(b) under the Securities</w:t>
              </w:r>
            </w:hyperlink>
          </w:p>
        </w:tc>
      </w:tr>
      <w:tr>
        <w:trPr>
          <w:trHeight w:val="196"/>
        </w:trPr>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Exchange Act of 1934.</w:t>
              </w:r>
            </w:hyperlink>
          </w:p>
        </w:tc>
        <w:tc>
          <w:tcPr>
            <w:tcW w:w="7500" w:type="dxa"/>
            <w:vAlign w:val="bottom"/>
            <w:tcBorders>
              <w:top w:val="single" w:sz="8" w:color="0000FF"/>
            </w:tcBorders>
          </w:tcPr>
          <w:p>
            <w:pPr>
              <w:spacing w:after="0"/>
              <w:rPr>
                <w:sz w:val="17"/>
                <w:szCs w:val="17"/>
                <w:color w:val="auto"/>
              </w:rPr>
            </w:pPr>
          </w:p>
        </w:tc>
      </w:tr>
      <w:tr>
        <w:trPr>
          <w:trHeight w:val="561"/>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101.INS*</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16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101.SCH*</w:t>
            </w:r>
          </w:p>
        </w:tc>
        <w:tc>
          <w:tcPr>
            <w:tcW w:w="9520" w:type="dxa"/>
            <w:vAlign w:val="bottom"/>
            <w:gridSpan w:val="3"/>
          </w:tcPr>
          <w:p>
            <w:pPr>
              <w:ind w:left="40"/>
              <w:spacing w:after="0"/>
              <w:rPr>
                <w:sz w:val="20"/>
                <w:szCs w:val="20"/>
                <w:color w:val="auto"/>
              </w:rPr>
            </w:pPr>
            <w:r>
              <w:rPr>
                <w:rFonts w:ascii="Arial" w:cs="Arial" w:eastAsia="Arial" w:hAnsi="Arial"/>
                <w:sz w:val="18"/>
                <w:szCs w:val="18"/>
                <w:color w:val="auto"/>
              </w:rPr>
              <w:t>—  XBRL Taxonomy Extension Schema Document</w:t>
            </w:r>
          </w:p>
        </w:tc>
      </w:tr>
      <w:tr>
        <w:trPr>
          <w:trHeight w:val="54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101.CAL*</w:t>
            </w:r>
          </w:p>
        </w:tc>
        <w:tc>
          <w:tcPr>
            <w:tcW w:w="9520" w:type="dxa"/>
            <w:vAlign w:val="bottom"/>
            <w:gridSpan w:val="3"/>
          </w:tcPr>
          <w:p>
            <w:pPr>
              <w:ind w:left="4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54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101.DEF*</w:t>
            </w:r>
          </w:p>
        </w:tc>
        <w:tc>
          <w:tcPr>
            <w:tcW w:w="9520" w:type="dxa"/>
            <w:vAlign w:val="bottom"/>
            <w:gridSpan w:val="3"/>
          </w:tcPr>
          <w:p>
            <w:pPr>
              <w:ind w:left="40"/>
              <w:spacing w:after="0"/>
              <w:rPr>
                <w:sz w:val="20"/>
                <w:szCs w:val="20"/>
                <w:color w:val="auto"/>
              </w:rPr>
            </w:pPr>
            <w:r>
              <w:rPr>
                <w:rFonts w:ascii="Arial" w:cs="Arial" w:eastAsia="Arial" w:hAnsi="Arial"/>
                <w:sz w:val="18"/>
                <w:szCs w:val="18"/>
                <w:color w:val="auto"/>
              </w:rPr>
              <w:t>—  XBRL Taxonomy Extension Definition Linkbase Document</w:t>
            </w:r>
          </w:p>
        </w:tc>
      </w:tr>
      <w:tr>
        <w:trPr>
          <w:trHeight w:val="54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101.LAB*</w:t>
            </w:r>
          </w:p>
        </w:tc>
        <w:tc>
          <w:tcPr>
            <w:tcW w:w="9520" w:type="dxa"/>
            <w:vAlign w:val="bottom"/>
            <w:gridSpan w:val="3"/>
          </w:tcPr>
          <w:p>
            <w:pPr>
              <w:ind w:left="40"/>
              <w:spacing w:after="0"/>
              <w:rPr>
                <w:sz w:val="20"/>
                <w:szCs w:val="20"/>
                <w:color w:val="auto"/>
              </w:rPr>
            </w:pPr>
            <w:r>
              <w:rPr>
                <w:rFonts w:ascii="Arial" w:cs="Arial" w:eastAsia="Arial" w:hAnsi="Arial"/>
                <w:sz w:val="18"/>
                <w:szCs w:val="18"/>
                <w:color w:val="auto"/>
              </w:rPr>
              <w:t>—  XBRL Taxonomy Extension Label Linkbase Document</w:t>
            </w:r>
          </w:p>
        </w:tc>
      </w:tr>
      <w:tr>
        <w:trPr>
          <w:trHeight w:val="54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101.PRE*</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1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840" w:type="dxa"/>
            <w:vAlign w:val="bottom"/>
            <w:gridSpan w:val="2"/>
          </w:tcPr>
          <w:p>
            <w:pPr>
              <w:jc w:val="right"/>
              <w:ind w:right="1210"/>
              <w:spacing w:after="0"/>
              <w:rPr>
                <w:sz w:val="20"/>
                <w:szCs w:val="20"/>
                <w:color w:val="auto"/>
              </w:rPr>
            </w:pPr>
            <w:r>
              <w:rPr>
                <w:rFonts w:ascii="Arial" w:cs="Arial" w:eastAsia="Arial" w:hAnsi="Arial"/>
                <w:sz w:val="18"/>
                <w:szCs w:val="18"/>
                <w:color w:val="auto"/>
                <w:w w:val="96"/>
              </w:rPr>
              <w:t>---------</w:t>
            </w:r>
          </w:p>
        </w:tc>
        <w:tc>
          <w:tcPr>
            <w:tcW w:w="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7500" w:type="dxa"/>
            <w:vAlign w:val="bottom"/>
          </w:tcPr>
          <w:p>
            <w:pPr>
              <w:spacing w:after="0"/>
              <w:rPr>
                <w:sz w:val="21"/>
                <w:szCs w:val="21"/>
                <w:color w:val="auto"/>
              </w:rPr>
            </w:pPr>
          </w:p>
        </w:tc>
      </w:tr>
      <w:tr>
        <w:trPr>
          <w:trHeight w:val="378"/>
        </w:trPr>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540" w:type="dxa"/>
            <w:vAlign w:val="bottom"/>
          </w:tcPr>
          <w:p>
            <w:pPr>
              <w:ind w:left="80"/>
              <w:spacing w:after="0"/>
              <w:rPr>
                <w:sz w:val="20"/>
                <w:szCs w:val="20"/>
                <w:color w:val="auto"/>
              </w:rPr>
            </w:pPr>
            <w:r>
              <w:rPr>
                <w:rFonts w:ascii="Arial" w:cs="Arial" w:eastAsia="Arial" w:hAnsi="Arial"/>
                <w:sz w:val="18"/>
                <w:szCs w:val="18"/>
                <w:color w:val="auto"/>
              </w:rPr>
              <w:t>Filed herewith.</w:t>
            </w: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500" w:type="dxa"/>
            <w:vAlign w:val="bottom"/>
          </w:tcPr>
          <w:p>
            <w:pPr>
              <w:spacing w:after="0"/>
              <w:rPr>
                <w:sz w:val="24"/>
                <w:szCs w:val="24"/>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540" w:type="dxa"/>
            <w:vAlign w:val="bottom"/>
          </w:tcPr>
          <w:p>
            <w:pPr>
              <w:ind w:left="80"/>
              <w:spacing w:after="0"/>
              <w:rPr>
                <w:sz w:val="20"/>
                <w:szCs w:val="20"/>
                <w:color w:val="auto"/>
              </w:rPr>
            </w:pPr>
            <w:r>
              <w:rPr>
                <w:rFonts w:ascii="Arial" w:cs="Arial" w:eastAsia="Arial" w:hAnsi="Arial"/>
                <w:sz w:val="18"/>
                <w:szCs w:val="18"/>
                <w:color w:val="auto"/>
                <w:w w:val="91"/>
              </w:rPr>
              <w:t>Furnished herewith.</w:t>
            </w:r>
          </w:p>
        </w:tc>
        <w:tc>
          <w:tcPr>
            <w:tcW w:w="3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7500" w:type="dxa"/>
            <w:vAlign w:val="bottom"/>
          </w:tcPr>
          <w:p>
            <w:pPr>
              <w:spacing w:after="0"/>
              <w:rPr>
                <w:sz w:val="23"/>
                <w:szCs w:val="23"/>
                <w:color w:val="auto"/>
              </w:rPr>
            </w:pPr>
          </w:p>
        </w:tc>
      </w:tr>
    </w:tbl>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96" w:right="239" w:bottom="1440" w:gutter="0" w:footer="0" w:header="0"/>
        </w:sectPr>
      </w:pPr>
    </w:p>
    <w:bookmarkStart w:id="45" w:name="page46"/>
    <w:bookmarkEnd w:id="45"/>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CIVEO CORPORATION</w:t>
      </w:r>
    </w:p>
    <w:p>
      <w:pPr>
        <w:spacing w:after="0" w:line="383" w:lineRule="exact"/>
        <w:rPr>
          <w:sz w:val="20"/>
          <w:szCs w:val="20"/>
          <w:color w:val="auto"/>
        </w:rPr>
      </w:pPr>
    </w:p>
    <w:p>
      <w:pPr>
        <w:ind w:left="40"/>
        <w:spacing w:after="0"/>
        <w:tabs>
          <w:tab w:leader="none" w:pos="5500" w:val="left"/>
          <w:tab w:leader="none" w:pos="6780" w:val="left"/>
        </w:tabs>
        <w:rPr>
          <w:sz w:val="20"/>
          <w:szCs w:val="20"/>
          <w:color w:val="auto"/>
        </w:rPr>
      </w:pPr>
      <w:r>
        <w:rPr>
          <w:rFonts w:ascii="Arial" w:cs="Arial" w:eastAsia="Arial" w:hAnsi="Arial"/>
          <w:sz w:val="18"/>
          <w:szCs w:val="18"/>
          <w:u w:val="single" w:color="auto"/>
          <w:color w:val="auto"/>
        </w:rPr>
        <w:t>Date: July 29, 2019</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-7620</wp:posOffset>
            </wp:positionV>
            <wp:extent cx="23221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22195" cy="8890"/>
                    </a:xfrm>
                    <a:prstGeom prst="rect">
                      <a:avLst/>
                    </a:prstGeom>
                    <a:noFill/>
                  </pic:spPr>
                </pic:pic>
              </a:graphicData>
            </a:graphic>
          </wp:anchor>
        </w:drawing>
      </w:r>
    </w:p>
    <w:p>
      <w:pPr>
        <w:spacing w:after="0" w:line="43"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Carolyn J. Stone</w:t>
      </w:r>
    </w:p>
    <w:p>
      <w:pPr>
        <w:spacing w:after="0" w:line="63"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auto"/>
        </w:rPr>
        <w:t>Chief Accounting Officer and Vice President, Controller and Corporate</w:t>
      </w:r>
    </w:p>
    <w:p>
      <w:pPr>
        <w:spacing w:after="0" w:line="39"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Secretary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 Bradley J. Dodson, certify that:</w:t>
      </w:r>
    </w:p>
    <w:p>
      <w:pPr>
        <w:spacing w:after="0" w:line="387" w:lineRule="exact"/>
        <w:rPr>
          <w:sz w:val="20"/>
          <w:szCs w:val="20"/>
          <w:color w:val="auto"/>
        </w:rPr>
      </w:pPr>
    </w:p>
    <w:p>
      <w:pPr>
        <w:ind w:left="300" w:hanging="265"/>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63" w:lineRule="exact"/>
        <w:rPr>
          <w:sz w:val="20"/>
          <w:szCs w:val="20"/>
          <w:color w:val="auto"/>
        </w:rPr>
      </w:pPr>
    </w:p>
    <w:p>
      <w:pPr>
        <w:jc w:val="both"/>
        <w:ind w:left="300" w:right="2220" w:hanging="265"/>
        <w:spacing w:after="0" w:line="264" w:lineRule="auto"/>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sz w:val="20"/>
          <w:szCs w:val="20"/>
          <w:color w:val="auto"/>
        </w:rPr>
      </w:pPr>
    </w:p>
    <w:p>
      <w:pPr>
        <w:jc w:val="both"/>
        <w:ind w:left="300" w:right="2220" w:hanging="265"/>
        <w:spacing w:after="0" w:line="264" w:lineRule="auto"/>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 w:lineRule="exact"/>
        <w:rPr>
          <w:sz w:val="20"/>
          <w:szCs w:val="20"/>
          <w:color w:val="auto"/>
        </w:rPr>
      </w:pPr>
    </w:p>
    <w:p>
      <w:pPr>
        <w:jc w:val="both"/>
        <w:ind w:left="300" w:right="2220" w:hanging="265"/>
        <w:spacing w:after="0" w:line="264"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00" w:right="2220" w:hanging="297"/>
        <w:spacing w:after="0" w:line="259"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8"/>
          <w:szCs w:val="18"/>
          <w:color w:val="auto"/>
        </w:rPr>
      </w:pPr>
    </w:p>
    <w:p>
      <w:pPr>
        <w:ind w:left="600" w:right="2220" w:hanging="297"/>
        <w:spacing w:after="0" w:line="305" w:lineRule="auto"/>
        <w:rPr>
          <w:rFonts w:ascii="Arial" w:cs="Arial" w:eastAsia="Arial" w:hAnsi="Arial"/>
          <w:sz w:val="18"/>
          <w:szCs w:val="18"/>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00" w:right="2220" w:hanging="297"/>
        <w:spacing w:after="0" w:line="264" w:lineRule="auto"/>
        <w:rPr>
          <w:rFonts w:ascii="Arial" w:cs="Arial" w:eastAsia="Arial" w:hAnsi="Arial"/>
          <w:sz w:val="18"/>
          <w:szCs w:val="18"/>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8"/>
          <w:szCs w:val="18"/>
          <w:color w:val="auto"/>
        </w:rPr>
      </w:pPr>
    </w:p>
    <w:p>
      <w:pPr>
        <w:ind w:left="600" w:right="2220" w:hanging="297"/>
        <w:spacing w:after="0" w:line="259" w:lineRule="auto"/>
        <w:rPr>
          <w:rFonts w:ascii="Arial" w:cs="Arial" w:eastAsia="Arial" w:hAnsi="Arial"/>
          <w:sz w:val="18"/>
          <w:szCs w:val="18"/>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sz w:val="20"/>
          <w:szCs w:val="20"/>
          <w:color w:val="auto"/>
        </w:rPr>
      </w:pPr>
    </w:p>
    <w:p>
      <w:pPr>
        <w:jc w:val="both"/>
        <w:ind w:left="300" w:right="2220" w:hanging="265"/>
        <w:spacing w:after="0" w:line="264"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 w:lineRule="exact"/>
        <w:rPr>
          <w:rFonts w:ascii="Arial" w:cs="Arial" w:eastAsia="Arial" w:hAnsi="Arial"/>
          <w:sz w:val="18"/>
          <w:szCs w:val="18"/>
          <w:color w:val="auto"/>
        </w:rPr>
      </w:pPr>
    </w:p>
    <w:p>
      <w:pPr>
        <w:ind w:left="600" w:right="2220" w:hanging="297"/>
        <w:spacing w:after="0" w:line="264" w:lineRule="auto"/>
        <w:rPr>
          <w:rFonts w:ascii="Arial" w:cs="Arial" w:eastAsia="Arial" w:hAnsi="Arial"/>
          <w:sz w:val="18"/>
          <w:szCs w:val="18"/>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 w:lineRule="exact"/>
        <w:rPr>
          <w:rFonts w:ascii="Arial" w:cs="Arial" w:eastAsia="Arial" w:hAnsi="Arial"/>
          <w:sz w:val="18"/>
          <w:szCs w:val="18"/>
          <w:color w:val="auto"/>
        </w:rPr>
      </w:pPr>
    </w:p>
    <w:p>
      <w:pPr>
        <w:ind w:left="600" w:right="2220" w:hanging="297"/>
        <w:spacing w:after="0" w:line="277" w:lineRule="auto"/>
        <w:rPr>
          <w:rFonts w:ascii="Arial" w:cs="Arial" w:eastAsia="Arial" w:hAnsi="Arial"/>
          <w:sz w:val="18"/>
          <w:szCs w:val="18"/>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2019</w: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Bradley J. Dodson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 Frank C. Steininger, certify that:</w:t>
      </w:r>
    </w:p>
    <w:p>
      <w:pPr>
        <w:spacing w:after="0" w:line="387" w:lineRule="exact"/>
        <w:rPr>
          <w:sz w:val="20"/>
          <w:szCs w:val="20"/>
          <w:color w:val="auto"/>
        </w:rPr>
      </w:pPr>
    </w:p>
    <w:p>
      <w:pPr>
        <w:ind w:left="40"/>
        <w:spacing w:after="0"/>
        <w:tabs>
          <w:tab w:leader="none" w:pos="2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 have reviewed this Quarterly Report on Form 10-Q of Civeo Corporation (Registrant);</w:t>
      </w:r>
    </w:p>
    <w:p>
      <w:pPr>
        <w:spacing w:after="0" w:line="63" w:lineRule="exact"/>
        <w:rPr>
          <w:sz w:val="20"/>
          <w:szCs w:val="20"/>
          <w:color w:val="auto"/>
        </w:rPr>
      </w:pPr>
    </w:p>
    <w:p>
      <w:pPr>
        <w:jc w:val="both"/>
        <w:ind w:left="280" w:right="2320" w:hanging="245"/>
        <w:spacing w:after="0" w:line="264"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sz w:val="20"/>
          <w:szCs w:val="20"/>
          <w:color w:val="auto"/>
        </w:rPr>
      </w:pPr>
    </w:p>
    <w:p>
      <w:pPr>
        <w:jc w:val="both"/>
        <w:ind w:left="280" w:right="2320" w:hanging="245"/>
        <w:spacing w:after="0" w:line="264" w:lineRule="auto"/>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 w:lineRule="exact"/>
        <w:rPr>
          <w:sz w:val="20"/>
          <w:szCs w:val="20"/>
          <w:color w:val="auto"/>
        </w:rPr>
      </w:pPr>
    </w:p>
    <w:p>
      <w:pPr>
        <w:jc w:val="both"/>
        <w:ind w:left="280" w:right="2320" w:hanging="245"/>
        <w:spacing w:after="0" w:line="264" w:lineRule="auto"/>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20" w:right="2320" w:hanging="338"/>
        <w:spacing w:after="0" w:line="259"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8"/>
          <w:szCs w:val="18"/>
          <w:color w:val="auto"/>
        </w:rPr>
      </w:pPr>
    </w:p>
    <w:p>
      <w:pPr>
        <w:ind w:left="620" w:right="2320" w:hanging="338"/>
        <w:spacing w:after="0" w:line="259" w:lineRule="auto"/>
        <w:rPr>
          <w:rFonts w:ascii="Arial" w:cs="Arial" w:eastAsia="Arial" w:hAnsi="Arial"/>
          <w:sz w:val="18"/>
          <w:szCs w:val="18"/>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8"/>
          <w:szCs w:val="18"/>
          <w:color w:val="auto"/>
        </w:rPr>
      </w:pPr>
    </w:p>
    <w:p>
      <w:pPr>
        <w:ind w:left="620" w:right="2320" w:hanging="338"/>
        <w:spacing w:after="0" w:line="264" w:lineRule="auto"/>
        <w:rPr>
          <w:rFonts w:ascii="Arial" w:cs="Arial" w:eastAsia="Arial" w:hAnsi="Arial"/>
          <w:sz w:val="18"/>
          <w:szCs w:val="18"/>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8"/>
          <w:szCs w:val="18"/>
          <w:color w:val="auto"/>
        </w:rPr>
      </w:pPr>
    </w:p>
    <w:p>
      <w:pPr>
        <w:ind w:left="620" w:right="2320" w:hanging="338"/>
        <w:spacing w:after="0" w:line="259" w:lineRule="auto"/>
        <w:rPr>
          <w:rFonts w:ascii="Arial" w:cs="Arial" w:eastAsia="Arial" w:hAnsi="Arial"/>
          <w:sz w:val="18"/>
          <w:szCs w:val="18"/>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sz w:val="20"/>
          <w:szCs w:val="20"/>
          <w:color w:val="auto"/>
        </w:rPr>
      </w:pPr>
    </w:p>
    <w:p>
      <w:pPr>
        <w:jc w:val="both"/>
        <w:ind w:left="280" w:right="2320" w:hanging="245"/>
        <w:spacing w:after="0" w:line="264"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 w:lineRule="exact"/>
        <w:rPr>
          <w:rFonts w:ascii="Arial" w:cs="Arial" w:eastAsia="Arial" w:hAnsi="Arial"/>
          <w:sz w:val="18"/>
          <w:szCs w:val="18"/>
          <w:color w:val="auto"/>
        </w:rPr>
      </w:pPr>
    </w:p>
    <w:p>
      <w:pPr>
        <w:ind w:left="620" w:right="2320" w:hanging="338"/>
        <w:spacing w:after="0" w:line="264" w:lineRule="auto"/>
        <w:rPr>
          <w:rFonts w:ascii="Arial" w:cs="Arial" w:eastAsia="Arial" w:hAnsi="Arial"/>
          <w:sz w:val="18"/>
          <w:szCs w:val="18"/>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 w:lineRule="exact"/>
        <w:rPr>
          <w:rFonts w:ascii="Arial" w:cs="Arial" w:eastAsia="Arial" w:hAnsi="Arial"/>
          <w:sz w:val="18"/>
          <w:szCs w:val="18"/>
          <w:color w:val="auto"/>
        </w:rPr>
      </w:pPr>
    </w:p>
    <w:p>
      <w:pPr>
        <w:ind w:left="620" w:right="2320" w:hanging="338"/>
        <w:spacing w:after="0" w:line="277" w:lineRule="auto"/>
        <w:rPr>
          <w:rFonts w:ascii="Arial" w:cs="Arial" w:eastAsia="Arial" w:hAnsi="Arial"/>
          <w:sz w:val="18"/>
          <w:szCs w:val="18"/>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2019</w:t>
      </w:r>
    </w:p>
    <w:p>
      <w:pPr>
        <w:spacing w:after="0" w:line="38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Frank C. Steininger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Executive Vice President, Chief Financial Officer and</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June 30, 2019,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and</w:t>
      </w:r>
    </w:p>
    <w:p>
      <w:pPr>
        <w:spacing w:after="0" w:line="63" w:lineRule="exact"/>
        <w:rPr>
          <w:sz w:val="20"/>
          <w:szCs w:val="20"/>
          <w:color w:val="auto"/>
        </w:rPr>
      </w:pPr>
    </w:p>
    <w:p>
      <w:pPr>
        <w:ind w:left="220" w:right="2220" w:hanging="185"/>
        <w:spacing w:after="0" w:line="277"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26155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760" w:val="left"/>
        </w:tabs>
        <w:rPr>
          <w:sz w:val="20"/>
          <w:szCs w:val="20"/>
          <w:color w:val="auto"/>
        </w:rPr>
      </w:pPr>
      <w:r>
        <w:rPr>
          <w:rFonts w:ascii="Arial" w:cs="Arial" w:eastAsia="Arial" w:hAnsi="Arial"/>
          <w:sz w:val="18"/>
          <w:szCs w:val="18"/>
          <w:color w:val="auto"/>
        </w:rPr>
        <w:t>Name:</w:t>
        <w:tab/>
        <w:t>Bradley J. Dodson</w:t>
      </w:r>
    </w:p>
    <w:p>
      <w:pPr>
        <w:spacing w:after="0" w:line="63" w:lineRule="exact"/>
        <w:rPr>
          <w:sz w:val="20"/>
          <w:szCs w:val="20"/>
          <w:color w:val="auto"/>
        </w:rPr>
      </w:pPr>
    </w:p>
    <w:p>
      <w:pPr>
        <w:ind w:left="6080"/>
        <w:spacing w:after="0"/>
        <w:tabs>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29, 2019</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June 30, 2019, as filed with the Securities and Exchange Commission on the date hereof (the “Report”), I, Frank C. Steininger, Executive Vice President, Chief Financial Officer and Treasurer of the Company, hereby certify, pursuant to 18 U.S.C. Section 1350, as adopted pursuant to Section 906 of the Sarbanes-Oxley Act of 2002, to the best of my knowledge, that:</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and</w:t>
      </w:r>
    </w:p>
    <w:p>
      <w:pPr>
        <w:spacing w:after="0" w:line="63" w:lineRule="exact"/>
        <w:rPr>
          <w:sz w:val="20"/>
          <w:szCs w:val="20"/>
          <w:color w:val="auto"/>
        </w:rPr>
      </w:pPr>
    </w:p>
    <w:p>
      <w:pPr>
        <w:ind w:left="220" w:right="2220" w:hanging="185"/>
        <w:spacing w:after="0" w:line="277"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26327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57" w:lineRule="exact"/>
        <w:rPr>
          <w:sz w:val="20"/>
          <w:szCs w:val="20"/>
          <w:color w:val="auto"/>
        </w:rPr>
      </w:pPr>
    </w:p>
    <w:p>
      <w:pPr>
        <w:ind w:left="5860"/>
        <w:spacing w:after="0"/>
        <w:tabs>
          <w:tab w:leader="none" w:pos="6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Frank C. Steininger</w:t>
      </w:r>
    </w:p>
    <w:p>
      <w:pPr>
        <w:spacing w:after="0" w:line="63" w:lineRule="exact"/>
        <w:rPr>
          <w:sz w:val="20"/>
          <w:szCs w:val="20"/>
          <w:color w:val="auto"/>
        </w:rPr>
      </w:pPr>
    </w:p>
    <w:p>
      <w:pPr>
        <w:ind w:left="5860"/>
        <w:spacing w:after="0"/>
        <w:tabs>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29,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upperLetter"/>
      <w:start w:val="24"/>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2"/>
    </w:lvl>
  </w:abstractNum>
  <w:abstractNum w:abstractNumId="3">
    <w:nsid w:val="7C83E458"/>
    <w:multiLevelType w:val="hybridMultilevel"/>
    <w:lvl w:ilvl="0">
      <w:lvlJc w:val="left"/>
      <w:lvlText w:val="%1."/>
      <w:numFmt w:val="decimal"/>
      <w:start w:val="3"/>
    </w:lvl>
  </w:abstractNum>
  <w:abstractNum w:abstractNumId="4">
    <w:nsid w:val="257130A3"/>
    <w:multiLevelType w:val="hybridMultilevel"/>
    <w:lvl w:ilvl="0">
      <w:lvlJc w:val="left"/>
      <w:lvlText w:val="%1."/>
      <w:numFmt w:val="decimal"/>
      <w:start w:val="4"/>
    </w:lvl>
  </w:abstractNum>
  <w:abstractNum w:abstractNumId="5">
    <w:nsid w:val="62BBD95A"/>
    <w:multiLevelType w:val="hybridMultilevel"/>
    <w:lvl w:ilvl="0">
      <w:lvlJc w:val="left"/>
      <w:lvlText w:val="%1."/>
      <w:numFmt w:val="decimal"/>
      <w:start w:val="5"/>
    </w:lvl>
  </w:abstractNum>
  <w:abstractNum w:abstractNumId="6">
    <w:nsid w:val="436C6125"/>
    <w:multiLevelType w:val="hybridMultilevel"/>
    <w:lvl w:ilvl="0">
      <w:lvlJc w:val="left"/>
      <w:lvlText w:val="%1."/>
      <w:numFmt w:val="decimal"/>
      <w:start w:val="6"/>
    </w:lvl>
  </w:abstractNum>
  <w:abstractNum w:abstractNumId="7">
    <w:nsid w:val="628C895D"/>
    <w:multiLevelType w:val="hybridMultilevel"/>
    <w:lvl w:ilvl="0">
      <w:lvlJc w:val="left"/>
      <w:lvlText w:val="%1."/>
      <w:numFmt w:val="decimal"/>
      <w:start w:val="7"/>
    </w:lvl>
  </w:abstractNum>
  <w:abstractNum w:abstractNumId="8">
    <w:nsid w:val="333AB105"/>
    <w:multiLevelType w:val="hybridMultilevel"/>
    <w:lvl w:ilvl="0">
      <w:lvlJc w:val="left"/>
      <w:lvlText w:val="%1."/>
      <w:numFmt w:val="decimal"/>
      <w:start w:val="8"/>
    </w:lvl>
  </w:abstractNum>
  <w:abstractNum w:abstractNumId="9">
    <w:nsid w:val="721DA317"/>
    <w:multiLevelType w:val="hybridMultilevel"/>
    <w:lvl w:ilvl="0">
      <w:lvlJc w:val="left"/>
      <w:lvlText w:val="%1."/>
      <w:numFmt w:val="decimal"/>
      <w:start w:val="9"/>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bullet"/>
      <w:start w:val="1"/>
    </w:lvl>
  </w:abstractNum>
  <w:abstractNum w:abstractNumId="24">
    <w:nsid w:val="3A95F874"/>
    <w:multiLevelType w:val="hybridMultilevel"/>
    <w:lvl w:ilvl="0">
      <w:lvlJc w:val="left"/>
      <w:lvlText w:val="2"/>
      <w:numFmt w:val="bullet"/>
      <w:start w:val="1"/>
    </w:lvl>
  </w:abstractNum>
  <w:abstractNum w:abstractNumId="25">
    <w:nsid w:val="8138641"/>
    <w:multiLevelType w:val="hybridMultilevel"/>
    <w:lvl w:ilvl="0">
      <w:lvlJc w:val="left"/>
      <w:lvlText w:val="3"/>
      <w:numFmt w:val="bullet"/>
      <w:start w:val="1"/>
    </w:lvl>
  </w:abstractNum>
  <w:abstractNum w:abstractNumId="26">
    <w:nsid w:val="1E7FF521"/>
    <w:multiLevelType w:val="hybridMultilevel"/>
    <w:lvl w:ilvl="0">
      <w:lvlJc w:val="left"/>
      <w:lvlText w:val="4"/>
      <w:numFmt w:val="bullet"/>
      <w:start w:val="1"/>
    </w:lvl>
  </w:abstractNum>
  <w:abstractNum w:abstractNumId="27">
    <w:nsid w:val="7C3DBD3D"/>
    <w:multiLevelType w:val="hybridMultilevel"/>
    <w:lvl w:ilvl="0">
      <w:lvlJc w:val="left"/>
      <w:lvlText w:val="5"/>
      <w:numFmt w:val="bullet"/>
      <w:start w:val="1"/>
    </w:lvl>
  </w:abstractNum>
  <w:abstractNum w:abstractNumId="28">
    <w:nsid w:val="737B8DDC"/>
    <w:multiLevelType w:val="hybridMultilevel"/>
    <w:lvl w:ilvl="0">
      <w:lvlJc w:val="left"/>
      <w:lvlText w:val="2"/>
      <w:numFmt w:val="bullet"/>
      <w:start w:val="1"/>
    </w:lvl>
  </w:abstractNum>
  <w:abstractNum w:abstractNumId="29">
    <w:nsid w:val="6CEAF087"/>
    <w:multiLevelType w:val="hybridMultilevel"/>
    <w:lvl w:ilvl="0">
      <w:lvlJc w:val="left"/>
      <w:lvlText w:val="3"/>
      <w:numFmt w:val="bullet"/>
      <w:start w:val="1"/>
    </w:lvl>
  </w:abstractNum>
  <w:abstractNum w:abstractNumId="30">
    <w:nsid w:val="22221A70"/>
    <w:multiLevelType w:val="hybridMultilevel"/>
    <w:lvl w:ilvl="0">
      <w:lvlJc w:val="left"/>
      <w:lvlText w:val="4"/>
      <w:numFmt w:val="bullet"/>
      <w:start w:val="1"/>
    </w:lvl>
  </w:abstractNum>
  <w:abstractNum w:abstractNumId="31">
    <w:nsid w:val="4516DDE9"/>
    <w:multiLevelType w:val="hybridMultilevel"/>
    <w:lvl w:ilvl="0">
      <w:lvlJc w:val="left"/>
      <w:lvlText w:val="5"/>
      <w:numFmt w:val="bullet"/>
      <w:start w:val="1"/>
    </w:lvl>
  </w:abstractNum>
  <w:abstractNum w:abstractNumId="32">
    <w:nsid w:val="3006C83E"/>
    <w:multiLevelType w:val="hybridMultilevel"/>
    <w:lvl w:ilvl="0">
      <w:lvlJc w:val="left"/>
      <w:lvlText w:val="2"/>
      <w:numFmt w:val="bullet"/>
      <w:start w:val="1"/>
    </w:lvl>
  </w:abstractNum>
  <w:abstractNum w:abstractNumId="33">
    <w:nsid w:val="614FD4A1"/>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2019-12-28T09:55:57Z</dcterms:created>
  <dcterms:modified xsi:type="dcterms:W3CDTF">2019-12-28T09:55:57Z</dcterms:modified>
</cp:coreProperties>
</file>