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 xml:space="preserve">UNITED STATES </w:t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 xml:space="preserve">SECURITIES AND EXCHANGE COMMISSION </w:t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WASHINGTON, D.C. 20549 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 xml:space="preserve">SCHEDULE 14A </w:t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Proxy Statement Pursuant to Section 14(a) of the </w:t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 xml:space="preserve">Securities Exchange Act of 1934 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76" w:before="0" w:after="0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 xml:space="preserve">☒ </w:t>
      </w:r>
    </w:p>
    <w:p>
      <w:pPr>
        <w:pStyle w:val="TextBody"/>
        <w:spacing w:lineRule="auto" w:line="276" w:before="0" w:after="0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spacing w:lineRule="auto" w:line="276" w:before="0" w:after="0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Check the appropriate box: </w:t>
      </w:r>
    </w:p>
    <w:tbl>
      <w:tblPr>
        <w:tblW w:w="7493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1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1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1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1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Soliciting Material Pursuant to </w:t>
            </w:r>
            <w:r>
              <w:rPr>
                <w:rFonts w:ascii="Times New Roman;sans-serif" w:hAnsi="Times New Roman;sans-serif"/>
                <w:b w:val="false"/>
                <w:color w:val="000000"/>
                <w:sz w:val="24"/>
              </w:rPr>
              <w:t>§</w:t>
            </w: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240.14a-12</w:t>
            </w:r>
          </w:p>
        </w:tc>
      </w:tr>
    </w:tbl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44"/>
        </w:rPr>
      </w:pPr>
      <w:r>
        <w:rPr>
          <w:rFonts w:ascii="Times New Roman;sans-serif" w:hAnsi="Times New Roman;sans-serif"/>
          <w:b/>
          <w:color w:val="000000"/>
          <w:sz w:val="44"/>
        </w:rPr>
        <w:t xml:space="preserve">Civeo Corporation </w:t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76" w:before="0" w:after="0"/>
        <w:jc w:val="center"/>
        <w:rPr>
          <w:rFonts w:ascii="Times New Roman;sans-serif" w:hAnsi="Times New Roman;sans-serif"/>
          <w:b/>
          <w:color w:val="000000"/>
          <w:sz w:val="16"/>
        </w:rPr>
      </w:pPr>
      <w:r>
        <w:rPr>
          <w:rFonts w:ascii="Times New Roman;sans-serif" w:hAnsi="Times New Roman;sans-serif"/>
          <w:b/>
          <w:color w:val="000000"/>
          <w:sz w:val="16"/>
        </w:rPr>
        <w:t xml:space="preserve">(Name of Person(s) Filing Proxy Statement, if other than the Registrant) </w:t>
      </w:r>
    </w:p>
    <w:p>
      <w:pPr>
        <w:pStyle w:val="TextBody"/>
        <w:spacing w:lineRule="auto" w:line="276" w:before="0" w:after="0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Payment of Filing Fee (Check the appropriate box): </w:t>
      </w:r>
    </w:p>
    <w:tbl>
      <w:tblPr>
        <w:tblW w:w="9083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894"/>
        <w:gridCol w:w="894"/>
        <w:gridCol w:w="894"/>
        <w:gridCol w:w="894"/>
        <w:gridCol w:w="894"/>
        <w:gridCol w:w="894"/>
        <w:gridCol w:w="894"/>
        <w:gridCol w:w="894"/>
        <w:gridCol w:w="1262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1" w:type="dxa"/>
            <w:gridSpan w:val="1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4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4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4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76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9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2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rPr/>
      </w:pPr>
      <w:r>
        <w:rPr/>
        <w:drawing>
          <wp:inline distT="0" distB="63500" distL="0" distR="0">
            <wp:extent cx="6629400" cy="85725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rPr/>
      </w:pPr>
      <w:r>
        <w:rPr/>
        <w:drawing>
          <wp:inline distT="0" distB="63500" distL="0" distR="0">
            <wp:extent cx="6629400" cy="85725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131</Words>
  <CharactersWithSpaces>830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