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ASHNER MICHAEL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10/23/2014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No securities in Civeo Corporation are beneficially owned immediately prior to becoming a director.</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L. Ashner,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34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347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10/24/2014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0600"/>
        <w:spacing w:after="0"/>
        <w:rPr>
          <w:sz w:val="20"/>
          <w:szCs w:val="20"/>
          <w:color w:val="auto"/>
        </w:rPr>
      </w:pPr>
      <w:r>
        <w:rPr>
          <w:rFonts w:ascii="Arial" w:cs="Arial" w:eastAsia="Arial" w:hAnsi="Arial"/>
          <w:sz w:val="18"/>
          <w:szCs w:val="18"/>
          <w:b w:val="1"/>
          <w:bCs w:val="1"/>
          <w:u w:val="single" w:color="auto"/>
          <w:color w:val="auto"/>
        </w:rPr>
        <w:t>ANNEX C</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FORM 144 AND SCHEDULES 13D AND 13G</w:t>
      </w:r>
    </w:p>
    <w:p>
      <w:pPr>
        <w:spacing w:after="0" w:line="2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Michael L. Ashner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L. Ashner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10/21/2014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139233"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2019-12-18T15:27:22Z</dcterms:created>
  <dcterms:modified xsi:type="dcterms:W3CDTF">2019-12-18T15:27:22Z</dcterms:modified>
</cp:coreProperties>
</file>