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980" w:right="1780" w:hanging="580"/>
        <w:spacing w:after="0" w:line="261" w:lineRule="auto"/>
        <w:tabs>
          <w:tab w:leader="none" w:pos="96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2017</w:t>
      </w:r>
    </w:p>
    <w:p>
      <w:pPr>
        <w:spacing w:after="0" w:line="180" w:lineRule="exact"/>
        <w:rPr>
          <w:sz w:val="24"/>
          <w:szCs w:val="24"/>
          <w:color w:val="auto"/>
        </w:rPr>
      </w:pPr>
    </w:p>
    <w:p>
      <w:pPr>
        <w:ind w:left="576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3584575</wp:posOffset>
            </wp:positionH>
            <wp:positionV relativeFrom="paragraph">
              <wp:posOffset>-7620</wp:posOffset>
            </wp:positionV>
            <wp:extent cx="714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001-36246</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3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2"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300" w:type="dxa"/>
            <w:vAlign w:val="bottom"/>
            <w:gridSpan w:val="4"/>
          </w:tcPr>
          <w:p>
            <w:pPr>
              <w:jc w:val="center"/>
              <w:ind w:right="2440"/>
              <w:spacing w:after="0"/>
              <w:rPr>
                <w:sz w:val="20"/>
                <w:szCs w:val="20"/>
                <w:color w:val="auto"/>
              </w:rPr>
            </w:pPr>
            <w:r>
              <w:rPr>
                <w:rFonts w:ascii="Times New Roman" w:cs="Times New Roman" w:eastAsia="Times New Roman" w:hAnsi="Times New Roman"/>
                <w:sz w:val="18"/>
                <w:szCs w:val="18"/>
                <w:color w:val="auto"/>
                <w:w w:val="99"/>
              </w:rPr>
              <w:t>British Columbia, Canada</w:t>
            </w:r>
          </w:p>
        </w:tc>
        <w:tc>
          <w:tcPr>
            <w:tcW w:w="1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512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860" w:type="dxa"/>
            <w:vAlign w:val="bottom"/>
            <w:gridSpan w:val="5"/>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2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86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512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color w:val="auto"/>
                <w:w w:val="99"/>
              </w:rPr>
              <w:t>Three Allen Center, 333 Clay Street, Suite 4980,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77002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300" w:type="dxa"/>
            <w:vAlign w:val="bottom"/>
            <w:gridSpan w:val="4"/>
          </w:tcPr>
          <w:p>
            <w:pPr>
              <w:jc w:val="center"/>
              <w:ind w:right="2420"/>
              <w:spacing w:after="0" w:line="196" w:lineRule="exact"/>
              <w:rPr>
                <w:sz w:val="20"/>
                <w:szCs w:val="20"/>
                <w:color w:val="auto"/>
              </w:rPr>
            </w:pPr>
            <w:r>
              <w:rPr>
                <w:rFonts w:ascii="Times New Roman" w:cs="Times New Roman" w:eastAsia="Times New Roman" w:hAnsi="Times New Roman"/>
                <w:sz w:val="18"/>
                <w:szCs w:val="18"/>
                <w:color w:val="auto"/>
                <w:w w:val="99"/>
              </w:rPr>
              <w:t>Houston, Texas</w:t>
            </w:r>
          </w:p>
        </w:tc>
        <w:tc>
          <w:tcPr>
            <w:tcW w:w="760" w:type="dxa"/>
            <w:vAlign w:val="bottom"/>
          </w:tcPr>
          <w:p>
            <w:pPr>
              <w:spacing w:after="0"/>
              <w:rPr>
                <w:sz w:val="17"/>
                <w:szCs w:val="17"/>
                <w:color w:val="auto"/>
              </w:rPr>
            </w:pPr>
          </w:p>
        </w:tc>
        <w:tc>
          <w:tcPr>
            <w:tcW w:w="1100" w:type="dxa"/>
            <w:vAlign w:val="bottom"/>
            <w:gridSpan w:val="4"/>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(Zip Code)</w:t>
            </w:r>
          </w:p>
        </w:tc>
      </w:tr>
      <w:tr>
        <w:trPr>
          <w:trHeight w:val="20"/>
        </w:trPr>
        <w:tc>
          <w:tcPr>
            <w:tcW w:w="1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12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(713) 510-2400</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40"/>
        <w:spacing w:after="0"/>
        <w:tabs>
          <w:tab w:leader="none" w:pos="626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07"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4540"/>
        <w:spacing w:after="0"/>
        <w:tabs>
          <w:tab w:leader="none" w:pos="626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07" w:lineRule="exact"/>
        <w:rPr>
          <w:sz w:val="24"/>
          <w:szCs w:val="24"/>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(Check one):</w:t>
      </w:r>
    </w:p>
    <w:p>
      <w:pPr>
        <w:spacing w:after="0" w:line="261" w:lineRule="exact"/>
        <w:rPr>
          <w:sz w:val="24"/>
          <w:szCs w:val="24"/>
          <w:color w:val="auto"/>
        </w:rPr>
      </w:pPr>
    </w:p>
    <w:p>
      <w:pPr>
        <w:ind w:left="20"/>
        <w:spacing w:after="0"/>
        <w:tabs>
          <w:tab w:leader="none" w:pos="3760" w:val="left"/>
        </w:tabs>
        <w:rPr>
          <w:sz w:val="20"/>
          <w:szCs w:val="20"/>
          <w:color w:val="auto"/>
        </w:rPr>
      </w:pP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8"/>
          <w:szCs w:val="18"/>
          <w:color w:val="auto"/>
        </w:rPr>
        <w:t>Emerging Growth Company [ ]</w:t>
      </w:r>
    </w:p>
    <w:p>
      <w:pPr>
        <w:spacing w:after="0" w:line="3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 [ ]</w:t>
      </w:r>
    </w:p>
    <w:p>
      <w:pPr>
        <w:spacing w:after="0" w:line="333" w:lineRule="exact"/>
        <w:rPr>
          <w:sz w:val="24"/>
          <w:szCs w:val="24"/>
          <w:color w:val="auto"/>
        </w:rPr>
      </w:pPr>
    </w:p>
    <w:p>
      <w:pPr>
        <w:sectPr>
          <w:pgSz w:w="11900" w:h="16838" w:orient="portrait"/>
          <w:cols w:equalWidth="0" w:num="2">
            <w:col w:w="4520" w:space="720"/>
            <w:col w:w="6180"/>
          </w:cols>
          <w:pgMar w:left="240" w:top="229" w:right="239" w:bottom="1440" w:gutter="0" w:footer="0" w:header="0"/>
          <w:type w:val="continuous"/>
        </w:sect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4540"/>
        <w:spacing w:after="0"/>
        <w:tabs>
          <w:tab w:leader="none" w:pos="626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7"/>
          <w:szCs w:val="17"/>
          <w:color w:val="auto"/>
        </w:rPr>
        <w:t>NO [X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132,249,504 common shares outstanding as of July 24, 2017.</w:t>
      </w:r>
    </w:p>
    <w:p>
      <w:pPr>
        <w:sectPr>
          <w:pgSz w:w="11900" w:h="16838" w:orient="portrait"/>
          <w:cols w:equalWidth="0" w:num="1">
            <w:col w:w="11420"/>
          </w:cols>
          <w:pgMar w:left="240" w:top="229" w:right="23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CIVEO 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INDEX</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and Six Month Periods Ended June 30, 2017 and 2016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92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Unaudited Consolidated Statements of Comprehensive Income (Loss) for the Three and Six Month Periods Ended June 30,</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2017 and 2016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Consolidated Balance Sheets – June 30, 2017 (unaudited) and December 31, 2016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Unaudited Consolidated Statements of Changes in Shareholders’ Equity for the Six Months Ended June 30, 2017 and 2016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Six Months Ended June 30, 2017 and 2016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Index of Exhibits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Page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9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Service and other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89,013</w:t>
            </w: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178,874</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183,439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Service and other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58,599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33,168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to third-parties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Civeo Corporation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Data (see Note 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 attributable to Civeo Corporation common shareholders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4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 attributable to Civeo Corporation common shareholders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4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107,033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125,796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107,033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(14,717)</w:t>
            </w:r>
          </w:p>
        </w:tc>
        <w:tc>
          <w:tcPr>
            <w:tcW w:w="4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(35,583)</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zero</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(12,487)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Civeo Corporation.</w:t>
            </w: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CIVEO CORPORATION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27,326</w:t>
            </w:r>
          </w:p>
        </w:tc>
        <w:tc>
          <w:tcPr>
            <w:tcW w:w="4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60,122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115,239</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916,588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20,393</w:t>
            </w:r>
          </w:p>
        </w:tc>
        <w:tc>
          <w:tcPr>
            <w:tcW w:w="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300,180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384,521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shares (no par value; 550,000,000 shares authorized, 132,414,955 shares and 108,171,329</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respectively, and 132,249,504 shares and 108,103,048 shares outstanding, respectively)</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1,380,429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(509,203)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shares held in treasury at cost, 165,451 and 68,281 shares, respectively</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(338,903)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Civeo Corporation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531,965</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532,067</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916,588</w:t>
            </w:r>
          </w:p>
        </w:tc>
        <w:tc>
          <w:tcPr>
            <w:tcW w:w="120" w:type="dxa"/>
            <w:vAlign w:val="bottom"/>
          </w:tcPr>
          <w:p>
            <w:pPr>
              <w:spacing w:after="0"/>
              <w:rPr>
                <w:sz w:val="18"/>
                <w:szCs w:val="18"/>
                <w:color w:val="auto"/>
              </w:rPr>
            </w:pPr>
          </w:p>
        </w:tc>
        <w:tc>
          <w:tcPr>
            <w:tcW w:w="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w w:val="99"/>
              </w:rPr>
              <w:t>Attributable to Civeo</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1,305,930</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(376,376)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(366,309)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16,872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2016</w:t>
            </w: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1,309,007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(414,684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(349,437)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545,666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1,311,226</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(472,764)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(362,930)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24,027</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implementation of</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ASU 2016-09</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offering</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2017</w:t>
            </w: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1,380,429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(509,203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(338,903)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532,067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132,250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-582295</wp:posOffset>
            </wp:positionV>
            <wp:extent cx="43478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-307975</wp:posOffset>
            </wp:positionV>
            <wp:extent cx="434784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47845" cy="3086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(35,583)</w:t>
            </w:r>
          </w:p>
        </w:tc>
        <w:tc>
          <w:tcPr>
            <w:tcW w:w="48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charges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compensation charge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(Gains) losses on disposals of assets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loss on receivables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Taxes payable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 and liabilities,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disposition of property, plant and equipment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issuance of common shares,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Revolving credit borrowings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Revolving credit repayments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(84,462)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 loan repayments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Debt issuance costs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89"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On February 7, 2017, we closed a public offering of 23,000,000 common shares at $3.00 per share. We used a portion of the net proceeds of $64.8 million from the offering to repay amounts outstanding under several revolving credit facilities provided by our primary credit agreement (the Credit Agreement) and expect to use the remaining proceeds for general corporate purposes.</w:t>
      </w:r>
    </w:p>
    <w:p>
      <w:pPr>
        <w:spacing w:after="0" w:line="176" w:lineRule="exact"/>
        <w:rPr>
          <w:sz w:val="20"/>
          <w:szCs w:val="20"/>
          <w:color w:val="auto"/>
        </w:rPr>
      </w:pPr>
    </w:p>
    <w:p>
      <w:pPr>
        <w:ind w:right="500" w:firstLine="259"/>
        <w:spacing w:after="0" w:line="266" w:lineRule="auto"/>
        <w:rPr>
          <w:sz w:val="20"/>
          <w:szCs w:val="20"/>
          <w:color w:val="auto"/>
        </w:rPr>
      </w:pPr>
      <w:r>
        <w:rPr>
          <w:rFonts w:ascii="Times New Roman" w:cs="Times New Roman" w:eastAsia="Times New Roman" w:hAnsi="Times New Roman"/>
          <w:sz w:val="18"/>
          <w:szCs w:val="18"/>
          <w:color w:val="auto"/>
        </w:rPr>
        <w:t>On February 17, 2017, the third amendment to the Credit Agreement (as so amended, the Amended Credit Agreement) became effective, which: (i) reduced the aggregate revolving loan commitments; (ii) added one additional level to the total leverage-based grid for determining interest rates; and (iii) increased the maximum leverage ratio allowed under the Amended Credit Agreement. For further information, please see Note 7 –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December 31, 2016 consolidated balance sheet to conform to the current year presentation.</w:t>
      </w:r>
    </w:p>
    <w:p>
      <w:pPr>
        <w:spacing w:after="0" w:line="189"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included in this report should be read in conjunction with our audited financial statements and accompanying notes included in our Annual Report on Form 10-K for the year ended December 31,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The changes to the accounting for forfeitures and excess tax benefits or deficiencies should be applied using a modified retrospective transition method with a cumulative-effect adjustment to retained earnings. Effective with our quarterly report on Form 10-Q for the quarter ended March 31, 2017, we have adopted this standard effective January 1, 2017. Upon adoption of this standard, we no longer estimate forfeitures in advance and now recognize forfeitures as they occur and have reflected a cumulative effect adjustment of $0.6 million to accumulated deficit in the accompanying unaudited consolidated balance sheet as of June 30, 2017. In addition, this new standard requires that companies classify the cash paid to a tax authority when shares are withheld to satisfy the employer’s statutory income tax withholding obligation as a financing activity. As a result of our withholding of shares for tax-withholding purposes, during the year ended December 31, 2016, we withheld approximately 68,000 shares at a total value of $0.1 million. As a result of our adoption of ASU 2016-09, we reclassified $0.1 million of tax-withholdings from operating activities to financing activities on the accompanying unaudited consolidated statement of cash flows for the six months ended June 30, 2016.</w:t>
      </w:r>
    </w:p>
    <w:p>
      <w:pPr>
        <w:spacing w:after="0" w:line="19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Accordingly, we plan to adopt this standard in the first quarter of 2018. ASC 606 allows either full retrospective or modified retrospective transition, and we currently plan to use the modified retrospective method of adoption. We are continuing to evaluate the impact of this new standard on our consolidated financial statements upon adoption. Our evaluation includes performing a detailed review of key contracts representative of our different businesses and comparing historical accounting policies and practices to the new standard. Through the second quarter of 2017, we have reviewed certain lodge and village contracts in our Canadian and Australian segments and based on our preliminary review of these contracts, we do not expect the new revenue recognition standard to have a material impact on our consolidated financial statements upon adoption.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June 30, 2017 and December 31, 2016,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2016,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SELECTED BALANCE SHEET ACCOUNTS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information regarding selected balance sheet accounts at June 30, 2017 and December 31, 2016 is presented below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Trade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39,442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10"/>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60,698</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purchased products</w:t>
            </w:r>
          </w:p>
        </w:tc>
        <w:tc>
          <w:tcPr>
            <w:tcW w:w="2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656"/>
        </w:trPr>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2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10" w:name="page11"/>
    <w:bookmarkEnd w:id="10"/>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3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CIVEO CORPORATION</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3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UNAUDITED CONSOLIDATED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3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FINANCIAL STATEMENTS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3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gridSpan w:val="3"/>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60" w:type="dxa"/>
            <w:vAlign w:val="bottom"/>
            <w:gridSpan w:val="3"/>
          </w:tcPr>
          <w:p>
            <w:pPr>
              <w:jc w:val="center"/>
              <w:ind w:right="532"/>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60" w:type="dxa"/>
            <w:vAlign w:val="bottom"/>
            <w:gridSpan w:val="3"/>
          </w:tcPr>
          <w:p>
            <w:pPr>
              <w:jc w:val="center"/>
              <w:ind w:right="532"/>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4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left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370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41,122</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Accommodations assets</w:t>
            </w:r>
          </w:p>
        </w:tc>
        <w:tc>
          <w:tcPr>
            <w:tcW w:w="308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1,616,565</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1,554,986</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08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08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08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29,948</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08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100" w:type="dxa"/>
            <w:vAlign w:val="bottom"/>
          </w:tcPr>
          <w:p>
            <w:pPr>
              <w:spacing w:after="0"/>
              <w:rPr>
                <w:sz w:val="18"/>
                <w:szCs w:val="18"/>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left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1,770,691</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1,701,568</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(1,004,433)</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(911,858)</w:t>
            </w: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80" w:type="dxa"/>
            <w:vAlign w:val="bottom"/>
            <w:tcBorders>
              <w:bottom w:val="single" w:sz="8" w:color="CCEEFF"/>
            </w:tcBorders>
            <w:gridSpan w:val="3"/>
            <w:shd w:val="clear" w:color="auto" w:fill="CCEEFF"/>
          </w:tcPr>
          <w:p>
            <w:pPr>
              <w:spacing w:after="0"/>
              <w:rPr>
                <w:sz w:val="21"/>
                <w:szCs w:val="21"/>
                <w:color w:val="auto"/>
              </w:rPr>
            </w:pPr>
          </w:p>
        </w:tc>
        <w:tc>
          <w:tcPr>
            <w:tcW w:w="420" w:type="dxa"/>
            <w:vAlign w:val="bottom"/>
            <w:tcBorders>
              <w:top w:val="single" w:sz="8" w:color="auto"/>
              <w:left w:val="single" w:sz="8" w:color="CCEEFF"/>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789,710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823"/>
        </w:trPr>
        <w:tc>
          <w:tcPr>
            <w:tcW w:w="2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70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13,189</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 other than income taxes</w:t>
            </w:r>
          </w:p>
        </w:tc>
        <w:tc>
          <w:tcPr>
            <w:tcW w:w="1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29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80" w:type="dxa"/>
            <w:vAlign w:val="bottom"/>
            <w:gridSpan w:val="3"/>
          </w:tcPr>
          <w:p>
            <w:pPr>
              <w:spacing w:after="0"/>
              <w:rPr>
                <w:sz w:val="18"/>
                <w:szCs w:val="18"/>
                <w:color w:val="auto"/>
              </w:rPr>
            </w:pP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14,822</w:t>
            </w:r>
          </w:p>
        </w:tc>
      </w:tr>
      <w:tr>
        <w:trPr>
          <w:trHeight w:val="20"/>
        </w:trPr>
        <w:tc>
          <w:tcPr>
            <w:tcW w:w="2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IMPAIRMENT CHARGES</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Quarter ended March 31, 2016. </w:t>
      </w:r>
      <w:r>
        <w:rPr>
          <w:rFonts w:ascii="Times New Roman" w:cs="Times New Roman" w:eastAsia="Times New Roman" w:hAnsi="Times New Roman"/>
          <w:sz w:val="18"/>
          <w:szCs w:val="18"/>
          <w:color w:val="auto"/>
        </w:rPr>
        <w:t>During the first quarter of 2016, we recorded an impairment expense of $8.4 million, resulting from the impairment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assets in our U.S. segment, due to a continued reduction of U.S. drilling activity in the Bakken Shale region. These fixed assets were written down to fair value of $3.8 million. We assessed the carrying values of the relevant asset groups to determine if they continued to be recoverable based on estimated future cash flows. Based on that assessment, the carrying values were determined to not be recoverable, and we proceeded to compare the fair value of those assets groups to the respective carrying values.</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76" w:right="37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earnings per share attributable to Civeo is presented below for the periods indicated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Civeo</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(14,816)</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(35,803)</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undistributed net income to participating securities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Civeo’s common shareholders - basic</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(14,816)</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(35,803)</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(38,308)</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125,796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Civeo’s common shareholders - basic</w:t>
            </w:r>
          </w:p>
        </w:tc>
        <w:tc>
          <w:tcPr>
            <w:tcW w:w="1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(14,816)</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(35,803)</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undistributed net income to participating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Civeo’s common shareholders - diluted</w:t>
            </w: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107,033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125,796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5"/>
                <w:szCs w:val="25"/>
                <w:color w:val="auto"/>
                <w:vertAlign w:val="superscript"/>
              </w:rPr>
              <w:t>(1)</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7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200" w:hanging="342"/>
        <w:spacing w:after="0" w:line="224" w:lineRule="auto"/>
        <w:tabs>
          <w:tab w:leader="none" w:pos="580" w:val="left"/>
        </w:tabs>
        <w:numPr>
          <w:ilvl w:val="1"/>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and six months ended June 30, 2017 and 2016. In the three months ended June 30, 2017 and 2016, we excluded from the calculation 2.3 million and 1.5 million share based awards, respectively, since the effect would have been anti-dilutive. In the six months ended June 30, 2017 and 2016, we excluded from the calculation 2.1 million and 1.4 million share based awards, respectively, since the effect would have been anti-dilutive.</w:t>
      </w:r>
    </w:p>
    <w:p>
      <w:pPr>
        <w:spacing w:after="0" w:line="251"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2017 and December 31, 2016, long-term debt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74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U.S. term loan, which matures on May 28, 2019; weighted average interest rate of 4.2% for the six-</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period ended June 30, 2017</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Canadian term loan, which matures on May 28, 2019; 1.25% of aggregate principal repayable per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quarter; weighted average interest rate of 4.3% for the six-month period ended June 30, 2017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293,763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revolving credit facility, which matures on May 28, 2019, weighted average interest rate of 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six-month period ended June 30, 2017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Canadian revolving credit facility, which matures on May 28, 2019, weighted average interest rate of</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5.0% for the six-month period ended June 30, 2017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Canadian revolving credit facility, which matures on May 28, 2019, weighted average interest rate of</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for the six-month period ended June 30, 2017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Australian revolving credit facility, which matures on May 28, 2019, weighted average interest rate of</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6,507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5.0% for the six-month period ended June 30, 2017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357,267</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316,186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353,271</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 including unamortized debt issuance costs,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40" w:type="dxa"/>
            <w:vAlign w:val="bottom"/>
          </w:tcPr>
          <w:p>
            <w:pPr>
              <w:spacing w:after="0"/>
              <w:rPr>
                <w:sz w:val="24"/>
                <w:szCs w:val="24"/>
                <w:color w:val="auto"/>
              </w:rPr>
            </w:pPr>
          </w:p>
        </w:tc>
        <w:tc>
          <w:tcPr>
            <w:tcW w:w="74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shd w:val="clear" w:color="auto" w:fill="808080"/>
          </w:tcPr>
          <w:p>
            <w:pPr>
              <w:spacing w:after="0"/>
              <w:rPr>
                <w:sz w:val="5"/>
                <w:szCs w:val="5"/>
                <w:color w:val="auto"/>
              </w:rPr>
            </w:pPr>
          </w:p>
        </w:tc>
        <w:tc>
          <w:tcPr>
            <w:tcW w:w="7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153"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any capitalized interest to net against interest expense for either of the three-month or six-month periods ended June 30, 2017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Credit Agreement</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2016, our Credit Agreement, as then amended to date, provided for: (i) a $350.0 million, revolving credit facility scheduled to mature on May 28, 2019, allocated as follows: (A) a $50.0 million senior secured revolving credit facility in favor of certain of our U.S. subsidiaries, as borrowers; (B) a $100.0 million senior secured revolving credit facility in favor of Civeo and certain of our Canadian subsidiaries, as borrowers; (C) a $100.0 million senior secured revolving credit facility in favor of Civeo, as borrower; and (D) a $100.0 million senior secured revolving credit facility in favor of one of our Australian subsidiaries, as borrower; and (ii) a $350.0 million term loan facility scheduled to mature on May 28, 2019 in favor of Civeo.</w:t>
      </w:r>
    </w:p>
    <w:p>
      <w:pPr>
        <w:spacing w:after="0" w:line="184"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 February 17, 2017, the third amendment to the Credit Agreement (as amended by the third amendment, the Amended Credit Agreement) became effective, which:</w:t>
      </w:r>
    </w:p>
    <w:p>
      <w:pPr>
        <w:spacing w:after="0" w:line="162" w:lineRule="exact"/>
        <w:rPr>
          <w:sz w:val="20"/>
          <w:szCs w:val="20"/>
          <w:color w:val="auto"/>
        </w:rPr>
      </w:pPr>
    </w:p>
    <w:p>
      <w:pPr>
        <w:ind w:left="660" w:right="18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8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2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the maximum leverage ratio financial covenant,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Leverage</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2017 (no change)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5.85:1.00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2018</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2018</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5.85:1.00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5.50:1.00</w:t>
            </w:r>
          </w:p>
        </w:tc>
        <w:tc>
          <w:tcPr>
            <w:tcW w:w="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2019 &amp; thereafter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5.25:1.00</w:t>
            </w:r>
          </w:p>
        </w:tc>
        <w:tc>
          <w:tcPr>
            <w:tcW w:w="80" w:type="dxa"/>
            <w:vAlign w:val="bottom"/>
          </w:tcPr>
          <w:p>
            <w:pPr>
              <w:spacing w:after="0"/>
              <w:rPr>
                <w:sz w:val="18"/>
                <w:szCs w:val="18"/>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 and</w:t>
      </w:r>
    </w:p>
    <w:p>
      <w:pPr>
        <w:spacing w:after="0" w:line="20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other technical changes and amendments to the Amended Credit Agreement.</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Facility bear interest at a variable rate equal to the Bank Bill Swap Bid Rate plus a margin of 2.25% to 5.50%, based on a ratio of our consolidated total leverage to EBITDA.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5.25 to 1.0 (as of June 30,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June 30, 2017.</w:t>
      </w:r>
    </w:p>
    <w:p>
      <w:pPr>
        <w:spacing w:after="0" w:line="19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$1.1 million to $122.2 million.</w:t>
      </w:r>
    </w:p>
    <w:p>
      <w:pPr>
        <w:spacing w:after="0" w:line="17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primarily in three jurisdictions, Canada, Australia and the U.S., where statutory tax rates range from 27% to 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will vary from period to period based on changes in earnings mix between these different jurisdictions.</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compute our quarterly taxes under the effective tax rate method by applying an anticipated annual effective rate to our year-to-date income, except for significant unusual or extraordinary transactions. As Australia and the U.S. are now loss jurisdictions for tax accounting purposes, Australia and the U.S. have been removed from the annual effective tax rate computation for purposes of computing the interim tax provision. Income taxes for any significant and unusual or extraordinary transactions are computed and recorded in the period that the specific transaction occurs.</w:t>
      </w:r>
    </w:p>
    <w:p>
      <w:pPr>
        <w:spacing w:after="0" w:line="2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income tax benefit for the six months ended June 30, 2017 totaled $5.9 million, or 14.1% of pretax loss, compared to a benefit of $5.5 million, or 12.7% of pretax loss, for the six months ended June 30, 2016. Our income tax benefit for the three months ended June 30, 2017 totaled $2.9 million, or 16.5% of pretax loss, compared to a benefit of $0.9 million, or 7.7% of pretax loss, for the three months ended June 30, 2016. Our effective tax rate for the six months ended June 30, 2017 and 2016 was reduced approximately 13% and 18%, respectively, by the exclusion of Australia and U.S. for purposes of computing the interim tax provision since they are loss jurisdictions for tax accounting purposes.</w:t>
      </w:r>
    </w:p>
    <w:p>
      <w:pPr>
        <w:spacing w:after="0" w:line="18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18"/>
          <w:szCs w:val="18"/>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accumulated other comprehensive loss decreased $24.0 million from $362.9 million at December 31, 2016 to $338.9 million at June 30, 2017, as a result of foreign currency exchange rate fluctuations. Changes in other comprehensive loss during the first half of 2017 were primarily driven by the Australian dollar and Canadian dollar increasing in value compared to the U.S. dollar. Excluding intercompany balances, our Canadian dollar and Australian dollar functional currency net assets totaled approximately C$0.2 billion and A$0.5 billion, respectively, at June 30,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 BASED COMPENSATION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14.0 million Civeo common shares may be awarded under the Civeo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Awards</w:t>
      </w:r>
    </w:p>
    <w:p>
      <w:pPr>
        <w:spacing w:after="0" w:line="22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Options. </w:t>
      </w:r>
      <w:r>
        <w:rPr>
          <w:rFonts w:ascii="Times New Roman" w:cs="Times New Roman" w:eastAsia="Times New Roman" w:hAnsi="Times New Roman"/>
          <w:sz w:val="18"/>
          <w:szCs w:val="18"/>
          <w:color w:val="auto"/>
        </w:rPr>
        <w:t>Compensation expense associated with options recognized in the three month periods ended June 30, 2017 and 2016 totaled less than $0.1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zero, respectively. Compensation expense associated with options recognized in the six month periods ended June 30, 2017 and 2016 totaled less than $0.1 million and $0.1 million, respectively. At June 30, 2017, unrecognized compensation cost related to options was less than $0.1 million, which is expected to be recognized over a weighted average period of 0.6 years.</w:t>
      </w:r>
    </w:p>
    <w:p>
      <w:pPr>
        <w:spacing w:after="0" w:line="177"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Share / Deferred Share Awards. </w:t>
      </w:r>
      <w:r>
        <w:rPr>
          <w:rFonts w:ascii="Times New Roman" w:cs="Times New Roman" w:eastAsia="Times New Roman" w:hAnsi="Times New Roman"/>
          <w:sz w:val="18"/>
          <w:szCs w:val="18"/>
          <w:color w:val="auto"/>
        </w:rPr>
        <w:t>On February 21, 2017, we granted 1,322,934 restricted share awards and deferred share awards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Civeo Plan, which vest in three equal annual installments beginning on February 21, 2018. On March 21, 2017, we granted 47,529 restricted share awards to one of our directors upon his appointment to our Board of Directors, which vest in their entirety on March 21, 2018. On May 11, 2017, we granted 243,190 restricted share awards to our other directors, which vest in their entirety on May 11, 2018.</w:t>
      </w:r>
    </w:p>
    <w:p>
      <w:pPr>
        <w:spacing w:after="0" w:line="18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Compensation expense associated with restricted share awards and deferred share awards recognized in the three month periods ended June 30, 2017 and 2016 totaled $1.0 million and $0.9 million, respectively. Compensation expense associated with restricted share awards and deferred share awards recognized in the six month periods ended June 30, 2017 and 2016 totaled $2.3 million and $2.0 million, respectively. The total fair value of restricted share awards and deferred share awards that vested during the three months ended June 30, 2017 and 2016 was $1.1 million and $0.3 million, respectively. The total fair value of restricted share awards and deferred share awards that vested during the six months ended June 30, 2017 and 2016 was $2.4 million and $0.6 million, respectively.</w:t>
      </w:r>
    </w:p>
    <w:p>
      <w:pPr>
        <w:spacing w:after="0" w:line="18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June 30, 2017, unrecognized compensation cost related to restricted share awards and deferred share awards was $6.6 million, which is expected to be recognized over a weighted average period of 2.1 years.</w:t>
      </w:r>
    </w:p>
    <w:p>
      <w:pPr>
        <w:spacing w:after="0" w:line="158"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Phantom Share Awards. </w:t>
      </w:r>
      <w:r>
        <w:rPr>
          <w:rFonts w:ascii="Times New Roman" w:cs="Times New Roman" w:eastAsia="Times New Roman" w:hAnsi="Times New Roman"/>
          <w:sz w:val="18"/>
          <w:szCs w:val="18"/>
          <w:color w:val="auto"/>
        </w:rPr>
        <w:t>On February 21, 2017, we granted 351,022 phantom share awards under the Civeo Plan, which vest in three equal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installments beginning on February 21, 2018. We also granted 163,617 phantom share awards under the Canadian Long-Term Incentive Plan, which vest in three equal annual installments beginning on February 21, 2018.</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June 30, 2017 and 2016, we recognized compensation expense associated with phantom shares totaling $1.1 million and $1.6 million, respectively. During the six month periods ended June 30, 2017 and 2016, we recognized compensation expense associated with phantom shares totaling $4.1 million and $1.8 million, respectively. At June 30, 2017, unrecognized compensation cost related to phantom shares was $8.0 million, as remeasured at June 30, 2017, which is expected to be recognized over a weighted average period of 1.8 years.</w:t>
      </w:r>
    </w:p>
    <w:p>
      <w:pPr>
        <w:spacing w:after="0" w:line="176"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Awards. </w:t>
      </w:r>
      <w:r>
        <w:rPr>
          <w:rFonts w:ascii="Times New Roman" w:cs="Times New Roman" w:eastAsia="Times New Roman" w:hAnsi="Times New Roman"/>
          <w:sz w:val="18"/>
          <w:szCs w:val="18"/>
          <w:color w:val="auto"/>
        </w:rPr>
        <w:t>On February 21, 2017, we granted 762,497 performance awards under the Civeo Plan, which cliff vest in three years on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2020. These awards will be earned in amounts between 0% and 200% of the participant’s target performance share award, based on the payout percentage associated with Civeo’s relative total shareholder return rank among a peer group that includes 14 other companies.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June 30, 2017 and 2016, we recognized compensation expense associated with performance awards totaling $0.8 million and $0.9 million, respectively. During the six month periods ended June 30, 2017 and 2016, we recognized compensation expense associated with performance awards totaling $1.5 million and $1.0 million, respectively. At June 30, 2017, unrecognized compensation cost related to performance shares was $6.8 million, which is expected to be recognized over a weighted average period of 2.2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RELATED INFORMATION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21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Financial information by business segment for each of the three and six months ended June 30, 2017 and 2016 is summarized in the following table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customers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expenditures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57,668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(9,586)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92,010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(13,367)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77,107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11,434</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118,174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(14,592)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(6,406)</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183,439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(31,099)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142,629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22,612</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16" w:name="page17"/>
    <w:bookmarkEnd w:id="16"/>
    <w:p>
      <w:pPr>
        <w:ind w:left="30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2017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2016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During the first quarter of 2016, global oil prices dropped to their lowest levels in over ten years due to concerns over global oil demand, global crude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levels, worldwide economic growth and price cutting by major oil producing countries, such as Saudi Arabia. Increasing global supply,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U.S. shale oil production, also negatively impacted pricing. With falling WTI oil prices, WCS also fell. Prices began to increase in March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to increase in the first quarter of 2017 before falling slightly in the second quarter of 2017. WCS prices in the second quarter of 2017 averaged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$37.99 per barrel compared to a low of $20.26 in the first quarter of 2016 and a high of $83.78 in the second quarter of 2014. The WCS Differential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$16.10 per barrel at the end of the fourth quarter of 2016 to $9.80 per barrel at the end of the second quarter of 2017. As of July 24, 2017, the WTI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$46.19 and the WCS price was $36.44, resulting in a WCS Differential of $9.75.</w:t>
      </w:r>
    </w:p>
    <w:p>
      <w:pPr>
        <w:spacing w:after="0" w:line="20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There remains a risk that prices for Canadian oil sands crude oil related products could deteriorate or remain at current depressed levels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uplift in oil prices in late 2016 and into the first quarter of 2017, we are not expecting significant improvement in customer activity in the near-term, as we anticipate that our customers’ capital spending will generally lag increased oil prices by nine to 12 months. However, continued uncertainty and commodity price volatility could cause our Canadian oil sands customers to delay maintenance spending and defer additional investments in their oil sands assets.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4.5% during the first half of 2017 compared to the corresponding period in 2016. On March 28, 2017, a Category 4 cyclone made landfall on the coast of Queensland, Australia, temporarily shutting down the majority of Bowen Basin coal export rail infrastructure, causing another spike in met coal spot prices from $152 per metric tonne on March 31, 2017 to over $300 per metric tonne. As of July 24, 2017, met coal spot prices appear to have normalized to $174 per metric tonne and benchmark contract prices for the third quarter of 2017 paid to Australian metallurgical coal producers by Japanese steel producers have not settled. Following cyclone Debbie, the market is shifting away from quarterly benchmark pricing and more toward a spot or index linked approach as a pricing mechanism. Despite the met coal price increase in the fourth quarter of 2016 cause by supply disruptions and the first quarter disruption cause by the cyclone, we have seen a limited impact on the general willingness of customers to increase activity. We expect that customers will look for an outlook for sustained prices for met coal above $150 per metric tonne before we see any significant impact on customer activity levels and, as a result, the demand for accommodations.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drive down their cost base.</w:t>
      </w:r>
    </w:p>
    <w:p>
      <w:pPr>
        <w:spacing w:after="0" w:line="24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Natural gas and WTI crude oil prices, discussed above, have an impact on the demand for our U.S. accommodations business. With limited export capabilities, U.S. natural gas prices are primarily influenced by domestic supply and demand dynamics and resultant inventory levels. U.S. natural gas production has continued to outpace demand, which has caused prices to continue to be weak relative to historical prices over the past decade. U.S. natural gas inventory levels at June 30, 2017 were 2.9 Tcf, 8% lower than inventory levels from June 30, 2016 but still 7% over seasonally comparable average inventory levels over the past five years. Prices for natural gas in the U.S. averaged $3.14 per mcf in the second quarter of 2017, a 40% increase from the average price in the second quarter of 2016. Although natural gas prices increased slightly in the fourth quarter of 2016 and into 2017, at these levels, it is uneconomic to increase development in several domestic, gas-focused basins. If natural gas production growth continues to surpass demand in the U.S. and/or the supply of natural gas increases,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Recent WTI crude, WCS crude, met coal and natural gas pricing trends are as follows:</w:t>
      </w:r>
    </w:p>
    <w:p>
      <w:pPr>
        <w:spacing w:after="0" w:line="115"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1015"/>
              <w:spacing w:after="0"/>
              <w:rPr>
                <w:sz w:val="20"/>
                <w:szCs w:val="20"/>
                <w:color w:val="auto"/>
              </w:rPr>
            </w:pPr>
            <w:r>
              <w:rPr>
                <w:rFonts w:ascii="Times New Roman" w:cs="Times New Roman" w:eastAsia="Times New Roman" w:hAnsi="Times New Roman"/>
                <w:sz w:val="18"/>
                <w:szCs w:val="18"/>
                <w:b w:val="1"/>
                <w:bCs w:val="1"/>
                <w:color w:val="auto"/>
              </w:rPr>
              <w:t xml:space="preserve">Average Price </w:t>
            </w:r>
            <w:r>
              <w:rPr>
                <w:rFonts w:ascii="Times New Roman" w:cs="Times New Roman" w:eastAsia="Times New Roman" w:hAnsi="Times New Roman"/>
                <w:sz w:val="30"/>
                <w:szCs w:val="30"/>
                <w:b w:val="1"/>
                <w:bCs w:val="1"/>
                <w:color w:val="auto"/>
                <w:vertAlign w:val="superscript"/>
              </w:rPr>
              <w:t>(1)</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Henry</w:t>
            </w:r>
          </w:p>
        </w:tc>
        <w:tc>
          <w:tcPr>
            <w:tcW w:w="8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WTI</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WCS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395"/>
              <w:spacing w:after="0"/>
              <w:rPr>
                <w:sz w:val="20"/>
                <w:szCs w:val="20"/>
                <w:color w:val="auto"/>
              </w:rPr>
            </w:pPr>
            <w:r>
              <w:rPr>
                <w:rFonts w:ascii="Times New Roman" w:cs="Times New Roman" w:eastAsia="Times New Roman" w:hAnsi="Times New Roman"/>
                <w:sz w:val="18"/>
                <w:szCs w:val="18"/>
                <w:b w:val="1"/>
                <w:bCs w:val="1"/>
                <w:color w:val="auto"/>
              </w:rPr>
              <w:t>Hard</w:t>
            </w: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Hub</w:t>
            </w:r>
          </w:p>
        </w:tc>
        <w:tc>
          <w:tcPr>
            <w:tcW w:w="8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395"/>
              <w:spacing w:after="0"/>
              <w:rPr>
                <w:sz w:val="20"/>
                <w:szCs w:val="20"/>
                <w:color w:val="auto"/>
              </w:rPr>
            </w:pPr>
            <w:r>
              <w:rPr>
                <w:rFonts w:ascii="Times New Roman" w:cs="Times New Roman" w:eastAsia="Times New Roman" w:hAnsi="Times New Roman"/>
                <w:sz w:val="18"/>
                <w:szCs w:val="18"/>
                <w:b w:val="1"/>
                <w:bCs w:val="1"/>
                <w:color w:val="auto"/>
              </w:rPr>
              <w:t>Coking Coal</w:t>
            </w: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Natural</w:t>
            </w:r>
          </w:p>
        </w:tc>
        <w:tc>
          <w:tcPr>
            <w:tcW w:w="80" w:type="dxa"/>
            <w:vAlign w:val="bottom"/>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Crude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Crude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395"/>
              <w:spacing w:after="0"/>
              <w:rPr>
                <w:sz w:val="20"/>
                <w:szCs w:val="20"/>
                <w:color w:val="auto"/>
              </w:rPr>
            </w:pPr>
            <w:r>
              <w:rPr>
                <w:rFonts w:ascii="Times New Roman" w:cs="Times New Roman" w:eastAsia="Times New Roman" w:hAnsi="Times New Roman"/>
                <w:sz w:val="18"/>
                <w:szCs w:val="18"/>
                <w:b w:val="1"/>
                <w:bCs w:val="1"/>
                <w:color w:val="auto"/>
                <w:w w:val="98"/>
              </w:rPr>
              <w:t>(Met Coal)</w:t>
            </w: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80" w:type="dxa"/>
            <w:vAlign w:val="bottom"/>
          </w:tcPr>
          <w:p>
            <w:pPr>
              <w:spacing w:after="0"/>
              <w:rPr>
                <w:sz w:val="18"/>
                <w:szCs w:val="18"/>
                <w:color w:val="auto"/>
              </w:rPr>
            </w:pPr>
          </w:p>
        </w:tc>
      </w:tr>
      <w:tr>
        <w:trPr>
          <w:trHeight w:val="238"/>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center"/>
              <w:ind w:right="395"/>
              <w:spacing w:after="0"/>
              <w:rPr>
                <w:sz w:val="20"/>
                <w:szCs w:val="20"/>
                <w:color w:val="auto"/>
              </w:rPr>
            </w:pPr>
            <w:r>
              <w:rPr>
                <w:rFonts w:ascii="Times New Roman" w:cs="Times New Roman" w:eastAsia="Times New Roman" w:hAnsi="Times New Roman"/>
                <w:sz w:val="18"/>
                <w:szCs w:val="18"/>
                <w:b w:val="1"/>
                <w:bCs w:val="1"/>
                <w:color w:val="auto"/>
              </w:rPr>
              <w:t>(per tonne)</w:t>
            </w: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 mcf)</w:t>
            </w:r>
          </w:p>
        </w:tc>
        <w:tc>
          <w:tcPr>
            <w:tcW w:w="80" w:type="dxa"/>
            <w:vAlign w:val="bottom"/>
          </w:tcPr>
          <w:p>
            <w:pPr>
              <w:spacing w:after="0"/>
              <w:rPr>
                <w:sz w:val="20"/>
                <w:szCs w:val="20"/>
                <w:color w:val="auto"/>
              </w:rPr>
            </w:pPr>
          </w:p>
        </w:tc>
      </w:tr>
      <w:tr>
        <w:trPr>
          <w:trHeight w:val="210"/>
        </w:trPr>
        <w:tc>
          <w:tcPr>
            <w:tcW w:w="3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Third Quarter through 7/24/2017</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8"/>
                <w:szCs w:val="18"/>
                <w:color w:val="auto"/>
              </w:rPr>
            </w:pPr>
          </w:p>
        </w:tc>
      </w:tr>
      <w:tr>
        <w:trPr>
          <w:trHeight w:val="218"/>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__________</w:t>
      </w:r>
    </w:p>
    <w:p>
      <w:pPr>
        <w:spacing w:after="0" w:line="7" w:lineRule="exact"/>
        <w:rPr>
          <w:sz w:val="20"/>
          <w:szCs w:val="20"/>
          <w:color w:val="auto"/>
        </w:rPr>
      </w:pPr>
    </w:p>
    <w:p>
      <w:pPr>
        <w:ind w:left="980" w:right="26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WTI crude and natural gas prices are from U.S. Energy Information Administration (EIA), and WCS crude prices and Seaborne hard coking coal contract prices are from Bloomberg.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88" w:lineRule="exact"/>
        <w:rPr>
          <w:sz w:val="20"/>
          <w:szCs w:val="20"/>
          <w:color w:val="auto"/>
        </w:rPr>
      </w:pPr>
    </w:p>
    <w:p>
      <w:pPr>
        <w:ind w:right="340" w:firstLine="324"/>
        <w:spacing w:after="0" w:line="313" w:lineRule="auto"/>
        <w:rPr>
          <w:sz w:val="20"/>
          <w:szCs w:val="20"/>
          <w:color w:val="auto"/>
        </w:rPr>
      </w:pPr>
      <w:r>
        <w:rPr>
          <w:rFonts w:ascii="Times New Roman" w:cs="Times New Roman" w:eastAsia="Times New Roman" w:hAnsi="Times New Roman"/>
          <w:sz w:val="17"/>
          <w:szCs w:val="17"/>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38"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In response to decreases in crude oil prices beginning in late 2014, many of our customers in Canada curtailed their operations and spending, and most major oil sands mining operators are continuing to seek to reduce their costs and limit capital spending, thereby limiting the demand for accommodations of the kind we provide. In Australia, approximately 80% of our rooms are located in the Bowen Basin and primarily serve met coal mines in that region, where our customers continue to implement operational efficiency measures, in order to drive down their cost base.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oil prices and oil price expectations, certain operators with steam-assisted gravity drainage operations in the Canadian oil sands have announced increased capital budgets for 2017. In addition, recent regulatory approvals of several major pipeline projects have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U.S. Gulf Coast refineries. In Australia, we believe prices are currently at a level that may contribute to increased activity over the long term.</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9" w:name="page20"/>
    <w:bookmarkEnd w:id="19"/>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While we believe that these macroeconomic developments are positive for our customers and for the underlying demand for our accommodations services, we do not expect an immediate improvement in our business and are expecting our full year 2017 revenues and EBITDA to be materially lower compared to 2016. Accordingly, we plan to focus on enhancing the quality of our operations, maintaining financial discipline and proactively managing our business as market conditions continue to evolve.</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runs through September 2017. To support this contract, we have developed a new accommodations facility, named Sitka Lodge, which includes private washrooms, recreational facilities and other amenities. This lodge currently has 436 rooms, with the potential to expand to serve future accommodations demand in the region.</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FID has been delayed until an indeterminate future time. With the delay in the FID, we currently expect that LNGC will continue to utilize rooms at our Sitka Lodge through September 2017 in accordance with the terms of our contract. Should the project ultimately move forward, British Columbia LNG activity could become a material driver of future activity for our Sitka Lodge, as well as for our mobile fleet assets, which are well suited for the related pipeline construction activity.</w:t>
      </w:r>
    </w:p>
    <w:p>
      <w:pPr>
        <w:spacing w:after="0" w:line="18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However, there can be no assurance that LNGC’s joint venture participants will reach a positive FID or that our contracts with LNGC will be extended. Further, on July 25, 2017, Petronas and its partners announced the cancellation of their Pacific NorthWest (“PNW”) liquefied natural gas project they had planned to build in Port Edward, British Columbia. The LNGC project, and other potential projects in the area, not moving forward, as well as the cancellation of the PNW project, may negatively affect our future results of operations and our existing long-lived assets in Canada, including our Sitka Lodge, and may require us to record material impairment charges equal to the excess of the carrying values of these assets over their fair values.</w:t>
      </w:r>
    </w:p>
    <w:p>
      <w:pPr>
        <w:spacing w:after="0" w:line="18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$0.74 for the second quarter of 2017, compared to U.S. $0.78 for the second quarter of 2016, a decrease of approximately 4%. The Canadian dollar was valued at an average exchange rate of U.S. $0.75 for both the first half of 2017 and 2016. The Canadian dollar was valued at an exchange rate of $0.77 on June 30, 2017 and $0.74 on December 31, 2016. The Australian dollar was valued at an average exchange rate of U.S. $0.75 for both the second quarter of 2017 and 2016. The Australian dollar was valued at an average exchange rate of U.S. $0.75 for the first half of 2017 compared to U.S. $0.73 for the first half of 2016, an increase of approximately 3%. The Australian dollar was valued at an exchange rate of $0.77 on June 30, 2017 and $0.72 on December 31, 2016. These fluctuations of the Canadian and Australian dollars have had and will continue to have an impact on the translation of earnings generated from our Canadian and Australian subsidiaries and, therefore, our financial results.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0" w:name="page21"/>
    <w:bookmarkEnd w:id="20"/>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monitor the global economy, the demand for crude oil, met coal and natural gas and the resultant impact on the capital spending plans of our customers in order to plan our business activities. We currently expect that our 2017 capital expenditures, exclusive of any business acquisitions, will total approximately $12 million to $15 million, compared to 2016 capital expenditures of $19.8 million. Please see “Liquidity and Capital Resources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2017 capital expenditures.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February 2017, we completed a public offering of 23 million common shares. We used a portion of the net proceeds of $64.8 million from the offering to repay amounts outstanding under several revolving credit facilities provided by our primary credit agreement (the Credit Agreement) and expect to use the remaining proceeds for general corporate purposes.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discussion of results for the three- and six-month periods ended June 30, 2017, is based on a comparison to the corresponding periods of 2016.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Three Months Ended June 30, 2017 Compared to Three Months Ended June 30, 2016</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8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and other</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and other</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113,049</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income, net</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Civeo</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(11,486)</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reported net loss attributable to Civeo for the quarter ended June 30, 2017 of $14.8 million, or $0.11 per diluted share.</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reported net loss attributable to Civeo for the quarter ended June 30, 2016 of $11.5 million, or $0.11 per diluted share. As further discussed below, net loss included a $0.2 million pre-tax loss ($0.2 million after-tax, or $0.00 per diluted share) from costs incurred in connection with our redomicile to Canada, included in Selling, general and administrative (SG&amp;A) expense below.</w:t>
      </w:r>
    </w:p>
    <w:p>
      <w:pPr>
        <w:spacing w:after="0" w:line="172"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decreased $15.0 million, or 14%, in the second quarter of 2017 compared to the second quarter of 2016. This decline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primarily due to decreases in Canada resulting from lower utilization of rentable rooms, lower rates, lower mobile, open camp and product activity, as well as a weaker Canadian dollar in the second quarter of 2017 compared to the second quarter of 2016. This was partially offset by increases in the U.S., due to overall increased activity, and in Australia, resulting from increased occupancy at our villages in Western Australia. Please see the discussion of segment results of operations below for further information.</w:t>
      </w:r>
    </w:p>
    <w:p>
      <w:pPr>
        <w:spacing w:after="0" w:line="180"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Sales and Services. </w:t>
      </w:r>
      <w:r>
        <w:rPr>
          <w:rFonts w:ascii="Times New Roman" w:cs="Times New Roman" w:eastAsia="Times New Roman" w:hAnsi="Times New Roman"/>
          <w:sz w:val="18"/>
          <w:szCs w:val="18"/>
          <w:color w:val="auto"/>
        </w:rPr>
        <w:t>Our consolidated cost of sales decreased $5.1 million, or 8%, in the second quarter of 2017 compared to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2016, primarily due to decreases in Canada resulting from lower utilization of rentable rooms, lower mobile, open camp and product activity, as well as a weaker Canadian dollar. This was partially offset by increases in the U.S., due to overall increased activity, and in Australia, resulting from increased occupancy at our villages in Western Australia in the second quarter of 2017 compared to the second quarter of 2016. Please see the discussion of segment results of operations below for further description.</w:t>
      </w:r>
    </w:p>
    <w:p>
      <w:pPr>
        <w:spacing w:after="0" w:line="18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 decreased $1.2 million, or 8%, in the second quarter of 2017 compared to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2016. This decrease was primarily due to reduced compensation as a result of workforce reductions in 2016 and lower share based compensation expense associated with phantom share awards. The decrease in share based compensation was due to the decrease in our share price during the period, which is used to remeasure the phantom share awards at each reporting date.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2" w:name="page23"/>
    <w:bookmarkEnd w:id="22"/>
    <w:p>
      <w:pPr>
        <w:ind w:right="4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 </w:t>
      </w:r>
      <w:r>
        <w:rPr>
          <w:rFonts w:ascii="Times New Roman" w:cs="Times New Roman" w:eastAsia="Times New Roman" w:hAnsi="Times New Roman"/>
          <w:sz w:val="18"/>
          <w:szCs w:val="18"/>
          <w:color w:val="auto"/>
        </w:rPr>
        <w:t>Depreciation and amortization expense decreased $1.6 million, or 5%, in the second quarter of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second quarter of 2016, primarily due to reduced depreciation expense resulting from impairments recorded in 2016, partially offset by increased depreciation expense associated with an enterprise information system placed in service in 2017.</w:t>
      </w:r>
    </w:p>
    <w:p>
      <w:pPr>
        <w:spacing w:after="0" w:line="171"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Consolidated operating loss increased $7.4 million, or 122%, in the second quarter of 2017 compared to the second quarter of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lower utilization of rentable rooms and lower contracted rates in Canada, partially offset by higher utilization in the U.S. and increased occupancy at our villages in Western Australia.</w:t>
      </w:r>
    </w:p>
    <w:p>
      <w:pPr>
        <w:spacing w:after="0" w:line="171" w:lineRule="exact"/>
        <w:rPr>
          <w:sz w:val="20"/>
          <w:szCs w:val="20"/>
          <w:color w:val="auto"/>
        </w:rPr>
      </w:pPr>
    </w:p>
    <w:p>
      <w:pPr>
        <w:jc w:val="both"/>
        <w:ind w:right="3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Expense and Interest Income, net. </w:t>
      </w:r>
      <w:r>
        <w:rPr>
          <w:rFonts w:ascii="Times New Roman" w:cs="Times New Roman" w:eastAsia="Times New Roman" w:hAnsi="Times New Roman"/>
          <w:sz w:val="18"/>
          <w:szCs w:val="18"/>
          <w:color w:val="auto"/>
        </w:rPr>
        <w:t>Net interest expense decreased by $1.2 million, or 20%, in the second quarter of 2017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2016, primarily due to lower amounts outstanding under our revolving credit facilities in the second quarter of 2017 as compared to the second quarter of 2016, partially offset by higher interest rates on our term loan and revolving credit facility borrowings.</w:t>
      </w:r>
    </w:p>
    <w:p>
      <w:pPr>
        <w:spacing w:after="0" w:line="171"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Our income tax benefit for the three months ended June 30, 2017 totaled $2.9 million, or 16.5% of pretax loss, compared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$0.9 million, or 7.7% of pretax loss, for the three months ended June 30, 2016. Our effective tax rates in 2017 and 2016 were reduced approximately 12% and 16%, respectively, by the exclusion of Australia and U.S. for purposes of computing the interim tax provision since they are loss jurisdictions for tax accounting purposes. In addition, the lower effective tax rate for the three months ended June 30, 2016 is due to a reduction in the 2016 annual effective tax rate from March 31, 2016 to June 30, 2016 due to changes in estimated taxable loss. Under ASC 740-270, Accounting for Income Taxes, the quarterly tax provision is based on our current estimate of the annual effective tax rate less the prior quarter’s year-to-date tax provision.</w:t>
      </w:r>
    </w:p>
    <w:p>
      <w:pPr>
        <w:spacing w:after="0" w:line="18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Comprehensive Income (Loss). </w:t>
      </w:r>
      <w:r>
        <w:rPr>
          <w:rFonts w:ascii="Times New Roman" w:cs="Times New Roman" w:eastAsia="Times New Roman" w:hAnsi="Times New Roman"/>
          <w:sz w:val="18"/>
          <w:szCs w:val="18"/>
          <w:color w:val="auto"/>
        </w:rPr>
        <w:t>Other comprehensive loss decreased $18.8 million in the second quarter of 2017 compared to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2016, primarily as a result of foreign currency translation adjustments due to changes in the Canadian and Australian dollar exchange rates compared to the U.S. dollar. The Canadian dollar exchange rate compared to the U.S. dollar increased 3% in the second quarter of 2017 compared to being effectively flat in the second quarter of 2016. The Australian dollar exchange rate compared to the U.S. dollar increased 1% in the second quarter of 2017 compared to a 3% decrease in the second quarter of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Canadian Segment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Lodge revenue (1)</w:t>
            </w:r>
          </w:p>
        </w:tc>
        <w:tc>
          <w:tcPr>
            <w:tcW w:w="1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66,301</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Mobile, open camp and product revenue</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and services ($ in thousands)</w:t>
            </w:r>
          </w:p>
        </w:tc>
        <w:tc>
          <w:tcPr>
            <w:tcW w:w="1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Average available lodge rooms (2)</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Rentable rooms for lodges (3)</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rate for lodges (4)</w:t>
            </w:r>
          </w:p>
        </w:tc>
        <w:tc>
          <w:tcPr>
            <w:tcW w:w="1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Occupancy in lodges (5)</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 to U.S. dollar</w:t>
            </w:r>
          </w:p>
        </w:tc>
        <w:tc>
          <w:tcPr>
            <w:tcW w:w="1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0.744</w:t>
            </w:r>
          </w:p>
        </w:tc>
        <w:tc>
          <w:tcPr>
            <w:tcW w:w="16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0.776</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99695</wp:posOffset>
            </wp:positionV>
            <wp:extent cx="942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5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related to rooms as well as the fees associated with catering, laundry and other services including facilities management.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available rooms include rooms that are utilized for our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Rentable rooms exclude rooms that are utilized for our personnel and out-of-service rooms.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is based on rentable rooms and lodge/village revenue.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represents total billed days divided by rentable days. Rentable days excludes staff rooms and out-of-service rooms.</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Canadian segment reported revenues in the second quarter of 2017 that were $19.4 million, or 25%, lower than the second quarter of 2016. The weakening of the average exchange rates for the Canadian dollar relative to the U.S. dollar by 4% in the second quarter of 2017 compared to the second quarter of 2016 resulted in a $2.5 million period-over-period reduction in revenues. Excluding the impact of the weaker Canadian exchange rates, the segment experienced a 16% decline in lodge revenues. This decline was driven by lower utilization of rentable rooms, as well as lower rates. In 2016, more rentable rooms were utilized due to the Fort McMurray fires. Finally, mobile, open camp and product revenues declined due to overall lower activity levels.</w:t>
      </w:r>
    </w:p>
    <w:p>
      <w:pPr>
        <w:spacing w:after="0" w:line="18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Canadian segment cost of sales and services decreased $8.7 million, or 18%, in the second quarter of 2017 compared to the second quarter of 2016 primarily due to the decline in mobile, open camp and product activity, as well as lower utilization of rentable room and a focus on cost containment and operational efficiencies.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Canadian segment gross margin as a percentage of revenues decreased from 38% in the second quarter of 2016 to 33% in the second quarter of 2017. This decrease was driven by lower utilization of rentable rooms and lower rates, partially offset by lower costs due to a focus on cost containment and operational efficiencies.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Australian Segment</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Village revenue (1)</w:t>
            </w:r>
          </w:p>
        </w:tc>
        <w:tc>
          <w:tcPr>
            <w:tcW w:w="15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in thousands)</w:t>
            </w:r>
          </w:p>
        </w:tc>
        <w:tc>
          <w:tcPr>
            <w:tcW w:w="15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available village rooms (2)</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Rentable rooms for villages (3)</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 for villages (4)</w:t>
            </w:r>
          </w:p>
        </w:tc>
        <w:tc>
          <w:tcPr>
            <w:tcW w:w="15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in Villages (5)</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 dollar to U.S. dollar</w:t>
            </w:r>
          </w:p>
        </w:tc>
        <w:tc>
          <w:tcPr>
            <w:tcW w:w="15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111760</wp:posOffset>
            </wp:positionV>
            <wp:extent cx="9429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78"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related to rooms as well as the fees associated with catering, laundry and other services including facilities management.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available rooms include rooms that are utilized for our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Rentable rooms exclude rooms that are utilized for our personnel and out-of-service rooms.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is based on rentable rooms and lodge/village revenue.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represents total billed days divided by rentable days. Rentable days excludes staff rooms and out-of-service rooms.</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Australian segment reported revenues in the second quarter of 2017 that were $1.1 million, or 4%, higher than the second quarter of 2016. The strengthening of the average exchange rates for Australian dollars relative to the U.S. dollar by 1% in the second quarter of 2017 compared to the second quarter of 2016 resulted in a $0.2 million period-over-period increase in revenues. Excluding the impact of the stronger Australian exchange rates, the Australian segment experienced a 3% increase in revenues in the second quarter of 2017 compared to the second quarter of 2016 due to increased occupancy at our villages in Western Australia, offset by reduced occupancy at our villages in the Bowen Basin. Occupancy increased in Western Australia during the second quarter of 2017 with increased activity from anchor tenants at both Western Australian village locations. Reduced occupancy in the Bowen Basin is primarily a result of the ongoing slowdown in mining activity.</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Australian segment cost of sales increased $0.8 million, or 6%, in the second quarter of 2017 compared to the second quarter of 2016. The increase was driven by higher occupancy levels at our villages in Western Australian as well as the strengthening of the Australian dollar.</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Australian segment gross margin as a percentage of revenues decreased to 51% in the second quarter of 2017 from 52% in the second quarter of 2016. This was primarily driven by reduced take-or-pay revenues on expired contracts compared to the second quarter of 2016.</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7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U.S.</w:t>
            </w: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18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in thousands)</w:t>
            </w:r>
          </w:p>
        </w:tc>
        <w:tc>
          <w:tcPr>
            <w:tcW w:w="18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U.S. segment reported revenues in the second quarter of 2017 that were $3.3 million, or 137%, higher than the second quarter of 2016. The increase was primarily due to greater U.S. drilling activity in the Bakken, Rockies and Texas markets and higher revenues from our offshore business.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U.S. cost of sales increased $2.9 million, or 74%, in the second quarter of 2017 compared to the second quarter of 2016. The increase was driven by greater U.S. drilling activity in the Bakken, Rockies and Texas markets and greater activity in our offshore business.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U.S. segment gross margin as a percentage of revenues increased from (60%) in the second quarter of 2016 to (18%) in the second quarter of 2017 primarily due to increased activity in the Bakken, Rockies and Texas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Six Months Ended June 30, 2017 Compared to Six Months Ended June 30, 2016</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118,174</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142,629</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and other</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and other</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operating expense</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(31,099)</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(32,211)</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(41,447)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(35,583)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Civeo</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(35,803)</w:t>
            </w:r>
          </w:p>
        </w:tc>
        <w:tc>
          <w:tcPr>
            <w:tcW w:w="36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(38,308)</w:t>
            </w:r>
          </w:p>
        </w:tc>
        <w:tc>
          <w:tcPr>
            <w:tcW w:w="34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reported net loss attributable to Civeo for the six months ended June 30, 2017 of $35.8 million, or $0.28 per diluted share.</w:t>
      </w:r>
    </w:p>
    <w:p>
      <w:pPr>
        <w:spacing w:after="0" w:line="225"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reported net loss attributable to Civeo for the six months ended June 30, 2016 of $38.3 million, or $0.36 per diluted share. As further discussed below, net loss included (i) an $8.4 million pre-tax loss ($8.4 million after-tax, or $0.08 per diluted share) resulting from the impairment of fixed assets, included in Impairment expense below, and (ii) a $1.3 million pre-tax loss ($1.2 million after-tax, or $0.01 per diluted share) from costs incurred in connection with our redomicile to Canada, included in Selling, general and administrative (SG&amp;A) expense below.</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76" w:right="339" w:bottom="1440" w:gutter="0" w:footer="0" w:header="0"/>
        </w:sectPr>
      </w:pPr>
    </w:p>
    <w:bookmarkStart w:id="26" w:name="page27"/>
    <w:bookmarkEnd w:id="26"/>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decreased $18.6 million, or 9%, in the first half of 2017 compared to the first half of 2016. This decline was largely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decreases in Canada due to lower rates and lower mobile, open camp and product activity, offset by increases in the U.S. due to increased activity levels and in Australia due to increased occupancy at our villages in Western Australian, as well as stronger Australian dollars in 2017 compared to 2016. Please see the discussion of segment results of operations below for further information.</w:t>
      </w:r>
    </w:p>
    <w:p>
      <w:pPr>
        <w:spacing w:after="0" w:line="177" w:lineRule="exact"/>
        <w:rPr>
          <w:sz w:val="20"/>
          <w:szCs w:val="20"/>
          <w:color w:val="auto"/>
        </w:rPr>
      </w:pPr>
    </w:p>
    <w:p>
      <w:pPr>
        <w:ind w:right="2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Sales and Services. </w:t>
      </w:r>
      <w:r>
        <w:rPr>
          <w:rFonts w:ascii="Times New Roman" w:cs="Times New Roman" w:eastAsia="Times New Roman" w:hAnsi="Times New Roman"/>
          <w:sz w:val="18"/>
          <w:szCs w:val="18"/>
          <w:color w:val="auto"/>
        </w:rPr>
        <w:t>Our consolidated cost of sales decreased $9.4 million, or 7%, in the first half of 2017 compared to the first half of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decreases in Canada due to lower mobile, open camp and product activity, as well as a focus on cost containment and operational efficiencies. This was partially offset by increases in the U.S. due to increased activity levels and in Australia due to increased occupancy at our villages in Western Australia, as well as stronger Australian dollars in 2017 compared to 2016. Please see the discussion of segment results of operations below for further information.</w:t>
      </w:r>
    </w:p>
    <w:p>
      <w:pPr>
        <w:spacing w:after="0" w:line="180"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 decreased $0.1 million, or 1%, in the first half of 2017 compared to the first 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This decrease was primarily due to reduced compensation as a result of workforce reductions in 2016, lower professional fees when compared to 2016 and other administrative cost reductions. This decrease was partially offset by higher share-based compensation expense associated with phantom share awards. The increase in share-based compensation was largely due to an increase in our share price during the first half of 2017. We use current market prices to remeasure the phantom share awards at each reporting date.</w:t>
      </w:r>
    </w:p>
    <w:p>
      <w:pPr>
        <w:spacing w:after="0" w:line="180"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 </w:t>
      </w:r>
      <w:r>
        <w:rPr>
          <w:rFonts w:ascii="Times New Roman" w:cs="Times New Roman" w:eastAsia="Times New Roman" w:hAnsi="Times New Roman"/>
          <w:sz w:val="18"/>
          <w:szCs w:val="18"/>
          <w:color w:val="auto"/>
        </w:rPr>
        <w:t>Depreciation and amortization expense decreased $2.3 million, or 4%, in the first half of 2017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half of 2016 primarily due to reduced depreciation expense resulting from impairments recorded in 2016, partially offset by increased depreciation expense associated with an enterprise information system placed in service in 2017.</w:t>
      </w:r>
    </w:p>
    <w:p>
      <w:pPr>
        <w:spacing w:after="0" w:line="17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We recorded pre-tax impairment expense of $8.4 million in the first half of 2016 primarily related to the impairment of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 our U.S. segment, due to a continued reduction of U.S. drilling activity in the Bakken Shale region.</w:t>
      </w:r>
    </w:p>
    <w:p>
      <w:pPr>
        <w:spacing w:after="0" w:line="155"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Consolidated operating loss decreased $1.1 million, or 3%, in the first half of 2017 compared to the first half of 2016 primarily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impairment expense recorded in the first half of 2016, which was not repeated in the first half of 2017 and lower depreciation and amortization expense, partially offset by lower contracted rates in Canada.</w:t>
      </w:r>
    </w:p>
    <w:p>
      <w:pPr>
        <w:spacing w:after="0" w:line="17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and Interest Income, net. </w:t>
      </w:r>
      <w:r>
        <w:rPr>
          <w:rFonts w:ascii="Times New Roman" w:cs="Times New Roman" w:eastAsia="Times New Roman" w:hAnsi="Times New Roman"/>
          <w:sz w:val="18"/>
          <w:szCs w:val="18"/>
          <w:color w:val="auto"/>
        </w:rPr>
        <w:t>Net interest expense was essentially flat in the first half of 2017 compared to the first half of 2016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increases from the 2017 write-off of $0.8 million of debt issuance costs associated with an amendment to the Credit Agreement (as compared to a $0.3 million write-off of debt issuance costs in the first quarter 2016) and higher interest rates on term loan and revolving credit facility borrowings, offset by lower amounts outstanding under our revolving credit facilities in the first half of 2017 as compared to the first half of 2016.</w:t>
      </w:r>
    </w:p>
    <w:p>
      <w:pPr>
        <w:spacing w:after="0" w:line="177"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Our income tax benefit for the six months ended June 30, 2017 totaled $5.9 million, or 14.1% of pretax loss, compared to a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$5.5 million, or 12.7% of pretax loss, for the six months ended June 30, 2016. Our effective tax rates in 2017 and 2016 were reduced approximately 13% and 18%, respectively, by the exclusion of Australia and U.S. for purposes of computing the interim tax provision since they are loss jurisdictions for tax accounting purposes.</w:t>
      </w:r>
    </w:p>
    <w:p>
      <w:pPr>
        <w:spacing w:after="0" w:line="177" w:lineRule="exact"/>
        <w:rPr>
          <w:sz w:val="20"/>
          <w:szCs w:val="20"/>
          <w:color w:val="auto"/>
        </w:rPr>
      </w:pPr>
    </w:p>
    <w:p>
      <w:pPr>
        <w:ind w:right="1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Comprehensive Income (Loss). </w:t>
      </w:r>
      <w:r>
        <w:rPr>
          <w:rFonts w:ascii="Times New Roman" w:cs="Times New Roman" w:eastAsia="Times New Roman" w:hAnsi="Times New Roman"/>
          <w:sz w:val="18"/>
          <w:szCs w:val="18"/>
          <w:color w:val="auto"/>
        </w:rPr>
        <w:t>Other comprehensive income increased $7.4 million in the first half of 2017 compared to the first half of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as a result of foreign currency translation adjustments due to changes in the Canadian and Australian dollar exchange rates compared to the U.S. dollar. The Canadian dollar exchange rate compared to the U.S. dollar increased 3% in the first half of 2017 compared to a 6% increase in the first half of 2016. The Australian dollar exchange rate compared to the U.S. dollar increased 6% in the first half of 2017 compared to a 2% increase in the first half of 2016.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Canadian Segment</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Lodge revenue (1)</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109,170</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121,187</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Mobile, open camp and product revenue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118,174</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142,629</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and services ($ in thousands)</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82,118</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95,343</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Average available lodge rooms (2)</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Rentable rooms for lodges (3)</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rate for lodges (4)</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Occupancy in lodges (5)</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 to U.S. dollar</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0.750</w:t>
            </w:r>
          </w:p>
        </w:tc>
        <w:tc>
          <w:tcPr>
            <w:tcW w:w="200" w:type="dxa"/>
            <w:vAlign w:val="bottom"/>
          </w:tcPr>
          <w:p>
            <w:pPr>
              <w:spacing w:after="0"/>
              <w:rPr>
                <w:sz w:val="20"/>
                <w:szCs w:val="20"/>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0.752</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99695</wp:posOffset>
            </wp:positionV>
            <wp:extent cx="1000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15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related to rooms as well as the fees associated with catering, laundry and other services including facilities management.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available rooms include rooms that are utilized for our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Rentable rooms exclude rooms that are utilized for our personnel and out-of-service rooms.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is based on rentable rooms and lodge/village revenue.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represents total billed days divided by rentable days. Rentable days excludes staff rooms and out-of-service rooms.</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Canadian segment reported revenues in the first half of 2017 that were $24.5 million, or 17%, lower than the first half of 2016. The weakening of the average exchange rates for the Canadian dollar relative to the U.S. dollar by 0.3% in the first half of 2017 compared to the first half of 2016 resulted in a $0.3 million year-over-year reduction in revenues. In addition, excluding the impact of the weaker Canadian exchange rates, the segment experienced a 10% decline in lodge revenues, primarily due to lower rates. Finally, mobile, open camp and product revenues declined due to overall lower activity levels.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Canadian segment cost of sales and services decreased $13.2 million, or 14%, in the first half of 2017 compared to the first half of 2016 primarily due to the decline in mobile, open camp and product activity, as well as a focus on cost containment and operational efficiencies.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Canadian segment gross margin as a percentage of revenues decreased from 33% in the first half of 2016 to 31% in the first half of 2017 primarily due to lower rates, partially offset by lower costs due to a focus on cost containment and operational efficiencies.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55,623</w:t>
            </w:r>
          </w:p>
        </w:tc>
        <w:tc>
          <w:tcPr>
            <w:tcW w:w="18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Rentable rooms for villages (3)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 for villages (4)</w:t>
            </w:r>
          </w:p>
        </w:tc>
        <w:tc>
          <w:tcPr>
            <w:tcW w:w="15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in Villages (5)</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9429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78"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related to rooms as well as the fees associated with catering, laundry and other services including facilities management.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available rooms include rooms that are utilized for our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Rentable rooms exclude rooms that are utilized for our personnel and out-of-service rooms.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is based on rentable rooms and lodge/village revenue.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represents total billed days divided by rentable days. Rentable days excludes staff rooms and out-of-service rooms.</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Australian segment reported revenues in the first half of 2017 that were $2.6 million, or 5%, higher than the first half of 2016. The strengthening of the average exchange rates for Australian dollars relative to the U.S. dollar by 3% in the first half of 2017 compared to the first half of 2016 resulted in a $1.5 million year-over-year increase in revenues. Excluding the impact of the stronger Australian exchange rates, the segment experienced a 2% increase in revenues in the first half of 2017 compared to the first half of 2016 due to increased occupancy at our villages in Western Australian, offset by reduced occupancy at our villages in the Bowen Basin. Occupancy increased in Western Australia during the first half of 2017 with increased activity from anchor tenants at both our Western Australian village locations. Reduced occupancy in the Bowen Basin is primarily a result of the ongoing slowdown in mining activity.</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Australian segment cost of sales increased $1.7 million, or 6%, in the first half of 2017 compared to the first half of 2016. The increase was driven by higher occupancy levels at our villages in Western Australian as well as the strengthening of the Australian dollar.</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Australian segment gross margin as a percentage of revenues decreased to 51% in the first half of 2017 from 52% in the first half of 2016. This was primarily driven by reduced take-or-pay revenues on expired contracts compared to the first half of 2016.</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U.S. Segment</w:t>
            </w: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18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in thousands)</w:t>
            </w:r>
          </w:p>
        </w:tc>
        <w:tc>
          <w:tcPr>
            <w:tcW w:w="18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U.S. segment reported revenues in the first half of 2017 that were $3.2 million, or 50%, higher than the first half of 2016. The increase was primarily due to greater U.S. drilling activity in the Bakken, Rockies and Texas markets, partially offset by decreased revenues from our offshore business.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U.S. cost of sales increased $2.2 million, or 23%, in the first half of 2017 compared to the first half of 2016. The increase was driven by greater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activity in the Bakken, Rockies and Texas markets.</w:t>
      </w:r>
    </w:p>
    <w:p>
      <w:pPr>
        <w:spacing w:after="0" w:line="20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U.S. segment gross margin as a percentage of revenues increased from (48%) in the first half of 2016 to (22%) in the second half of 2017, primarily due to increased activity in the Bakken, Rockies and Texas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Credit Agreement (as amended by the third amendment described below, the Amended Credit Agreement) and proceeds from our equity issuance. In the future, we may seek to access the debt and equity capital markets from time to time to raise additional capital, increase liquidity, fund acquisitions and refinance debt.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consolidated liquidity position as of June 30, 2017 and December 31,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Lender commitments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Reductions in availability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(156,335)</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(144,803)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against revolving credit capacity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(39,129)</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availability</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117,465</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 liquidity</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111760</wp:posOffset>
            </wp:positionV>
            <wp:extent cx="91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78" w:lineRule="exact"/>
        <w:rPr>
          <w:sz w:val="20"/>
          <w:szCs w:val="20"/>
          <w:color w:val="auto"/>
        </w:rPr>
      </w:pPr>
    </w:p>
    <w:p>
      <w:pPr>
        <w:ind w:left="660" w:right="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a A$2.0 million bank guarantee facility. We had bank guarantees of A$0.8 million and A$0.8 million under this facility outstanding as of June 30, 2017 and December 31, 2016, respectively.</w:t>
      </w:r>
    </w:p>
    <w:p>
      <w:pPr>
        <w:ind w:left="660" w:right="8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and December 31, 2016, $156.3 million and $144.8 million, respectively, of our borrowing capacity under the Amended Credit Agreement could not be utilized in order to maintain compliance with the maximum leverage ratio financial covenant in the Amended Credit Agreement.</w:t>
      </w:r>
    </w:p>
    <w:p>
      <w:pPr>
        <w:spacing w:after="0" w:line="18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Cash totaling $14.4 million was provided by operations during the first half of 2017, compared to $35.1 million provided by operations during the first half of 2016. The decrease in operating cash flow in 2017 compared to 2016 was primarily due to a reduction in working capital in 2017. During the first half of 2017 and 2016, ($13.5) million and $0.1 million, respectively, was provided by (used for) working capital. The increase in working capital outflows from 2016 to 2017 is due in part to the timing of property tax and insurance payments.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Cash was used in investing activities during the six months ended June 30, 2017 in the amount of $4.5 million, compared to cash used in investing activities during the six months ended June 30, 2016 in the amount of $9.3 million. Capital expenditures totaled $6.0 million and $9.9 million during the six months ended June 30, 2017 and 2016, respectively. Capital expenditures in the first half of 2017 and 2016 consisted primarily of routine maintenance capital expenditures as well as investments in an enterprise information system.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0" w:name="page31"/>
    <w:bookmarkEnd w:id="30"/>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expect our capital expenditures for 2017 to be in the range of $12 million to $15 million, which excludes any expenditures for unannounced and uncommitted projects, the spending for which is contingent on obtaining customer contracts. Whether planned expenditures will match actual expenditures in 2017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cash of $14.8 million was provided by financing activities during the six months ended June 30, 2017 primarily due to net proceeds from our February 2017 equity offering of $64.8 million, offset by net repayments under our revolving credit facilities of $39.9 million, repayments of term loan borrowings of $8.0 million and debt issuance costs of $1.8 million. Net cash of $30.4 million was used by financing activities during the six months ended June 30, 2016 due to repayments of term loan borrowings of $33.1 million and debt issuance costs of $2.0 million, partially offset by net revolver borrowings of $4.8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debt outstanding during the first half of 2017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28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326,385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357,267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Borrowings under revolving credit facilities</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22,655</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4,970</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44,525</w:t>
            </w:r>
          </w:p>
        </w:tc>
      </w:tr>
      <w:tr>
        <w:trPr>
          <w:trHeight w:val="198"/>
        </w:trPr>
        <w:tc>
          <w:tcPr>
            <w:tcW w:w="46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Repayments of borrowings under revolving credit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facilities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(55,725)</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(11,837)</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(16,900)</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(84,462)</w:t>
            </w:r>
          </w:p>
        </w:tc>
      </w:tr>
      <w:tr>
        <w:trPr>
          <w:trHeight w:val="216"/>
        </w:trPr>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Repayments of term loans</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24,375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320,208</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17, 2017, the third amendment to the Credit Agreement became effective, which:</w:t>
      </w:r>
    </w:p>
    <w:p>
      <w:pPr>
        <w:spacing w:after="0" w:line="225" w:lineRule="exact"/>
        <w:rPr>
          <w:sz w:val="20"/>
          <w:szCs w:val="20"/>
          <w:color w:val="auto"/>
        </w:rPr>
      </w:pPr>
    </w:p>
    <w:p>
      <w:pPr>
        <w:ind w:left="660" w:right="14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1" w:name="page32"/>
    <w:bookmarkEnd w:id="31"/>
    <w:p>
      <w:pPr>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the maximum leverage ratio financial covenant, as follows:</w:t>
      </w:r>
    </w:p>
    <w:p>
      <w:pPr>
        <w:spacing w:after="0" w:line="212"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31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Maximum Leverage Ratio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 (no change)</w:t>
            </w:r>
          </w:p>
        </w:tc>
        <w:tc>
          <w:tcPr>
            <w:tcW w:w="284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2017 (no change)</w:t>
            </w:r>
          </w:p>
        </w:tc>
        <w:tc>
          <w:tcPr>
            <w:tcW w:w="28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5.25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2017 (no change)</w:t>
            </w:r>
          </w:p>
        </w:tc>
        <w:tc>
          <w:tcPr>
            <w:tcW w:w="284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28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5.85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284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5.85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2018</w:t>
            </w:r>
          </w:p>
        </w:tc>
        <w:tc>
          <w:tcPr>
            <w:tcW w:w="28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5.85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2018</w:t>
            </w:r>
          </w:p>
        </w:tc>
        <w:tc>
          <w:tcPr>
            <w:tcW w:w="284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5.85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28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5.85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84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2019 &amp; thereafter</w:t>
            </w:r>
          </w:p>
        </w:tc>
        <w:tc>
          <w:tcPr>
            <w:tcW w:w="28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5.25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 and</w:t>
      </w:r>
    </w:p>
    <w:p>
      <w:pPr>
        <w:spacing w:after="0" w:line="20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other technical changes and amendments to the Amended Credit Agreement.</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Facility bear interest at a variable rate equal to the Bank Bill Swap Bid Rate plus a margin of 2.25% to 5.50%, based on a ratio of our consolidated total leverage to EBITDA.</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5.25 to 1.0 (as of June 30,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June 30, 2017.</w:t>
      </w:r>
    </w:p>
    <w:p>
      <w:pPr>
        <w:spacing w:after="0" w:line="19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$1.1 million to $122.2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66"/>
        <w:spacing w:after="0" w:line="255" w:lineRule="auto"/>
        <w:rPr>
          <w:sz w:val="20"/>
          <w:szCs w:val="20"/>
          <w:color w:val="auto"/>
        </w:rPr>
      </w:pPr>
      <w:r>
        <w:rPr>
          <w:rFonts w:ascii="Times New Roman" w:cs="Times New Roman" w:eastAsia="Times New Roman" w:hAnsi="Times New Roman"/>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2017,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For additional information about our contractual obligations, refer to “Liquidity and Capital Resources—Contractual Obligations” in our Annual Report on Form 10-K for the year ended December 31, 2016. As of June 30, 2017, except for net repayments under our revolving credit facilities, there were no material changes to this disclosures regarding our contractual obligations made in our Annual Report on Form 10-K for the year ended December 31,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2016.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credit facilities that are subject to the risk of higher interest charges associated with increases in interest rates. As of June 30, 2017, we had $320.2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$3.2 million annually, based on our floating-rate debt obligations and interest rates in effect as of June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C$0.2 billion and A$0.5 billion, respectively, at June 30, 2017.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2017 would result in translation adjustments of approximately $22.0 million and $46.0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2017, at the reasonable assurance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76" w:right="379" w:bottom="1440" w:gutter="0" w:footer="0" w:header="0"/>
        </w:sectPr>
      </w:pPr>
    </w:p>
    <w:bookmarkStart w:id="34" w:name="page35"/>
    <w:bookmarkEnd w:id="34"/>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risk factors, please read the section entitled “Risk Factors” included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of our common shares during the three months ended June 30, 2017.</w:t>
      </w:r>
    </w:p>
    <w:p>
      <w:pPr>
        <w:spacing w:after="0" w:line="220" w:lineRule="exact"/>
        <w:rPr>
          <w:sz w:val="20"/>
          <w:szCs w:val="20"/>
          <w:color w:val="auto"/>
        </w:rPr>
      </w:pPr>
    </w:p>
    <w:tbl>
      <w:tblPr>
        <w:tblLayout w:type="fixed"/>
        <w:tblInd w:w="330" w:type="dxa"/>
        <w:tblCellMar>
          <w:top w:w="0" w:type="dxa"/>
          <w:left w:w="0" w:type="dxa"/>
          <w:bottom w:w="0" w:type="dxa"/>
          <w:right w:w="0" w:type="dxa"/>
        </w:tblCellMar>
      </w:tblPr>
      <w:tr>
        <w:trPr>
          <w:trHeight w:val="210"/>
        </w:trPr>
        <w:tc>
          <w:tcPr>
            <w:tcW w:w="5160" w:type="dxa"/>
            <w:vAlign w:val="bottom"/>
            <w:tcBorders>
              <w:top w:val="single" w:sz="8" w:color="auto"/>
              <w:left w:val="single" w:sz="8" w:color="auto"/>
              <w:right w:val="single" w:sz="8" w:color="auto"/>
            </w:tcBorders>
          </w:tcPr>
          <w:p>
            <w:pPr>
              <w:spacing w:after="0"/>
              <w:rPr>
                <w:sz w:val="18"/>
                <w:szCs w:val="18"/>
                <w:color w:val="auto"/>
              </w:rPr>
            </w:pPr>
          </w:p>
        </w:tc>
        <w:tc>
          <w:tcPr>
            <w:tcW w:w="15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500" w:type="dxa"/>
            <w:vAlign w:val="bottom"/>
            <w:tcBorders>
              <w:top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160" w:type="dxa"/>
            <w:vAlign w:val="bottom"/>
            <w:tcBorders>
              <w:left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5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w:t>
            </w: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5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of</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w:t>
            </w:r>
          </w:p>
        </w:tc>
      </w:tr>
      <w:tr>
        <w:trPr>
          <w:trHeight w:val="197"/>
        </w:trPr>
        <w:tc>
          <w:tcPr>
            <w:tcW w:w="516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9"/>
              </w:rPr>
              <w:t>plans or</w:t>
            </w:r>
          </w:p>
        </w:tc>
        <w:tc>
          <w:tcPr>
            <w:tcW w:w="124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9"/>
              </w:rPr>
              <w:t>plans or</w:t>
            </w:r>
          </w:p>
        </w:tc>
      </w:tr>
      <w:tr>
        <w:trPr>
          <w:trHeight w:val="258"/>
        </w:trPr>
        <w:tc>
          <w:tcPr>
            <w:tcW w:w="5160" w:type="dxa"/>
            <w:vAlign w:val="bottom"/>
            <w:tcBorders>
              <w:left w:val="single" w:sz="8" w:color="auto"/>
              <w:bottom w:val="single" w:sz="8" w:color="auto"/>
              <w:right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9"/>
                <w:szCs w:val="29"/>
                <w:color w:val="auto"/>
                <w:w w:val="94"/>
                <w:vertAlign w:val="superscript"/>
              </w:rPr>
              <w:t>(3)</w:t>
            </w:r>
          </w:p>
        </w:tc>
        <w:tc>
          <w:tcPr>
            <w:tcW w:w="1240" w:type="dxa"/>
            <w:vAlign w:val="bottom"/>
            <w:tcBorders>
              <w:bottom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9"/>
                <w:szCs w:val="29"/>
                <w:color w:val="auto"/>
                <w:w w:val="94"/>
                <w:vertAlign w:val="superscript"/>
              </w:rPr>
              <w:t>(3)</w:t>
            </w:r>
          </w:p>
        </w:tc>
      </w:tr>
      <w:tr>
        <w:trPr>
          <w:trHeight w:val="156"/>
        </w:trPr>
        <w:tc>
          <w:tcPr>
            <w:tcW w:w="5160" w:type="dxa"/>
            <w:vAlign w:val="bottom"/>
            <w:tcBorders>
              <w:left w:val="single" w:sz="8" w:color="auto"/>
              <w:right w:val="single" w:sz="8" w:color="auto"/>
            </w:tcBorders>
          </w:tcPr>
          <w:p>
            <w:pPr>
              <w:ind w:left="120"/>
              <w:spacing w:after="0" w:line="156" w:lineRule="exact"/>
              <w:rPr>
                <w:sz w:val="20"/>
                <w:szCs w:val="20"/>
                <w:color w:val="auto"/>
              </w:rPr>
            </w:pPr>
            <w:r>
              <w:rPr>
                <w:rFonts w:ascii="Times New Roman" w:cs="Times New Roman" w:eastAsia="Times New Roman" w:hAnsi="Times New Roman"/>
                <w:sz w:val="18"/>
                <w:szCs w:val="18"/>
                <w:color w:val="auto"/>
              </w:rPr>
              <w:t>April 1, 2017 – April 30, 2017</w:t>
            </w:r>
          </w:p>
        </w:tc>
        <w:tc>
          <w:tcPr>
            <w:tcW w:w="1520" w:type="dxa"/>
            <w:vAlign w:val="bottom"/>
            <w:tcBorders>
              <w:right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3"/>
                <w:szCs w:val="13"/>
                <w:color w:val="auto"/>
              </w:rPr>
            </w:pPr>
          </w:p>
        </w:tc>
        <w:tc>
          <w:tcPr>
            <w:tcW w:w="920" w:type="dxa"/>
            <w:vAlign w:val="bottom"/>
            <w:tcBorders>
              <w:right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r>
      <w:tr>
        <w:trPr>
          <w:trHeight w:val="284"/>
        </w:trPr>
        <w:tc>
          <w:tcPr>
            <w:tcW w:w="5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May 1, 2017 – May 31, 2017</w:t>
            </w:r>
          </w:p>
        </w:tc>
        <w:tc>
          <w:tcPr>
            <w:tcW w:w="1520" w:type="dxa"/>
            <w:vAlign w:val="bottom"/>
            <w:tcBorders>
              <w:bottom w:val="single" w:sz="8" w:color="auto"/>
              <w:right w:val="single" w:sz="8" w:color="auto"/>
            </w:tcBorders>
          </w:tcPr>
          <w:p>
            <w:pPr>
              <w:jc w:val="right"/>
              <w:spacing w:after="0" w:line="284" w:lineRule="exact"/>
              <w:rPr>
                <w:sz w:val="20"/>
                <w:szCs w:val="20"/>
                <w:color w:val="auto"/>
              </w:rPr>
            </w:pPr>
            <w:r>
              <w:rPr>
                <w:rFonts w:ascii="Times New Roman" w:cs="Times New Roman" w:eastAsia="Times New Roman" w:hAnsi="Times New Roman"/>
                <w:sz w:val="18"/>
                <w:szCs w:val="18"/>
                <w:color w:val="auto"/>
              </w:rPr>
              <w:t>6,911</w:t>
            </w:r>
            <w:r>
              <w:rPr>
                <w:rFonts w:ascii="Times New Roman" w:cs="Times New Roman" w:eastAsia="Times New Roman" w:hAnsi="Times New Roman"/>
                <w:sz w:val="30"/>
                <w:szCs w:val="30"/>
                <w:color w:val="auto"/>
                <w:vertAlign w:val="superscript"/>
              </w:rPr>
              <w:t>(1)</w:t>
            </w: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spacing w:after="0" w:line="284" w:lineRule="exact"/>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30"/>
                <w:szCs w:val="30"/>
                <w:color w:val="auto"/>
                <w:vertAlign w:val="superscript"/>
              </w:rPr>
              <w:t>(2)</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June 1, 2017 – June 30, 2017</w:t>
            </w:r>
          </w:p>
        </w:tc>
        <w:tc>
          <w:tcPr>
            <w:tcW w:w="15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5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6,911</w:t>
            </w: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-584835</wp:posOffset>
            </wp:positionV>
            <wp:extent cx="688213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2130" cy="29146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-147320</wp:posOffset>
            </wp:positionV>
            <wp:extent cx="686054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174" w:lineRule="exact"/>
        <w:rPr>
          <w:sz w:val="20"/>
          <w:szCs w:val="20"/>
          <w:color w:val="auto"/>
        </w:rPr>
      </w:pPr>
    </w:p>
    <w:p>
      <w:pPr>
        <w:ind w:left="660" w:hanging="328"/>
        <w:spacing w:after="0" w:line="195" w:lineRule="auto"/>
        <w:tabs>
          <w:tab w:leader="none" w:pos="66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2" w:lineRule="exact"/>
        <w:rPr>
          <w:rFonts w:ascii="Times New Roman" w:cs="Times New Roman" w:eastAsia="Times New Roman" w:hAnsi="Times New Roman"/>
          <w:sz w:val="30"/>
          <w:szCs w:val="30"/>
          <w:color w:val="auto"/>
          <w:vertAlign w:val="superscript"/>
        </w:rPr>
      </w:pPr>
    </w:p>
    <w:p>
      <w:pPr>
        <w:ind w:left="660" w:hanging="328"/>
        <w:spacing w:after="0" w:line="187" w:lineRule="auto"/>
        <w:tabs>
          <w:tab w:leader="none" w:pos="66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paid per share was based on the closing price of our common shares on May 30, 2017, which represents the dates the restrictions lapsed on such shares.</w:t>
      </w:r>
    </w:p>
    <w:p>
      <w:pPr>
        <w:spacing w:after="0" w:line="2" w:lineRule="exact"/>
        <w:rPr>
          <w:rFonts w:ascii="Times New Roman" w:cs="Times New Roman" w:eastAsia="Times New Roman" w:hAnsi="Times New Roman"/>
          <w:sz w:val="30"/>
          <w:szCs w:val="30"/>
          <w:color w:val="auto"/>
          <w:vertAlign w:val="superscript"/>
        </w:rPr>
      </w:pPr>
    </w:p>
    <w:p>
      <w:pPr>
        <w:ind w:left="660" w:hanging="328"/>
        <w:spacing w:after="0" w:line="180"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did not have at any time during the quarter ended June 30, 2017, and currently do not have, a share repurchase program in place.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INDEX OF EXHIBITS</w:t>
      </w:r>
    </w:p>
    <w:p>
      <w:pPr>
        <w:spacing w:after="0" w:line="221"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ectPr>
          <w:pgSz w:w="11900" w:h="16838" w:orient="portrait"/>
          <w:cols w:equalWidth="0" w:num="1">
            <w:col w:w="11420"/>
          </w:cols>
          <w:pgMar w:left="240" w:top="576"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Certification of Chief Executive Officer of Civeo Corporation pursuant to Rules 13a-14(a) or 15d-14(a) under the Securities Exchange Act of 1934.</w:t>
      </w:r>
    </w:p>
    <w:p>
      <w:pPr>
        <w:spacing w:after="0" w:line="162" w:lineRule="exact"/>
        <w:rPr>
          <w:sz w:val="20"/>
          <w:szCs w:val="20"/>
          <w:color w:val="auto"/>
        </w:rPr>
      </w:pPr>
    </w:p>
    <w:p>
      <w:pPr>
        <w:sectPr>
          <w:pgSz w:w="11900" w:h="16838" w:orient="portrait"/>
          <w:cols w:equalWidth="0" w:num="2">
            <w:col w:w="660" w:space="720"/>
            <w:col w:w="1004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Certification of Chief Financial Officer of Civeo Corporation pursuant to Rules 13a-14(a) or 15d-14(a) under the Securities Exchange Act of 1934.</w:t>
      </w:r>
    </w:p>
    <w:p>
      <w:pPr>
        <w:spacing w:after="0" w:line="162" w:lineRule="exact"/>
        <w:rPr>
          <w:sz w:val="20"/>
          <w:szCs w:val="20"/>
          <w:color w:val="auto"/>
        </w:rPr>
      </w:pPr>
    </w:p>
    <w:p>
      <w:pPr>
        <w:sectPr>
          <w:pgSz w:w="11900" w:h="16838" w:orient="portrait"/>
          <w:cols w:equalWidth="0" w:num="2">
            <w:col w:w="660" w:space="720"/>
            <w:col w:w="1004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Certification of Chief Executive Officer of Civeo Corporation pursuant to Rules 13a-14(b) or 15d-14(b) under the Securities Exchange Act of 1934.</w:t>
      </w:r>
    </w:p>
    <w:p>
      <w:pPr>
        <w:spacing w:after="0" w:line="162" w:lineRule="exact"/>
        <w:rPr>
          <w:sz w:val="20"/>
          <w:szCs w:val="20"/>
          <w:color w:val="auto"/>
        </w:rPr>
      </w:pPr>
    </w:p>
    <w:p>
      <w:pPr>
        <w:sectPr>
          <w:pgSz w:w="11900" w:h="16838" w:orient="portrait"/>
          <w:cols w:equalWidth="0" w:num="2">
            <w:col w:w="660" w:space="720"/>
            <w:col w:w="1004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Certification of Chief Financial Officer of Civeo Corporation pursuant to Rules 13a-14(b) or 15d-14(b) under the Securities Exchange Act of 1934.</w:t>
      </w:r>
    </w:p>
    <w:p>
      <w:pPr>
        <w:spacing w:after="0" w:line="162" w:lineRule="exact"/>
        <w:rPr>
          <w:sz w:val="20"/>
          <w:szCs w:val="20"/>
          <w:color w:val="auto"/>
        </w:rPr>
      </w:pPr>
    </w:p>
    <w:p>
      <w:pPr>
        <w:sectPr>
          <w:pgSz w:w="11900" w:h="16838" w:orient="portrait"/>
          <w:cols w:equalWidth="0" w:num="2">
            <w:col w:w="660" w:space="720"/>
            <w:col w:w="1004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XBRL Instance Document</w:t>
      </w:r>
    </w:p>
    <w:p>
      <w:pPr>
        <w:spacing w:after="0" w:line="200" w:lineRule="exact"/>
        <w:rPr>
          <w:sz w:val="20"/>
          <w:szCs w:val="20"/>
          <w:color w:val="auto"/>
        </w:rPr>
      </w:pPr>
    </w:p>
    <w:p>
      <w:pPr>
        <w:sectPr>
          <w:pgSz w:w="11900" w:h="16838" w:orient="portrait"/>
          <w:cols w:equalWidth="0" w:num="2">
            <w:col w:w="700" w:space="360"/>
            <w:col w:w="1036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XBRL Taxonomy Extension Schema Document</w:t>
      </w:r>
    </w:p>
    <w:p>
      <w:pPr>
        <w:spacing w:after="0" w:line="200" w:lineRule="exact"/>
        <w:rPr>
          <w:sz w:val="20"/>
          <w:szCs w:val="20"/>
          <w:color w:val="auto"/>
        </w:rPr>
      </w:pPr>
    </w:p>
    <w:p>
      <w:pPr>
        <w:sectPr>
          <w:pgSz w:w="11900" w:h="16838" w:orient="portrait"/>
          <w:cols w:equalWidth="0" w:num="2">
            <w:col w:w="760" w:space="300"/>
            <w:col w:w="1036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p>
      <w:pPr>
        <w:spacing w:after="0" w:line="200" w:lineRule="exact"/>
        <w:rPr>
          <w:sz w:val="20"/>
          <w:szCs w:val="20"/>
          <w:color w:val="auto"/>
        </w:rPr>
      </w:pPr>
    </w:p>
    <w:p>
      <w:pPr>
        <w:sectPr>
          <w:pgSz w:w="11900" w:h="16838" w:orient="portrait"/>
          <w:cols w:equalWidth="0" w:num="2">
            <w:col w:w="780" w:space="280"/>
            <w:col w:w="1036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p>
      <w:pPr>
        <w:spacing w:after="0" w:line="200" w:lineRule="exact"/>
        <w:rPr>
          <w:sz w:val="20"/>
          <w:szCs w:val="20"/>
          <w:color w:val="auto"/>
        </w:rPr>
      </w:pPr>
    </w:p>
    <w:p>
      <w:pPr>
        <w:sectPr>
          <w:pgSz w:w="11900" w:h="16838" w:orient="portrait"/>
          <w:cols w:equalWidth="0" w:num="2">
            <w:col w:w="760" w:space="300"/>
            <w:col w:w="1036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p>
      <w:pPr>
        <w:spacing w:after="0" w:line="200" w:lineRule="exact"/>
        <w:rPr>
          <w:sz w:val="20"/>
          <w:szCs w:val="20"/>
          <w:color w:val="auto"/>
        </w:rPr>
      </w:pPr>
    </w:p>
    <w:p>
      <w:pPr>
        <w:sectPr>
          <w:pgSz w:w="11900" w:h="16838" w:orient="portrait"/>
          <w:cols w:equalWidth="0" w:num="2">
            <w:col w:w="780" w:space="280"/>
            <w:col w:w="1036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p>
      <w:pPr>
        <w:spacing w:after="0" w:line="200" w:lineRule="exact"/>
        <w:rPr>
          <w:sz w:val="20"/>
          <w:szCs w:val="20"/>
          <w:color w:val="auto"/>
        </w:rPr>
      </w:pPr>
    </w:p>
    <w:p>
      <w:pPr>
        <w:sectPr>
          <w:pgSz w:w="11900" w:h="16838" w:orient="portrait"/>
          <w:cols w:equalWidth="0" w:num="2">
            <w:col w:w="740" w:space="320"/>
            <w:col w:w="1036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76" w:right="239" w:bottom="1440" w:gutter="0" w:footer="0" w:header="0"/>
          <w:type w:val="continuous"/>
        </w:sectPr>
      </w:pPr>
    </w:p>
    <w:p>
      <w:pPr>
        <w:spacing w:after="0" w:line="27"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CIVEO CORPORATION</w:t>
      </w:r>
    </w:p>
    <w:p>
      <w:pPr>
        <w:sectPr>
          <w:pgSz w:w="11900" w:h="16838" w:orient="portrait"/>
          <w:cols w:equalWidth="0" w:num="1">
            <w:col w:w="11420"/>
          </w:cols>
          <w:pgMar w:left="240" w:top="576" w:right="239" w:bottom="1440" w:gutter="0" w:footer="0" w:header="0"/>
        </w:sectPr>
      </w:pP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July 28, 2017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 Frank C. Steininger</w:t>
      </w:r>
    </w:p>
    <w:p>
      <w:pPr>
        <w:spacing w:after="0" w:line="42" w:lineRule="exact"/>
        <w:rPr>
          <w:sz w:val="20"/>
          <w:szCs w:val="20"/>
          <w:color w:val="auto"/>
        </w:rPr>
      </w:pPr>
    </w:p>
    <w:p>
      <w:pPr>
        <w:sectPr>
          <w:pgSz w:w="11900" w:h="16838" w:orient="portrait"/>
          <w:cols w:equalWidth="0" w:num="4">
            <w:col w:w="2400" w:space="680"/>
            <w:col w:w="1000" w:space="720"/>
            <w:col w:w="880" w:space="720"/>
            <w:col w:w="5020"/>
          </w:cols>
          <w:pgMar w:left="240" w:top="576" w:right="239" w:bottom="1440" w:gutter="0" w:footer="0" w:header="0"/>
          <w:type w:val="continuous"/>
        </w:sect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-130810</wp:posOffset>
            </wp:positionV>
            <wp:extent cx="44253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w:t>
      </w:r>
    </w:p>
    <w:p>
      <w:pPr>
        <w:spacing w:after="0" w:line="21"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Treasurer (Duly Authorized Officer and Principal</w:t>
      </w:r>
    </w:p>
    <w:p>
      <w:pPr>
        <w:spacing w:after="0" w:line="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Certification of Chief Executive Officer of Civeo Corporation pursuant to Rules 13a-14(a) or 15d-14(a) under the Securities Exchange</w:t>
            </w:r>
          </w:p>
        </w:tc>
      </w:tr>
      <w:tr>
        <w:trPr>
          <w:trHeight w:val="234"/>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Act of 1934.</w:t>
            </w:r>
          </w:p>
        </w:tc>
      </w:tr>
      <w:tr>
        <w:trPr>
          <w:trHeight w:val="41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Certification of Chief Financial Officer of Civeo Corporation pursuant to Rules 13a-14(a) or 15d-14(a) under the Securities Exchange</w:t>
            </w:r>
          </w:p>
        </w:tc>
      </w:tr>
      <w:tr>
        <w:trPr>
          <w:trHeight w:val="234"/>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Act of 1934.</w:t>
            </w:r>
          </w:p>
        </w:tc>
      </w:tr>
      <w:tr>
        <w:trPr>
          <w:trHeight w:val="41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Certification of Chief Executive Officer of Civeo Corporation pursuant to Rules 13a-14(b) or 15d-14(b) under the Securities Exchange</w:t>
            </w:r>
          </w:p>
        </w:tc>
      </w:tr>
      <w:tr>
        <w:trPr>
          <w:trHeight w:val="234"/>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Act of 1934.</w:t>
            </w:r>
          </w:p>
        </w:tc>
      </w:tr>
      <w:tr>
        <w:trPr>
          <w:trHeight w:val="41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Certification of Chief Financial Officer of Civeo Corporation pursuant to Rules 13a-14(b) or 15d-14(b) under the Securities Exchange</w:t>
            </w:r>
          </w:p>
        </w:tc>
      </w:tr>
      <w:tr>
        <w:trPr>
          <w:trHeight w:val="234"/>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Act of 1934.</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XBRL Instance Document</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pgSz w:w="11900" w:h="16838" w:orient="portrait"/>
          <w:cols w:equalWidth="0" w:num="1">
            <w:col w:w="11420"/>
          </w:cols>
          <w:pgMar w:left="240" w:top="56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Civeo Corporation (Registrant);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2017</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Bradley J. Dodson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Civeo Corporation (Registrant);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00" w:right="12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2017</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Frank C. Steininger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Civeo Corporation (the “Company”) for the quarterly period ended June 30, 2017,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Bradley J. Dodson</w:t>
      </w:r>
    </w:p>
    <w:p>
      <w:pPr>
        <w:spacing w:after="0" w:line="27" w:lineRule="exact"/>
        <w:rPr>
          <w:sz w:val="20"/>
          <w:szCs w:val="20"/>
          <w:color w:val="auto"/>
        </w:rPr>
      </w:pPr>
    </w:p>
    <w:tbl>
      <w:tblPr>
        <w:tblLayout w:type="fixed"/>
        <w:tblInd w:w="608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98"/>
              </w:rPr>
              <w:t>Bradley</w:t>
            </w:r>
          </w:p>
        </w:tc>
        <w:tc>
          <w:tcPr>
            <w:tcW w:w="270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J. Dodson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July 28,</w:t>
            </w:r>
          </w:p>
        </w:tc>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r>
    </w:tbl>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Civeo Corporation (the “Company”) for the quarterly period ended June 30, 2017,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0"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Frank C. Steininger</w:t>
      </w:r>
    </w:p>
    <w:p>
      <w:pPr>
        <w:spacing w:after="0" w:line="27" w:lineRule="exact"/>
        <w:rPr>
          <w:sz w:val="20"/>
          <w:szCs w:val="20"/>
          <w:color w:val="auto"/>
        </w:rPr>
      </w:pPr>
    </w:p>
    <w:p>
      <w:pPr>
        <w:ind w:left="6080"/>
        <w:spacing w:after="0"/>
        <w:tabs>
          <w:tab w:leader="none" w:pos="6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4"/>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1"/>
    </w:lvl>
    <w:lvl w:ilvl="1">
      <w:lvlJc w:val="left"/>
      <w:lvlText w:val="(%2)"/>
      <w:numFmt w:val="decimal"/>
      <w:start w:val="1"/>
    </w:lvl>
  </w:abstractNum>
  <w:abstractNum w:abstractNumId="7">
    <w:nsid w:val="62BBD95A"/>
    <w:multiLevelType w:val="hybridMultilevel"/>
    <w:lvl w:ilvl="0">
      <w:lvlJc w:val="left"/>
      <w:lvlText w:val="%1."/>
      <w:numFmt w:val="decimal"/>
      <w:start w:val="7"/>
    </w:lvl>
    <w:lvl w:ilvl="1">
      <w:lvlJc w:val="left"/>
      <w:lvlText w:val="%2"/>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Roman"/>
      <w:start w:val="6"/>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Roman"/>
      <w:start w:val="6"/>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2019-12-07T21:38:10Z</dcterms:created>
  <dcterms:modified xsi:type="dcterms:W3CDTF">2019-12-07T21:38:10Z</dcterms:modified>
</cp:coreProperties>
</file>