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p>
      <w:pPr>
        <w:ind w:left="4980"/>
        <w:spacing w:after="0"/>
        <w:rPr>
          <w:sz w:val="20"/>
          <w:szCs w:val="20"/>
          <w:color w:val="auto"/>
        </w:rPr>
      </w:pPr>
      <w:r>
        <w:rPr>
          <w:rFonts w:ascii="Arial" w:cs="Arial" w:eastAsia="Arial" w:hAnsi="Arial"/>
          <w:sz w:val="17"/>
          <w:szCs w:val="17"/>
          <w:color w:val="auto"/>
        </w:rPr>
        <w:t>UNITED STATES</w:t>
      </w:r>
    </w:p>
    <w:p>
      <w:pPr>
        <w:spacing w:after="0" w:line="26"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SECURITIES AND EXCHANGE COMMISSION</w:t>
      </w:r>
    </w:p>
    <w:p>
      <w:pPr>
        <w:spacing w:after="0" w:line="14"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Washington, D.C. 20549</w:t>
      </w:r>
    </w:p>
    <w:p>
      <w:pPr>
        <w:spacing w:after="0" w:line="156"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FORM 10-Q</w:t>
      </w:r>
    </w:p>
    <w:p>
      <w:pPr>
        <w:spacing w:after="0" w:line="113"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44" w:lineRule="exact"/>
        <w:rPr>
          <w:sz w:val="24"/>
          <w:szCs w:val="24"/>
          <w:color w:val="auto"/>
        </w:rPr>
      </w:pPr>
    </w:p>
    <w:p>
      <w:pPr>
        <w:ind w:left="820" w:hanging="785"/>
        <w:spacing w:after="0"/>
        <w:tabs>
          <w:tab w:leader="none" w:pos="82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QUARTERLY REPORT PURSUANT TO SECTION 13 OR 15(d) OF THE SECURITIES EXCHANGE ACT OF 1934</w:t>
      </w:r>
    </w:p>
    <w:p>
      <w:pPr>
        <w:spacing w:after="0" w:line="123" w:lineRule="exact"/>
        <w:rPr>
          <w:sz w:val="24"/>
          <w:szCs w:val="24"/>
          <w:color w:val="auto"/>
        </w:rPr>
      </w:pPr>
    </w:p>
    <w:p>
      <w:pPr>
        <w:ind w:left="640"/>
        <w:spacing w:after="0"/>
        <w:rPr>
          <w:sz w:val="20"/>
          <w:szCs w:val="20"/>
          <w:color w:val="auto"/>
        </w:rPr>
      </w:pPr>
      <w:r>
        <w:rPr>
          <w:rFonts w:ascii="Arial" w:cs="Arial" w:eastAsia="Arial" w:hAnsi="Arial"/>
          <w:sz w:val="17"/>
          <w:szCs w:val="17"/>
          <w:color w:val="auto"/>
        </w:rPr>
        <w:t>For the quarterly period ended September 30, 2023</w:t>
      </w:r>
    </w:p>
    <w:p>
      <w:pPr>
        <w:spacing w:after="0" w:line="66" w:lineRule="exact"/>
        <w:rPr>
          <w:sz w:val="24"/>
          <w:szCs w:val="24"/>
          <w:color w:val="auto"/>
        </w:rPr>
      </w:pPr>
    </w:p>
    <w:p>
      <w:pPr>
        <w:jc w:val="center"/>
        <w:ind w:left="460"/>
        <w:spacing w:after="0"/>
        <w:rPr>
          <w:sz w:val="20"/>
          <w:szCs w:val="20"/>
          <w:color w:val="auto"/>
        </w:rPr>
      </w:pPr>
      <w:r>
        <w:rPr>
          <w:rFonts w:ascii="Arial" w:cs="Arial" w:eastAsia="Arial" w:hAnsi="Arial"/>
          <w:sz w:val="17"/>
          <w:szCs w:val="17"/>
          <w:color w:val="auto"/>
        </w:rPr>
        <w:t>OR</w:t>
      </w:r>
    </w:p>
    <w:p>
      <w:pPr>
        <w:spacing w:after="0" w:line="105" w:lineRule="exact"/>
        <w:rPr>
          <w:sz w:val="24"/>
          <w:szCs w:val="24"/>
          <w:color w:val="auto"/>
        </w:rPr>
      </w:pPr>
    </w:p>
    <w:p>
      <w:pPr>
        <w:ind w:left="1280" w:hanging="788"/>
        <w:spacing w:after="0"/>
        <w:tabs>
          <w:tab w:leader="none" w:pos="12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60" w:lineRule="exact"/>
        <w:rPr>
          <w:sz w:val="24"/>
          <w:szCs w:val="24"/>
          <w:color w:val="auto"/>
        </w:rPr>
      </w:pPr>
    </w:p>
    <w:p>
      <w:pPr>
        <w:ind w:left="1280"/>
        <w:spacing w:after="0"/>
        <w:rPr>
          <w:sz w:val="20"/>
          <w:szCs w:val="20"/>
          <w:color w:val="auto"/>
        </w:rPr>
      </w:pPr>
      <w:r>
        <w:rPr>
          <w:rFonts w:ascii="Arial" w:cs="Arial" w:eastAsia="Arial" w:hAnsi="Arial"/>
          <w:sz w:val="17"/>
          <w:szCs w:val="17"/>
          <w:color w:val="auto"/>
        </w:rPr>
        <w:t>For the transition period from _________________________ to _________________________</w:t>
      </w:r>
    </w:p>
    <w:p>
      <w:pPr>
        <w:spacing w:after="0" w:line="105" w:lineRule="exact"/>
        <w:rPr>
          <w:sz w:val="24"/>
          <w:szCs w:val="24"/>
          <w:color w:val="auto"/>
        </w:rPr>
      </w:pPr>
    </w:p>
    <w:p>
      <w:pPr>
        <w:jc w:val="center"/>
        <w:ind w:right="-179"/>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u w:val="single" w:color="auto"/>
          <w:color w:val="auto"/>
        </w:rPr>
        <w:t>001-36246</w:t>
      </w:r>
    </w:p>
    <w:p>
      <w:pPr>
        <w:spacing w:after="0" w:line="116"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2940685</wp:posOffset>
            </wp:positionH>
            <wp:positionV relativeFrom="paragraph">
              <wp:posOffset>38100</wp:posOffset>
            </wp:positionV>
            <wp:extent cx="13608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159" w:lineRule="exact"/>
        <w:rPr>
          <w:sz w:val="24"/>
          <w:szCs w:val="24"/>
          <w:color w:val="auto"/>
        </w:rPr>
      </w:pPr>
    </w:p>
    <w:p>
      <w:pPr>
        <w:jc w:val="center"/>
        <w:ind w:right="-179"/>
        <w:spacing w:after="0"/>
        <w:rPr>
          <w:sz w:val="20"/>
          <w:szCs w:val="20"/>
          <w:color w:val="auto"/>
        </w:rPr>
      </w:pPr>
      <w:r>
        <w:rPr>
          <w:rFonts w:ascii="Arial" w:cs="Arial" w:eastAsia="Arial" w:hAnsi="Arial"/>
          <w:sz w:val="17"/>
          <w:szCs w:val="17"/>
          <w:color w:val="auto"/>
        </w:rPr>
        <w:t>(Exact name of registrant as specified in its charter)</w:t>
      </w:r>
    </w:p>
    <w:p>
      <w:pPr>
        <w:spacing w:after="0" w:line="236" w:lineRule="exact"/>
        <w:rPr>
          <w:sz w:val="24"/>
          <w:szCs w:val="24"/>
          <w:color w:val="auto"/>
        </w:rPr>
      </w:pPr>
    </w:p>
    <w:tbl>
      <w:tblPr>
        <w:tblLayout w:type="fixed"/>
        <w:tblInd w:w="1100" w:type="dxa"/>
        <w:tblCellMar>
          <w:top w:w="0" w:type="dxa"/>
          <w:left w:w="0" w:type="dxa"/>
          <w:bottom w:w="0" w:type="dxa"/>
          <w:right w:w="0" w:type="dxa"/>
        </w:tblCellMar>
      </w:tblPr>
      <w:tr>
        <w:trPr>
          <w:trHeight w:val="195"/>
        </w:trPr>
        <w:tc>
          <w:tcPr>
            <w:tcW w:w="800" w:type="dxa"/>
            <w:vAlign w:val="bottom"/>
          </w:tcPr>
          <w:p>
            <w:pPr>
              <w:spacing w:after="0"/>
              <w:rPr>
                <w:sz w:val="16"/>
                <w:szCs w:val="16"/>
                <w:color w:val="auto"/>
              </w:rPr>
            </w:pPr>
          </w:p>
        </w:tc>
        <w:tc>
          <w:tcPr>
            <w:tcW w:w="2920" w:type="dxa"/>
            <w:vAlign w:val="bottom"/>
            <w:gridSpan w:val="2"/>
          </w:tcPr>
          <w:p>
            <w:pPr>
              <w:jc w:val="center"/>
              <w:ind w:right="1120"/>
              <w:spacing w:after="0"/>
              <w:rPr>
                <w:sz w:val="20"/>
                <w:szCs w:val="20"/>
                <w:color w:val="auto"/>
              </w:rPr>
            </w:pPr>
            <w:r>
              <w:rPr>
                <w:rFonts w:ascii="Arial" w:cs="Arial" w:eastAsia="Arial" w:hAnsi="Arial"/>
                <w:sz w:val="17"/>
                <w:szCs w:val="17"/>
                <w:color w:val="auto"/>
                <w:w w:val="93"/>
              </w:rPr>
              <w:t>British Columbia, Canada</w:t>
            </w:r>
          </w:p>
        </w:tc>
        <w:tc>
          <w:tcPr>
            <w:tcW w:w="4220" w:type="dxa"/>
            <w:vAlign w:val="bottom"/>
            <w:gridSpan w:val="5"/>
          </w:tcPr>
          <w:p>
            <w:pPr>
              <w:jc w:val="right"/>
              <w:ind w:right="220"/>
              <w:spacing w:after="0"/>
              <w:rPr>
                <w:sz w:val="20"/>
                <w:szCs w:val="20"/>
                <w:color w:val="auto"/>
              </w:rPr>
            </w:pPr>
            <w:r>
              <w:rPr>
                <w:rFonts w:ascii="Arial" w:cs="Arial" w:eastAsia="Arial" w:hAnsi="Arial"/>
                <w:sz w:val="17"/>
                <w:szCs w:val="17"/>
                <w:color w:val="auto"/>
              </w:rPr>
              <w:t>98-1253716</w:t>
            </w:r>
          </w:p>
        </w:tc>
      </w:tr>
      <w:tr>
        <w:trPr>
          <w:trHeight w:val="20"/>
        </w:trPr>
        <w:tc>
          <w:tcPr>
            <w:tcW w:w="8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1"/>
        </w:trPr>
        <w:tc>
          <w:tcPr>
            <w:tcW w:w="3720" w:type="dxa"/>
            <w:vAlign w:val="bottom"/>
            <w:gridSpan w:val="3"/>
          </w:tcPr>
          <w:p>
            <w:pPr>
              <w:jc w:val="center"/>
              <w:ind w:right="300"/>
              <w:spacing w:after="0"/>
              <w:rPr>
                <w:sz w:val="20"/>
                <w:szCs w:val="20"/>
                <w:color w:val="auto"/>
              </w:rPr>
            </w:pPr>
            <w:r>
              <w:rPr>
                <w:rFonts w:ascii="Arial" w:cs="Arial" w:eastAsia="Arial" w:hAnsi="Arial"/>
                <w:sz w:val="17"/>
                <w:szCs w:val="17"/>
                <w:color w:val="auto"/>
                <w:w w:val="94"/>
              </w:rPr>
              <w:t>(State or other jurisdiction of</w:t>
            </w:r>
          </w:p>
        </w:tc>
        <w:tc>
          <w:tcPr>
            <w:tcW w:w="4220" w:type="dxa"/>
            <w:vAlign w:val="bottom"/>
            <w:gridSpan w:val="5"/>
          </w:tcPr>
          <w:p>
            <w:pPr>
              <w:jc w:val="center"/>
              <w:ind w:left="2853"/>
              <w:spacing w:after="0"/>
              <w:rPr>
                <w:sz w:val="20"/>
                <w:szCs w:val="20"/>
                <w:color w:val="auto"/>
              </w:rPr>
            </w:pPr>
            <w:r>
              <w:rPr>
                <w:rFonts w:ascii="Arial" w:cs="Arial" w:eastAsia="Arial" w:hAnsi="Arial"/>
                <w:sz w:val="17"/>
                <w:szCs w:val="17"/>
                <w:color w:val="auto"/>
                <w:w w:val="96"/>
              </w:rPr>
              <w:t>(I.R.S. Employer</w:t>
            </w:r>
          </w:p>
        </w:tc>
      </w:tr>
      <w:tr>
        <w:trPr>
          <w:trHeight w:val="222"/>
        </w:trPr>
        <w:tc>
          <w:tcPr>
            <w:tcW w:w="3720" w:type="dxa"/>
            <w:vAlign w:val="bottom"/>
            <w:gridSpan w:val="3"/>
          </w:tcPr>
          <w:p>
            <w:pPr>
              <w:jc w:val="center"/>
              <w:ind w:right="320"/>
              <w:spacing w:after="0"/>
              <w:rPr>
                <w:sz w:val="20"/>
                <w:szCs w:val="20"/>
                <w:color w:val="auto"/>
              </w:rPr>
            </w:pPr>
            <w:r>
              <w:rPr>
                <w:rFonts w:ascii="Arial" w:cs="Arial" w:eastAsia="Arial" w:hAnsi="Arial"/>
                <w:sz w:val="17"/>
                <w:szCs w:val="17"/>
                <w:color w:val="auto"/>
                <w:w w:val="94"/>
              </w:rPr>
              <w:t>incorporation or organization)</w:t>
            </w:r>
          </w:p>
        </w:tc>
        <w:tc>
          <w:tcPr>
            <w:tcW w:w="4220" w:type="dxa"/>
            <w:vAlign w:val="bottom"/>
            <w:gridSpan w:val="5"/>
          </w:tcPr>
          <w:p>
            <w:pPr>
              <w:jc w:val="center"/>
              <w:ind w:left="2853"/>
              <w:spacing w:after="0"/>
              <w:rPr>
                <w:sz w:val="20"/>
                <w:szCs w:val="20"/>
                <w:color w:val="auto"/>
              </w:rPr>
            </w:pPr>
            <w:r>
              <w:rPr>
                <w:rFonts w:ascii="Arial" w:cs="Arial" w:eastAsia="Arial" w:hAnsi="Arial"/>
                <w:sz w:val="17"/>
                <w:szCs w:val="17"/>
                <w:color w:val="auto"/>
                <w:w w:val="96"/>
              </w:rPr>
              <w:t>Identification No.)</w:t>
            </w:r>
          </w:p>
        </w:tc>
      </w:tr>
      <w:tr>
        <w:trPr>
          <w:trHeight w:val="405"/>
        </w:trPr>
        <w:tc>
          <w:tcPr>
            <w:tcW w:w="3720" w:type="dxa"/>
            <w:vAlign w:val="bottom"/>
            <w:gridSpan w:val="3"/>
          </w:tcPr>
          <w:p>
            <w:pPr>
              <w:jc w:val="center"/>
              <w:ind w:right="320"/>
              <w:spacing w:after="0"/>
              <w:rPr>
                <w:sz w:val="20"/>
                <w:szCs w:val="20"/>
                <w:color w:val="auto"/>
              </w:rPr>
            </w:pPr>
            <w:r>
              <w:rPr>
                <w:rFonts w:ascii="Arial" w:cs="Arial" w:eastAsia="Arial" w:hAnsi="Arial"/>
                <w:sz w:val="17"/>
                <w:szCs w:val="17"/>
                <w:color w:val="auto"/>
                <w:w w:val="93"/>
              </w:rPr>
              <w:t>Three Allen Center, 333 Clay Street, Suite 4980,</w:t>
            </w:r>
          </w:p>
        </w:tc>
        <w:tc>
          <w:tcPr>
            <w:tcW w:w="33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77002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800" w:type="dxa"/>
            <w:vAlign w:val="bottom"/>
          </w:tcPr>
          <w:p>
            <w:pPr>
              <w:spacing w:after="0"/>
              <w:rPr>
                <w:sz w:val="20"/>
                <w:szCs w:val="20"/>
                <w:color w:val="auto"/>
              </w:rPr>
            </w:pPr>
          </w:p>
        </w:tc>
        <w:tc>
          <w:tcPr>
            <w:tcW w:w="2920" w:type="dxa"/>
            <w:vAlign w:val="bottom"/>
            <w:gridSpan w:val="2"/>
          </w:tcPr>
          <w:p>
            <w:pPr>
              <w:jc w:val="center"/>
              <w:ind w:right="1120"/>
              <w:spacing w:after="0"/>
              <w:rPr>
                <w:sz w:val="20"/>
                <w:szCs w:val="20"/>
                <w:color w:val="auto"/>
              </w:rPr>
            </w:pPr>
            <w:r>
              <w:rPr>
                <w:rFonts w:ascii="Arial" w:cs="Arial" w:eastAsia="Arial" w:hAnsi="Arial"/>
                <w:sz w:val="17"/>
                <w:szCs w:val="17"/>
                <w:color w:val="auto"/>
                <w:w w:val="90"/>
              </w:rPr>
              <w:t>Houston, Texas</w:t>
            </w:r>
          </w:p>
        </w:tc>
        <w:tc>
          <w:tcPr>
            <w:tcW w:w="3160" w:type="dxa"/>
            <w:vAlign w:val="bottom"/>
          </w:tcPr>
          <w:p>
            <w:pPr>
              <w:spacing w:after="0"/>
              <w:rPr>
                <w:sz w:val="20"/>
                <w:szCs w:val="20"/>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7"/>
                <w:szCs w:val="17"/>
                <w:color w:val="auto"/>
                <w:w w:val="94"/>
              </w:rPr>
              <w:t>(Zip Code)</w:t>
            </w:r>
          </w:p>
        </w:tc>
      </w:tr>
      <w:tr>
        <w:trPr>
          <w:trHeight w:val="222"/>
        </w:trPr>
        <w:tc>
          <w:tcPr>
            <w:tcW w:w="3720" w:type="dxa"/>
            <w:vAlign w:val="bottom"/>
            <w:gridSpan w:val="3"/>
          </w:tcPr>
          <w:p>
            <w:pPr>
              <w:jc w:val="center"/>
              <w:ind w:right="320"/>
              <w:spacing w:after="0"/>
              <w:rPr>
                <w:sz w:val="20"/>
                <w:szCs w:val="20"/>
                <w:color w:val="auto"/>
              </w:rPr>
            </w:pPr>
            <w:r>
              <w:rPr>
                <w:rFonts w:ascii="Arial" w:cs="Arial" w:eastAsia="Arial" w:hAnsi="Arial"/>
                <w:sz w:val="17"/>
                <w:szCs w:val="17"/>
                <w:color w:val="auto"/>
                <w:w w:val="94"/>
              </w:rPr>
              <w:t>(Address of principal executive offices)</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01"/>
        </w:trPr>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60" w:type="dxa"/>
            <w:vAlign w:val="bottom"/>
          </w:tcPr>
          <w:p>
            <w:pPr>
              <w:jc w:val="right"/>
              <w:ind w:right="1653"/>
              <w:spacing w:after="0"/>
              <w:rPr>
                <w:sz w:val="20"/>
                <w:szCs w:val="20"/>
                <w:color w:val="auto"/>
              </w:rPr>
            </w:pPr>
            <w:r>
              <w:rPr>
                <w:rFonts w:ascii="Arial" w:cs="Arial" w:eastAsia="Arial" w:hAnsi="Arial"/>
                <w:sz w:val="17"/>
                <w:szCs w:val="17"/>
                <w:color w:val="auto"/>
              </w:rPr>
              <w:t>(713) 510-2400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92" w:lineRule="exact"/>
        <w:rPr>
          <w:sz w:val="24"/>
          <w:szCs w:val="24"/>
          <w:color w:val="auto"/>
        </w:rPr>
      </w:pPr>
    </w:p>
    <w:p>
      <w:pPr>
        <w:ind w:left="3860"/>
        <w:spacing w:after="0"/>
        <w:rPr>
          <w:sz w:val="20"/>
          <w:szCs w:val="20"/>
          <w:color w:val="auto"/>
        </w:rPr>
      </w:pPr>
      <w:r>
        <w:rPr>
          <w:rFonts w:ascii="Arial" w:cs="Arial" w:eastAsia="Arial" w:hAnsi="Arial"/>
          <w:sz w:val="17"/>
          <w:szCs w:val="17"/>
          <w:color w:val="auto"/>
        </w:rPr>
        <w:t>(Registrant’s telephone number, including area code)</w:t>
      </w:r>
    </w:p>
    <w:p>
      <w:pPr>
        <w:spacing w:after="0" w:line="118"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160" w:lineRule="exact"/>
        <w:rPr>
          <w:sz w:val="24"/>
          <w:szCs w:val="24"/>
          <w:color w:val="auto"/>
        </w:rPr>
      </w:pPr>
    </w:p>
    <w:p>
      <w:pPr>
        <w:jc w:val="center"/>
        <w:ind w:left="800"/>
        <w:spacing w:after="0"/>
        <w:rPr>
          <w:sz w:val="20"/>
          <w:szCs w:val="20"/>
          <w:color w:val="auto"/>
        </w:rPr>
      </w:pPr>
      <w:r>
        <w:rPr>
          <w:rFonts w:ascii="Arial" w:cs="Arial" w:eastAsia="Arial" w:hAnsi="Arial"/>
          <w:sz w:val="16"/>
          <w:szCs w:val="16"/>
          <w:color w:val="auto"/>
        </w:rPr>
        <w:t>Title of Each Class</w:t>
      </w:r>
    </w:p>
    <w:p>
      <w:pPr>
        <w:spacing w:after="0" w:line="25" w:lineRule="exact"/>
        <w:rPr>
          <w:sz w:val="24"/>
          <w:szCs w:val="24"/>
          <w:color w:val="auto"/>
        </w:rPr>
      </w:pPr>
    </w:p>
    <w:p>
      <w:pPr>
        <w:jc w:val="center"/>
        <w:ind w:left="800"/>
        <w:spacing w:after="0"/>
        <w:rPr>
          <w:sz w:val="20"/>
          <w:szCs w:val="20"/>
          <w:color w:val="auto"/>
        </w:rPr>
      </w:pPr>
      <w:r>
        <w:rPr>
          <w:rFonts w:ascii="Arial" w:cs="Arial" w:eastAsia="Arial" w:hAnsi="Arial"/>
          <w:sz w:val="13"/>
          <w:szCs w:val="13"/>
          <w:color w:val="auto"/>
        </w:rPr>
        <w:t>Common Shares, no par value</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740"/>
        <w:spacing w:after="0"/>
        <w:rPr>
          <w:sz w:val="20"/>
          <w:szCs w:val="20"/>
          <w:color w:val="auto"/>
        </w:rPr>
      </w:pPr>
      <w:r>
        <w:rPr>
          <w:rFonts w:ascii="Arial" w:cs="Arial" w:eastAsia="Arial" w:hAnsi="Arial"/>
          <w:sz w:val="13"/>
          <w:szCs w:val="13"/>
          <w:color w:val="auto"/>
        </w:rPr>
        <w:t>Trading Symbol</w:t>
      </w:r>
    </w:p>
    <w:p>
      <w:pPr>
        <w:spacing w:after="0" w:line="60"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CVEO</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1540"/>
        <w:spacing w:after="0"/>
        <w:rPr>
          <w:sz w:val="20"/>
          <w:szCs w:val="20"/>
          <w:color w:val="auto"/>
        </w:rPr>
      </w:pPr>
      <w:r>
        <w:rPr>
          <w:rFonts w:ascii="Arial" w:cs="Arial" w:eastAsia="Arial" w:hAnsi="Arial"/>
          <w:sz w:val="13"/>
          <w:szCs w:val="13"/>
          <w:color w:val="auto"/>
        </w:rPr>
        <w:t>Name of Each Exchange on Which Registered</w:t>
      </w:r>
    </w:p>
    <w:p>
      <w:pPr>
        <w:spacing w:after="0" w:line="60"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New York Stock Exchange</w:t>
      </w:r>
    </w:p>
    <w:p>
      <w:pPr>
        <w:spacing w:after="0" w:line="108" w:lineRule="exact"/>
        <w:rPr>
          <w:sz w:val="24"/>
          <w:szCs w:val="24"/>
          <w:color w:val="auto"/>
        </w:rPr>
      </w:pPr>
    </w:p>
    <w:p>
      <w:pPr>
        <w:sectPr>
          <w:pgSz w:w="11900" w:h="16838" w:orient="portrait"/>
          <w:cols w:equalWidth="0" w:num="3">
            <w:col w:w="3580" w:space="720"/>
            <w:col w:w="1760" w:space="720"/>
            <w:col w:w="4460"/>
          </w:cols>
          <w:pgMar w:left="320" w:top="1440" w:right="339" w:bottom="1440" w:gutter="0" w:footer="0" w:header="0"/>
          <w:type w:val="continuous"/>
        </w:sectPr>
      </w:pPr>
    </w:p>
    <w:p>
      <w:pPr>
        <w:ind w:right="280"/>
        <w:spacing w:after="0" w:line="2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3260"/>
        <w:spacing w:after="0" w:line="161" w:lineRule="exact"/>
        <w:tabs>
          <w:tab w:leader="none" w:pos="3780" w:val="left"/>
          <w:tab w:leader="none" w:pos="7220" w:val="left"/>
          <w:tab w:leader="none" w:pos="77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10" w:lineRule="exact"/>
        <w:rPr>
          <w:sz w:val="24"/>
          <w:szCs w:val="24"/>
          <w:color w:val="auto"/>
        </w:rPr>
      </w:pPr>
    </w:p>
    <w:p>
      <w:pPr>
        <w:spacing w:after="0" w:line="278"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2" w:lineRule="exact"/>
        <w:rPr>
          <w:sz w:val="24"/>
          <w:szCs w:val="24"/>
          <w:color w:val="auto"/>
        </w:rPr>
      </w:pPr>
    </w:p>
    <w:p>
      <w:pPr>
        <w:ind w:left="3260"/>
        <w:spacing w:after="0" w:line="161" w:lineRule="exact"/>
        <w:tabs>
          <w:tab w:leader="none" w:pos="3780" w:val="left"/>
          <w:tab w:leader="none" w:pos="7220" w:val="left"/>
          <w:tab w:leader="none" w:pos="77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14" w:lineRule="exact"/>
        <w:rPr>
          <w:sz w:val="24"/>
          <w:szCs w:val="24"/>
          <w:color w:val="auto"/>
        </w:rPr>
      </w:pPr>
    </w:p>
    <w:p>
      <w:pPr>
        <w:ind w:right="20"/>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p>
      <w:pPr>
        <w:spacing w:after="0" w:line="150" w:lineRule="exact"/>
        <w:rPr>
          <w:sz w:val="24"/>
          <w:szCs w:val="24"/>
          <w:color w:val="auto"/>
        </w:rPr>
      </w:pPr>
    </w:p>
    <w:p>
      <w:pPr>
        <w:ind w:left="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5" w:lineRule="exact"/>
        <w:rPr>
          <w:sz w:val="24"/>
          <w:szCs w:val="24"/>
          <w:color w:val="auto"/>
        </w:rPr>
      </w:pPr>
    </w:p>
    <w:p>
      <w:pPr>
        <w:sectPr>
          <w:pgSz w:w="11900" w:h="16838" w:orient="portrait"/>
          <w:cols w:equalWidth="0" w:num="6">
            <w:col w:w="1340" w:space="560"/>
            <w:col w:w="160" w:space="420"/>
            <w:col w:w="1540" w:space="720"/>
            <w:col w:w="160" w:space="440"/>
            <w:col w:w="2260" w:space="720"/>
            <w:col w:w="2920"/>
          </w:cols>
          <w:pgMar w:left="320" w:top="1440" w:right="339" w:bottom="1440" w:gutter="0" w:footer="0" w:header="0"/>
          <w:type w:val="continuous"/>
        </w:sectPr>
      </w:pPr>
    </w:p>
    <w:p>
      <w:pPr>
        <w:spacing w:after="0" w:line="80"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64" w:lineRule="exact"/>
        <w:rPr>
          <w:sz w:val="24"/>
          <w:szCs w:val="24"/>
          <w:color w:val="auto"/>
        </w:rPr>
      </w:pPr>
    </w:p>
    <w:p>
      <w:pPr>
        <w:sectPr>
          <w:pgSz w:w="11900" w:h="16838" w:orient="portrait"/>
          <w:cols w:equalWidth="0" w:num="4">
            <w:col w:w="1280" w:space="620"/>
            <w:col w:w="160" w:space="420"/>
            <w:col w:w="1600" w:space="660"/>
            <w:col w:w="6500"/>
          </w:cols>
          <w:pgMar w:left="320" w:top="1440" w:right="339" w:bottom="1440" w:gutter="0" w:footer="0" w:header="0"/>
          <w:type w:val="continuous"/>
        </w:sectPr>
      </w:pPr>
    </w:p>
    <w:p>
      <w:pPr>
        <w:spacing w:after="0" w:line="160" w:lineRule="exact"/>
        <w:rPr>
          <w:sz w:val="24"/>
          <w:szCs w:val="24"/>
          <w:color w:val="auto"/>
        </w:rPr>
      </w:pPr>
    </w:p>
    <w:p>
      <w:pPr>
        <w:ind w:right="360"/>
        <w:spacing w:after="0" w:line="20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568960</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49" w:lineRule="exact"/>
        <w:rPr>
          <w:sz w:val="20"/>
          <w:szCs w:val="20"/>
          <w:color w:val="auto"/>
        </w:rPr>
      </w:pPr>
    </w:p>
    <w:p>
      <w:pPr>
        <w:jc w:val="both"/>
        <w:ind w:left="3260"/>
        <w:spacing w:after="0" w:line="161" w:lineRule="exact"/>
        <w:tabs>
          <w:tab w:leader="none" w:pos="3780" w:val="left"/>
          <w:tab w:leader="none" w:pos="7220" w:val="left"/>
          <w:tab w:leader="none" w:pos="77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14,745,906 common shares outstanding as of October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560705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7"/>
          <w:szCs w:val="17"/>
          <w:color w:val="auto"/>
        </w:rPr>
        <w:t>CIVEO CORPORATION</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INDEX</w:t>
      </w:r>
    </w:p>
    <w:p>
      <w:pPr>
        <w:spacing w:after="0" w:line="147" w:lineRule="exact"/>
        <w:rPr>
          <w:sz w:val="20"/>
          <w:szCs w:val="20"/>
          <w:color w:val="auto"/>
        </w:rPr>
      </w:pPr>
    </w:p>
    <w:p>
      <w:pPr>
        <w:ind w:left="10500"/>
        <w:spacing w:after="0"/>
        <w:rPr>
          <w:sz w:val="20"/>
          <w:szCs w:val="20"/>
          <w:color w:val="auto"/>
        </w:rPr>
      </w:pPr>
      <w:r>
        <w:rPr>
          <w:rFonts w:ascii="Arial" w:cs="Arial" w:eastAsia="Arial" w:hAnsi="Arial"/>
          <w:sz w:val="14"/>
          <w:szCs w:val="14"/>
          <w:b w:val="1"/>
          <w:bCs w:val="1"/>
          <w:u w:val="single" w:color="auto"/>
          <w:color w:val="auto"/>
        </w:rPr>
        <w:t>Page No.</w:t>
      </w:r>
    </w:p>
    <w:p>
      <w:pPr>
        <w:spacing w:after="0" w:line="3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6765" cy="12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6765" cy="124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 w:type="dxa"/>
            <w:vAlign w:val="bottom"/>
            <w:shd w:val="clear" w:color="auto" w:fill="CCEEFF"/>
          </w:tcPr>
          <w:p>
            <w:pPr>
              <w:spacing w:after="0"/>
              <w:rPr>
                <w:sz w:val="17"/>
                <w:szCs w:val="17"/>
                <w:color w:val="auto"/>
              </w:rPr>
            </w:pPr>
          </w:p>
        </w:tc>
        <w:tc>
          <w:tcPr>
            <w:tcW w:w="10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Consolidated Financial Statements</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Arial" w:cs="Arial" w:eastAsia="Arial" w:hAnsi="Arial"/>
                <w:sz w:val="14"/>
                <w:szCs w:val="14"/>
                <w:color w:val="auto"/>
              </w:rPr>
              <w:t>Unaudited Consolidated Statements of Operations for the Three and Nine Months Ended September 30, 2023 and 2022</w:t>
            </w:r>
          </w:p>
        </w:tc>
        <w:tc>
          <w:tcPr>
            <w:tcW w:w="140" w:type="dxa"/>
            <w:vAlign w:val="bottom"/>
            <w:gridSpan w:val="2"/>
          </w:tcPr>
          <w:p>
            <w:pPr>
              <w:jc w:val="right"/>
              <w:spacing w:after="0" w:line="144" w:lineRule="exact"/>
              <w:rPr>
                <w:sz w:val="20"/>
                <w:szCs w:val="20"/>
                <w:color w:val="auto"/>
              </w:rPr>
            </w:pPr>
            <w:r>
              <w:rPr>
                <w:rFonts w:ascii="Arial" w:cs="Arial" w:eastAsia="Arial" w:hAnsi="Arial"/>
                <w:sz w:val="14"/>
                <w:szCs w:val="14"/>
                <w:color w:val="0000FF"/>
              </w:rPr>
              <w:t>4</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560" w:type="dxa"/>
            <w:vAlign w:val="bottom"/>
            <w:shd w:val="clear" w:color="auto" w:fill="CCEEFF"/>
          </w:tcPr>
          <w:p>
            <w:pPr>
              <w:spacing w:after="0"/>
              <w:rPr>
                <w:sz w:val="12"/>
                <w:szCs w:val="12"/>
                <w:color w:val="auto"/>
              </w:rPr>
            </w:pPr>
          </w:p>
        </w:tc>
        <w:tc>
          <w:tcPr>
            <w:tcW w:w="1052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Unaudited Consolidated Statements of Comprehensive Income (Loss) for the Three and Nine Months Ended September 30, 2023 and 2022</w:t>
            </w:r>
          </w:p>
        </w:tc>
        <w:tc>
          <w:tcPr>
            <w:tcW w:w="1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0000FF"/>
              </w:rPr>
              <w:t>5</w:t>
            </w:r>
          </w:p>
        </w:tc>
        <w:tc>
          <w:tcPr>
            <w:tcW w:w="20" w:type="dxa"/>
            <w:vAlign w:val="bottom"/>
            <w:shd w:val="clear" w:color="auto" w:fill="CCEEFF"/>
          </w:tcPr>
          <w:p>
            <w:pPr>
              <w:spacing w:after="0"/>
              <w:rPr>
                <w:sz w:val="12"/>
                <w:szCs w:val="12"/>
                <w:color w:val="auto"/>
              </w:rPr>
            </w:pPr>
          </w:p>
        </w:tc>
      </w:tr>
      <w:tr>
        <w:trPr>
          <w:trHeight w:val="32"/>
        </w:trPr>
        <w:tc>
          <w:tcPr>
            <w:tcW w:w="560" w:type="dxa"/>
            <w:vAlign w:val="bottom"/>
            <w:tcBorders>
              <w:top w:val="single" w:sz="8" w:color="CCEEFF"/>
            </w:tcBorders>
            <w:shd w:val="clear" w:color="auto" w:fill="CCEEFF"/>
          </w:tcPr>
          <w:p>
            <w:pPr>
              <w:spacing w:after="0"/>
              <w:rPr>
                <w:sz w:val="2"/>
                <w:szCs w:val="2"/>
                <w:color w:val="auto"/>
              </w:rPr>
            </w:pPr>
          </w:p>
        </w:tc>
        <w:tc>
          <w:tcPr>
            <w:tcW w:w="10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Arial" w:cs="Arial" w:eastAsia="Arial" w:hAnsi="Arial"/>
                <w:sz w:val="14"/>
                <w:szCs w:val="14"/>
                <w:color w:val="auto"/>
              </w:rPr>
              <w:t>Consolidated Balance Sheets – as of September 30, 2023 (unaudited) and December 31, 2022</w:t>
            </w:r>
          </w:p>
        </w:tc>
        <w:tc>
          <w:tcPr>
            <w:tcW w:w="140" w:type="dxa"/>
            <w:vAlign w:val="bottom"/>
            <w:gridSpan w:val="2"/>
          </w:tcPr>
          <w:p>
            <w:pPr>
              <w:jc w:val="right"/>
              <w:spacing w:after="0" w:line="144" w:lineRule="exact"/>
              <w:rPr>
                <w:sz w:val="20"/>
                <w:szCs w:val="20"/>
                <w:color w:val="auto"/>
              </w:rPr>
            </w:pPr>
            <w:r>
              <w:rPr>
                <w:rFonts w:ascii="Arial" w:cs="Arial" w:eastAsia="Arial" w:hAnsi="Arial"/>
                <w:sz w:val="14"/>
                <w:szCs w:val="14"/>
                <w:color w:val="0000FF"/>
              </w:rPr>
              <w:t>6</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560" w:type="dxa"/>
            <w:vAlign w:val="bottom"/>
            <w:shd w:val="clear" w:color="auto" w:fill="CCEEFF"/>
          </w:tcPr>
          <w:p>
            <w:pPr>
              <w:spacing w:after="0"/>
              <w:rPr>
                <w:sz w:val="12"/>
                <w:szCs w:val="12"/>
                <w:color w:val="auto"/>
              </w:rPr>
            </w:pPr>
          </w:p>
        </w:tc>
        <w:tc>
          <w:tcPr>
            <w:tcW w:w="1052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Unaudited Consolidated Statements of Changes in Shareholders’ Equity for the Three and Nine Months Ended September 30, 2023 and 2022</w:t>
            </w:r>
          </w:p>
        </w:tc>
        <w:tc>
          <w:tcPr>
            <w:tcW w:w="1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0000FF"/>
              </w:rPr>
              <w:t>7</w:t>
            </w:r>
          </w:p>
        </w:tc>
        <w:tc>
          <w:tcPr>
            <w:tcW w:w="20" w:type="dxa"/>
            <w:vAlign w:val="bottom"/>
            <w:shd w:val="clear" w:color="auto" w:fill="CCEEFF"/>
          </w:tcPr>
          <w:p>
            <w:pPr>
              <w:spacing w:after="0"/>
              <w:rPr>
                <w:sz w:val="12"/>
                <w:szCs w:val="12"/>
                <w:color w:val="auto"/>
              </w:rPr>
            </w:pPr>
          </w:p>
        </w:tc>
      </w:tr>
      <w:tr>
        <w:trPr>
          <w:trHeight w:val="32"/>
        </w:trPr>
        <w:tc>
          <w:tcPr>
            <w:tcW w:w="560" w:type="dxa"/>
            <w:vAlign w:val="bottom"/>
            <w:tcBorders>
              <w:top w:val="single" w:sz="8" w:color="CCEEFF"/>
            </w:tcBorders>
            <w:shd w:val="clear" w:color="auto" w:fill="CCEEFF"/>
          </w:tcPr>
          <w:p>
            <w:pPr>
              <w:spacing w:after="0"/>
              <w:rPr>
                <w:sz w:val="2"/>
                <w:szCs w:val="2"/>
                <w:color w:val="auto"/>
              </w:rPr>
            </w:pPr>
          </w:p>
        </w:tc>
        <w:tc>
          <w:tcPr>
            <w:tcW w:w="10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Arial" w:cs="Arial" w:eastAsia="Arial" w:hAnsi="Arial"/>
                <w:sz w:val="14"/>
                <w:szCs w:val="14"/>
                <w:color w:val="auto"/>
              </w:rPr>
              <w:t>Unaudited Consolidated Statements of Cash Flows for the Nine Months Ended September 30, 2023 and 2022</w:t>
            </w:r>
          </w:p>
        </w:tc>
        <w:tc>
          <w:tcPr>
            <w:tcW w:w="140" w:type="dxa"/>
            <w:vAlign w:val="bottom"/>
            <w:gridSpan w:val="2"/>
          </w:tcPr>
          <w:p>
            <w:pPr>
              <w:jc w:val="right"/>
              <w:spacing w:after="0" w:line="144" w:lineRule="exact"/>
              <w:rPr>
                <w:sz w:val="20"/>
                <w:szCs w:val="20"/>
                <w:color w:val="auto"/>
              </w:rPr>
            </w:pPr>
            <w:r>
              <w:rPr>
                <w:rFonts w:ascii="Arial" w:cs="Arial" w:eastAsia="Arial" w:hAnsi="Arial"/>
                <w:sz w:val="14"/>
                <w:szCs w:val="14"/>
                <w:color w:val="0000FF"/>
              </w:rPr>
              <w:t>8</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560" w:type="dxa"/>
            <w:vAlign w:val="bottom"/>
            <w:shd w:val="clear" w:color="auto" w:fill="CCEEFF"/>
          </w:tcPr>
          <w:p>
            <w:pPr>
              <w:spacing w:after="0"/>
              <w:rPr>
                <w:sz w:val="15"/>
                <w:szCs w:val="15"/>
                <w:color w:val="auto"/>
              </w:rPr>
            </w:pPr>
          </w:p>
        </w:tc>
        <w:tc>
          <w:tcPr>
            <w:tcW w:w="10520" w:type="dxa"/>
            <w:vAlign w:val="bottom"/>
            <w:shd w:val="clear" w:color="auto" w:fill="CCEEFF"/>
          </w:tcPr>
          <w:p>
            <w:pPr>
              <w:ind w:left="80"/>
              <w:spacing w:after="0" w:line="144" w:lineRule="exact"/>
              <w:rPr>
                <w:sz w:val="20"/>
                <w:szCs w:val="20"/>
                <w:color w:val="auto"/>
              </w:rPr>
            </w:pPr>
            <w:r>
              <w:rPr>
                <w:rFonts w:ascii="Arial" w:cs="Arial" w:eastAsia="Arial" w:hAnsi="Arial"/>
                <w:sz w:val="14"/>
                <w:szCs w:val="14"/>
                <w:color w:val="auto"/>
              </w:rPr>
              <w:t>Notes to Unaudited Consolidated Financial Statements</w:t>
            </w:r>
          </w:p>
        </w:tc>
        <w:tc>
          <w:tcPr>
            <w:tcW w:w="1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0000FF"/>
              </w:rPr>
              <w:t>9</w:t>
            </w:r>
          </w:p>
        </w:tc>
        <w:tc>
          <w:tcPr>
            <w:tcW w:w="20" w:type="dxa"/>
            <w:vAlign w:val="bottom"/>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Cautionary Statement Regarding Forward-Looking Statements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Arial" w:cs="Arial" w:eastAsia="Arial" w:hAnsi="Arial"/>
                <w:sz w:val="14"/>
                <w:szCs w:val="14"/>
                <w:color w:val="0000FF"/>
                <w:w w:val="76"/>
              </w:rPr>
              <w:t>19</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Arial" w:cs="Arial" w:eastAsia="Arial" w:hAnsi="Arial"/>
                <w:sz w:val="14"/>
                <w:szCs w:val="14"/>
                <w:color w:val="0000FF"/>
                <w:w w:val="76"/>
              </w:rPr>
              <w:t>19</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Item 3.  Quantitative and Qualitative Disclosures About Market Risk</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Arial" w:cs="Arial" w:eastAsia="Arial" w:hAnsi="Arial"/>
                <w:sz w:val="14"/>
                <w:szCs w:val="14"/>
                <w:color w:val="0000FF"/>
                <w:w w:val="76"/>
              </w:rPr>
              <w:t>34</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Item 4.  Controls and Procedures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Arial" w:cs="Arial" w:eastAsia="Arial" w:hAnsi="Arial"/>
                <w:sz w:val="14"/>
                <w:szCs w:val="14"/>
                <w:color w:val="0000FF"/>
                <w:w w:val="76"/>
              </w:rPr>
              <w:t>34</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560" w:type="dxa"/>
            <w:vAlign w:val="bottom"/>
            <w:tcBorders>
              <w:top w:val="single" w:sz="8" w:color="CCEEFF"/>
            </w:tcBorders>
          </w:tcPr>
          <w:p>
            <w:pPr>
              <w:spacing w:after="0"/>
              <w:rPr>
                <w:sz w:val="18"/>
                <w:szCs w:val="18"/>
                <w:color w:val="auto"/>
              </w:rPr>
            </w:pPr>
          </w:p>
        </w:tc>
        <w:tc>
          <w:tcPr>
            <w:tcW w:w="10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7"/>
        </w:trPr>
        <w:tc>
          <w:tcPr>
            <w:tcW w:w="560" w:type="dxa"/>
            <w:vAlign w:val="bottom"/>
          </w:tcPr>
          <w:p>
            <w:pPr>
              <w:spacing w:after="0"/>
              <w:rPr>
                <w:sz w:val="16"/>
                <w:szCs w:val="16"/>
                <w:color w:val="auto"/>
              </w:rPr>
            </w:pPr>
          </w:p>
        </w:tc>
        <w:tc>
          <w:tcPr>
            <w:tcW w:w="10520" w:type="dxa"/>
            <w:vAlign w:val="bottom"/>
          </w:tcPr>
          <w:p>
            <w:pPr>
              <w:ind w:left="840"/>
              <w:spacing w:after="0"/>
              <w:rPr>
                <w:sz w:val="20"/>
                <w:szCs w:val="20"/>
                <w:color w:val="auto"/>
              </w:rPr>
            </w:pPr>
            <w:r>
              <w:rPr>
                <w:rFonts w:ascii="Arial" w:cs="Arial" w:eastAsia="Arial" w:hAnsi="Arial"/>
                <w:sz w:val="14"/>
                <w:szCs w:val="14"/>
                <w:color w:val="auto"/>
              </w:rPr>
              <w:t>Part II -- OTHER INFORMATION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8"/>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Arial" w:cs="Arial" w:eastAsia="Arial" w:hAnsi="Arial"/>
                <w:sz w:val="14"/>
                <w:szCs w:val="14"/>
                <w:color w:val="auto"/>
              </w:rPr>
              <w:t>Item 1.</w:t>
            </w:r>
          </w:p>
        </w:tc>
        <w:tc>
          <w:tcPr>
            <w:tcW w:w="10520" w:type="dxa"/>
            <w:vAlign w:val="bottom"/>
          </w:tcPr>
          <w:p>
            <w:pPr>
              <w:ind w:left="40"/>
              <w:spacing w:after="0" w:line="144" w:lineRule="exact"/>
              <w:rPr>
                <w:sz w:val="20"/>
                <w:szCs w:val="20"/>
                <w:color w:val="auto"/>
              </w:rPr>
            </w:pPr>
            <w:r>
              <w:rPr>
                <w:rFonts w:ascii="Arial" w:cs="Arial" w:eastAsia="Arial" w:hAnsi="Arial"/>
                <w:sz w:val="14"/>
                <w:szCs w:val="14"/>
                <w:color w:val="auto"/>
              </w:rPr>
              <w:t>Legal Proceedings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Arial" w:cs="Arial" w:eastAsia="Arial" w:hAnsi="Arial"/>
                <w:sz w:val="14"/>
                <w:szCs w:val="14"/>
                <w:color w:val="0000FF"/>
                <w:w w:val="76"/>
              </w:rPr>
              <w:t>35</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Arial" w:cs="Arial" w:eastAsia="Arial" w:hAnsi="Arial"/>
                <w:sz w:val="14"/>
                <w:szCs w:val="14"/>
                <w:color w:val="auto"/>
                <w:w w:val="99"/>
              </w:rPr>
              <w:t>Item 1A.</w:t>
            </w:r>
          </w:p>
        </w:tc>
        <w:tc>
          <w:tcPr>
            <w:tcW w:w="10520" w:type="dxa"/>
            <w:vAlign w:val="bottom"/>
          </w:tcPr>
          <w:p>
            <w:pPr>
              <w:ind w:left="20"/>
              <w:spacing w:after="0" w:line="144" w:lineRule="exact"/>
              <w:rPr>
                <w:sz w:val="20"/>
                <w:szCs w:val="20"/>
                <w:color w:val="auto"/>
              </w:rPr>
            </w:pPr>
            <w:r>
              <w:rPr>
                <w:rFonts w:ascii="Arial" w:cs="Arial" w:eastAsia="Arial" w:hAnsi="Arial"/>
                <w:sz w:val="14"/>
                <w:szCs w:val="14"/>
                <w:color w:val="auto"/>
              </w:rPr>
              <w:t>Risk Factors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Arial" w:cs="Arial" w:eastAsia="Arial" w:hAnsi="Arial"/>
                <w:sz w:val="14"/>
                <w:szCs w:val="14"/>
                <w:color w:val="0000FF"/>
                <w:w w:val="76"/>
              </w:rPr>
              <w:t>35</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Item 2. Unregistered Sales of Equity Securities and Use of Proceeds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Arial" w:cs="Arial" w:eastAsia="Arial" w:hAnsi="Arial"/>
                <w:sz w:val="14"/>
                <w:szCs w:val="14"/>
                <w:color w:val="0000FF"/>
                <w:w w:val="76"/>
              </w:rPr>
              <w:t>35</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Arial" w:cs="Arial" w:eastAsia="Arial" w:hAnsi="Arial"/>
                <w:sz w:val="14"/>
                <w:szCs w:val="14"/>
                <w:color w:val="auto"/>
              </w:rPr>
              <w:t>Item 5.</w:t>
            </w:r>
          </w:p>
        </w:tc>
        <w:tc>
          <w:tcPr>
            <w:tcW w:w="10520" w:type="dxa"/>
            <w:vAlign w:val="bottom"/>
          </w:tcPr>
          <w:p>
            <w:pPr>
              <w:ind w:left="40"/>
              <w:spacing w:after="0" w:line="144" w:lineRule="exact"/>
              <w:rPr>
                <w:sz w:val="20"/>
                <w:szCs w:val="20"/>
                <w:color w:val="auto"/>
              </w:rPr>
            </w:pPr>
            <w:r>
              <w:rPr>
                <w:rFonts w:ascii="Arial" w:cs="Arial" w:eastAsia="Arial" w:hAnsi="Arial"/>
                <w:sz w:val="14"/>
                <w:szCs w:val="14"/>
                <w:color w:val="auto"/>
              </w:rPr>
              <w:t>Other Information</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Arial" w:cs="Arial" w:eastAsia="Arial" w:hAnsi="Arial"/>
                <w:sz w:val="14"/>
                <w:szCs w:val="14"/>
                <w:color w:val="0000FF"/>
                <w:w w:val="76"/>
              </w:rPr>
              <w:t>35</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Arial" w:cs="Arial" w:eastAsia="Arial" w:hAnsi="Arial"/>
                <w:sz w:val="14"/>
                <w:szCs w:val="14"/>
                <w:color w:val="auto"/>
              </w:rPr>
              <w:t>Item 6.</w:t>
            </w:r>
          </w:p>
        </w:tc>
        <w:tc>
          <w:tcPr>
            <w:tcW w:w="10520" w:type="dxa"/>
            <w:vAlign w:val="bottom"/>
          </w:tcPr>
          <w:p>
            <w:pPr>
              <w:ind w:left="40"/>
              <w:spacing w:after="0" w:line="144" w:lineRule="exact"/>
              <w:rPr>
                <w:sz w:val="20"/>
                <w:szCs w:val="20"/>
                <w:color w:val="auto"/>
              </w:rPr>
            </w:pPr>
            <w:r>
              <w:rPr>
                <w:rFonts w:ascii="Arial" w:cs="Arial" w:eastAsia="Arial" w:hAnsi="Arial"/>
                <w:sz w:val="14"/>
                <w:szCs w:val="14"/>
                <w:color w:val="auto"/>
              </w:rPr>
              <w:t>Exhibits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Arial" w:cs="Arial" w:eastAsia="Arial" w:hAnsi="Arial"/>
                <w:sz w:val="14"/>
                <w:szCs w:val="14"/>
                <w:color w:val="0000FF"/>
                <w:w w:val="76"/>
              </w:rPr>
              <w:t>36</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Arial" w:cs="Arial" w:eastAsia="Arial" w:hAnsi="Arial"/>
                <w:sz w:val="14"/>
                <w:szCs w:val="14"/>
                <w:color w:val="auto"/>
              </w:rPr>
              <w:t>(a) Index of Exhibits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Arial" w:cs="Arial" w:eastAsia="Arial" w:hAnsi="Arial"/>
                <w:sz w:val="14"/>
                <w:szCs w:val="14"/>
                <w:color w:val="0000FF"/>
                <w:w w:val="76"/>
              </w:rPr>
              <w:t>36</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Signature Page</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Arial" w:cs="Arial" w:eastAsia="Arial" w:hAnsi="Arial"/>
                <w:sz w:val="14"/>
                <w:szCs w:val="14"/>
                <w:color w:val="0000FF"/>
                <w:w w:val="76"/>
              </w:rPr>
              <w:t>37</w:t>
            </w:r>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7"/>
          <w:szCs w:val="17"/>
          <w:b w:val="1"/>
          <w:bCs w:val="1"/>
          <w:color w:val="auto"/>
        </w:rPr>
        <w:t>PART I -- FINANCIAL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UNAUDITED CONSOLIDATED STATEMENTS OF OPERATIONS</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9"/>
        </w:trPr>
        <w:tc>
          <w:tcPr>
            <w:tcW w:w="6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w w:val="89"/>
              </w:rPr>
              <w:t>2022</w:t>
            </w:r>
          </w:p>
        </w:tc>
      </w:tr>
      <w:tr>
        <w:trPr>
          <w:trHeight w:val="17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87"/>
        </w:trPr>
        <w:tc>
          <w:tcPr>
            <w:tcW w:w="6040" w:type="dxa"/>
            <w:vAlign w:val="bottom"/>
          </w:tcPr>
          <w:p>
            <w:pPr>
              <w:ind w:left="120"/>
              <w:spacing w:after="0"/>
              <w:rPr>
                <w:sz w:val="20"/>
                <w:szCs w:val="20"/>
                <w:color w:val="auto"/>
              </w:rPr>
            </w:pPr>
            <w:r>
              <w:rPr>
                <w:rFonts w:ascii="Arial" w:cs="Arial" w:eastAsia="Arial" w:hAnsi="Arial"/>
                <w:sz w:val="14"/>
                <w:szCs w:val="14"/>
                <w:color w:val="auto"/>
              </w:rPr>
              <w:t>Service and other</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183,229</w:t>
            </w:r>
          </w:p>
        </w:tc>
        <w:tc>
          <w:tcPr>
            <w:tcW w:w="12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177,504</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529,172</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514,328</w:t>
            </w:r>
          </w:p>
        </w:tc>
      </w:tr>
      <w:tr>
        <w:trPr>
          <w:trHeight w:val="205"/>
        </w:trPr>
        <w:tc>
          <w:tcPr>
            <w:tcW w:w="6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Rental</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18,080</w:t>
            </w:r>
          </w:p>
        </w:tc>
      </w:tr>
      <w:tr>
        <w:trPr>
          <w:trHeight w:val="189"/>
        </w:trPr>
        <w:tc>
          <w:tcPr>
            <w:tcW w:w="60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Product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938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2,451</w:t>
            </w:r>
          </w:p>
        </w:tc>
      </w:tr>
      <w:tr>
        <w:trPr>
          <w:trHeight w:val="196"/>
        </w:trPr>
        <w:tc>
          <w:tcPr>
            <w:tcW w:w="60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183,572</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184,227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530,006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534,859</w:t>
            </w:r>
          </w:p>
        </w:tc>
      </w:tr>
      <w:tr>
        <w:trPr>
          <w:trHeight w:val="167"/>
        </w:trPr>
        <w:tc>
          <w:tcPr>
            <w:tcW w:w="6040" w:type="dxa"/>
            <w:vAlign w:val="bottom"/>
          </w:tcPr>
          <w:p>
            <w:pPr>
              <w:ind w:left="20"/>
              <w:spacing w:after="0" w:line="158" w:lineRule="exact"/>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5"/>
        </w:trPr>
        <w:tc>
          <w:tcPr>
            <w:tcW w:w="6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 and other costs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130,183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127,955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394,953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373,123</w:t>
            </w:r>
          </w:p>
        </w:tc>
      </w:tr>
      <w:tr>
        <w:trPr>
          <w:trHeight w:val="187"/>
        </w:trPr>
        <w:tc>
          <w:tcPr>
            <w:tcW w:w="6040" w:type="dxa"/>
            <w:vAlign w:val="bottom"/>
          </w:tcPr>
          <w:p>
            <w:pPr>
              <w:ind w:left="120"/>
              <w:spacing w:after="0"/>
              <w:rPr>
                <w:sz w:val="20"/>
                <w:szCs w:val="20"/>
                <w:color w:val="auto"/>
              </w:rPr>
            </w:pPr>
            <w:r>
              <w:rPr>
                <w:rFonts w:ascii="Arial" w:cs="Arial" w:eastAsia="Arial" w:hAnsi="Arial"/>
                <w:sz w:val="14"/>
                <w:szCs w:val="14"/>
                <w:color w:val="auto"/>
              </w:rPr>
              <w:t>Rental costs</w:t>
            </w:r>
          </w:p>
        </w:tc>
        <w:tc>
          <w:tcPr>
            <w:tcW w:w="2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5,024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14,830</w:t>
            </w:r>
          </w:p>
        </w:tc>
      </w:tr>
      <w:tr>
        <w:trPr>
          <w:trHeight w:val="205"/>
        </w:trPr>
        <w:tc>
          <w:tcPr>
            <w:tcW w:w="6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Product costs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r>
      <w:tr>
        <w:trPr>
          <w:trHeight w:val="187"/>
        </w:trPr>
        <w:tc>
          <w:tcPr>
            <w:tcW w:w="604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20,236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17,677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52,885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50,572</w:t>
            </w:r>
          </w:p>
        </w:tc>
      </w:tr>
      <w:tr>
        <w:trPr>
          <w:trHeight w:val="205"/>
        </w:trPr>
        <w:tc>
          <w:tcPr>
            <w:tcW w:w="6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22,608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59,277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65,818</w:t>
            </w:r>
          </w:p>
        </w:tc>
      </w:tr>
      <w:tr>
        <w:trPr>
          <w:trHeight w:val="189"/>
        </w:trPr>
        <w:tc>
          <w:tcPr>
            <w:tcW w:w="60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operating expense (income)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r>
      <w:tr>
        <w:trPr>
          <w:trHeight w:val="196"/>
        </w:trPr>
        <w:tc>
          <w:tcPr>
            <w:tcW w:w="60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167,533</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173,442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507,699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505,595</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16,039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10,785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22,307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29,264</w:t>
            </w:r>
          </w:p>
        </w:tc>
      </w:tr>
      <w:tr>
        <w:trPr>
          <w:trHeight w:val="218"/>
        </w:trPr>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87"/>
        </w:trPr>
        <w:tc>
          <w:tcPr>
            <w:tcW w:w="60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(3,365)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(8,077)</w:t>
            </w:r>
          </w:p>
        </w:tc>
      </w:tr>
      <w:tr>
        <w:trPr>
          <w:trHeight w:val="205"/>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8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(4,709)</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2,179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4,290</w:t>
            </w:r>
          </w:p>
        </w:tc>
      </w:tr>
      <w:tr>
        <w:trPr>
          <w:trHeight w:val="196"/>
        </w:trPr>
        <w:tc>
          <w:tcPr>
            <w:tcW w:w="6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before income taxes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9,976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25,492</w:t>
            </w:r>
          </w:p>
        </w:tc>
      </w:tr>
      <w:tr>
        <w:trPr>
          <w:trHeight w:val="18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benefit (expense)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(7,091)</w:t>
            </w:r>
          </w:p>
        </w:tc>
      </w:tr>
      <w:tr>
        <w:trPr>
          <w:trHeight w:val="196"/>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6,263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18,401</w:t>
            </w:r>
          </w:p>
        </w:tc>
      </w:tr>
      <w:tr>
        <w:trPr>
          <w:trHeight w:val="189"/>
        </w:trPr>
        <w:tc>
          <w:tcPr>
            <w:tcW w:w="60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Net income (loss) attributable to noncontrolling interest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546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1,706</w:t>
            </w:r>
          </w:p>
        </w:tc>
      </w:tr>
      <w:tr>
        <w:trPr>
          <w:trHeight w:val="196"/>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Civeo Corporation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16,695</w:t>
            </w:r>
          </w:p>
        </w:tc>
      </w:tr>
      <w:tr>
        <w:trPr>
          <w:trHeight w:val="189"/>
        </w:trPr>
        <w:tc>
          <w:tcPr>
            <w:tcW w:w="6040" w:type="dxa"/>
            <w:vAlign w:val="bottom"/>
          </w:tcPr>
          <w:p>
            <w:pPr>
              <w:ind w:left="120"/>
              <w:spacing w:after="0"/>
              <w:rPr>
                <w:sz w:val="20"/>
                <w:szCs w:val="20"/>
                <w:color w:val="auto"/>
              </w:rPr>
            </w:pPr>
            <w:r>
              <w:rPr>
                <w:rFonts w:ascii="Arial" w:cs="Arial" w:eastAsia="Arial" w:hAnsi="Arial"/>
                <w:sz w:val="14"/>
                <w:szCs w:val="14"/>
                <w:color w:val="auto"/>
              </w:rPr>
              <w:t>Less: Dividends attributable to Class A preferred shares</w:t>
            </w:r>
          </w:p>
        </w:tc>
        <w:tc>
          <w:tcPr>
            <w:tcW w:w="2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1,469</w:t>
            </w:r>
          </w:p>
        </w:tc>
      </w:tr>
      <w:tr>
        <w:trPr>
          <w:trHeight w:val="221"/>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Civeo common shareholders</w:t>
            </w: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5,225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15,226</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9"/>
        </w:trPr>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89"/>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Per Share Data (see Note 6)</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3"/>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net income per share attributable to Civeo Corporation common shareholders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0.32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w:t>
            </w:r>
          </w:p>
        </w:tc>
      </w:t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net income per share attributable to Civeo Corporation common shareholders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0.32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0.91</w:t>
            </w:r>
          </w:p>
        </w:tc>
      </w:t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87"/>
        </w:trPr>
        <w:tc>
          <w:tcPr>
            <w:tcW w:w="604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14,814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13,932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14,980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14,058</w:t>
            </w:r>
          </w:p>
        </w:tc>
      </w:tr>
      <w:tr>
        <w:trPr>
          <w:trHeight w:val="205"/>
        </w:trPr>
        <w:tc>
          <w:tcPr>
            <w:tcW w:w="6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14,064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14,220</w:t>
            </w:r>
          </w:p>
        </w:tc>
      </w:t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per common share</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70485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0"/>
          </w:cols>
          <w:pgMar w:left="480" w:top="1376" w:right="49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UNAUDITED CONSOLIDATED STATEMENTS OF COMPREHENSIVE INCOME (LOSS)</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9"/>
        </w:trPr>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w w:val="96"/>
              </w:rPr>
              <w:t>2022</w:t>
            </w:r>
          </w:p>
        </w:tc>
      </w:tr>
      <w:tr>
        <w:trPr>
          <w:trHeight w:val="235"/>
        </w:trPr>
        <w:tc>
          <w:tcPr>
            <w:tcW w:w="5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9,223</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7,079</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18,401</w:t>
            </w:r>
          </w:p>
        </w:tc>
      </w:tr>
      <w:tr>
        <w:trPr>
          <w:trHeight w:val="131"/>
        </w:trPr>
        <w:tc>
          <w:tcPr>
            <w:tcW w:w="5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96"/>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 net of taxes: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89"/>
        </w:trPr>
        <w:tc>
          <w:tcPr>
            <w:tcW w:w="59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Foreign currency translation adjustment, net of zero taxes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(32,757)</w:t>
            </w: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Total other comprehensive loss, net of taxes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(6,795)</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(20,745)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(6,890)</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(32,757)</w:t>
            </w:r>
          </w:p>
        </w:tc>
      </w:tr>
      <w:tr>
        <w:trPr>
          <w:trHeight w:val="131"/>
        </w:trPr>
        <w:tc>
          <w:tcPr>
            <w:tcW w:w="5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96"/>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Comprehensive income (loss)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(14,356)</w:t>
            </w:r>
          </w:p>
        </w:tc>
      </w:tr>
      <w:tr>
        <w:trPr>
          <w:trHeight w:val="189"/>
        </w:trPr>
        <w:tc>
          <w:tcPr>
            <w:tcW w:w="59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Comprehensive income (loss) attributable to noncontrolling interest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1,474</w:t>
            </w:r>
          </w:p>
        </w:tc>
      </w:tr>
      <w:tr>
        <w:trPr>
          <w:trHeight w:val="221"/>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Comprehensive income (loss) attributable to Civeo Corporation</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(15,830)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70485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820"/>
          </w:cols>
          <w:pgMar w:left="540" w:top="1376" w:right="539" w:bottom="1440" w:gutter="0" w:footer="0" w:header="0"/>
        </w:sectPr>
      </w:pPr>
    </w:p>
    <w:bookmarkStart w:id="5" w:name="page6"/>
    <w:bookmarkEnd w:id="5"/>
    <w:p>
      <w:pPr>
        <w:jc w:val="center"/>
        <w:ind w:right="80"/>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CONSOLIDATED BALANCE SHEETS</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(In Thousands, Excluding Share Amounts)</w:t>
      </w:r>
    </w:p>
    <w:p>
      <w:pPr>
        <w:sectPr>
          <w:pgSz w:w="11900" w:h="16838" w:orient="portrait"/>
          <w:cols w:equalWidth="0" w:num="1">
            <w:col w:w="11180"/>
          </w:cols>
          <w:pgMar w:left="480" w:top="13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assets: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 and cash equivalents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Accounts receivable, net</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Inventories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Prepaid expenses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current assets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Assets held for sale</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current assets</w:t>
      </w:r>
    </w:p>
    <w:p>
      <w:pPr>
        <w:spacing w:after="0" w:line="192" w:lineRule="exact"/>
        <w:rPr>
          <w:sz w:val="20"/>
          <w:szCs w:val="20"/>
          <w:color w:val="auto"/>
        </w:rPr>
      </w:pPr>
    </w:p>
    <w:p>
      <w:pPr>
        <w:ind w:left="20"/>
        <w:spacing w:after="0" w:line="292" w:lineRule="auto"/>
        <w:rPr>
          <w:sz w:val="20"/>
          <w:szCs w:val="20"/>
          <w:color w:val="auto"/>
        </w:rPr>
      </w:pPr>
      <w:r>
        <w:rPr>
          <w:rFonts w:ascii="Arial" w:cs="Arial" w:eastAsia="Arial" w:hAnsi="Arial"/>
          <w:sz w:val="14"/>
          <w:szCs w:val="14"/>
          <w:color w:val="auto"/>
        </w:rPr>
        <w:t>Property, plant and equipment, net Goodwill</w:t>
      </w:r>
    </w:p>
    <w:p>
      <w:pPr>
        <w:ind w:left="20"/>
        <w:spacing w:after="0"/>
        <w:rPr>
          <w:sz w:val="20"/>
          <w:szCs w:val="20"/>
          <w:color w:val="auto"/>
        </w:rPr>
      </w:pPr>
      <w:r>
        <w:rPr>
          <w:rFonts w:ascii="Arial" w:cs="Arial" w:eastAsia="Arial" w:hAnsi="Arial"/>
          <w:sz w:val="14"/>
          <w:szCs w:val="14"/>
          <w:color w:val="auto"/>
        </w:rPr>
        <w:t>Other intangible assets, net</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Operating lease right-of-use assets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noncurrent assets</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1180" w:type="dxa"/>
        <w:tblCellMar>
          <w:top w:w="0" w:type="dxa"/>
          <w:left w:w="0" w:type="dxa"/>
          <w:bottom w:w="0" w:type="dxa"/>
          <w:right w:w="0" w:type="dxa"/>
        </w:tblCellMar>
      </w:tblPr>
      <w:tr>
        <w:trPr>
          <w:trHeight w:val="182"/>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5"/>
                <w:szCs w:val="15"/>
                <w:color w:val="auto"/>
              </w:rPr>
            </w:pPr>
          </w:p>
        </w:tc>
        <w:tc>
          <w:tcPr>
            <w:tcW w:w="1460" w:type="dxa"/>
            <w:vAlign w:val="bottom"/>
          </w:tcPr>
          <w:p>
            <w:pPr>
              <w:jc w:val="right"/>
              <w:ind w:right="170"/>
              <w:spacing w:after="0"/>
              <w:rPr>
                <w:sz w:val="20"/>
                <w:szCs w:val="20"/>
                <w:color w:val="auto"/>
              </w:rPr>
            </w:pPr>
            <w:r>
              <w:rPr>
                <w:rFonts w:ascii="Arial" w:cs="Arial" w:eastAsia="Arial" w:hAnsi="Arial"/>
                <w:sz w:val="14"/>
                <w:szCs w:val="14"/>
                <w:b w:val="1"/>
                <w:bCs w:val="1"/>
                <w:color w:val="auto"/>
                <w:w w:val="95"/>
              </w:rPr>
              <w:t>December 31, 2022</w:t>
            </w:r>
          </w:p>
        </w:tc>
      </w:tr>
      <w:tr>
        <w:trPr>
          <w:trHeight w:val="2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71"/>
        </w:trPr>
        <w:tc>
          <w:tcPr>
            <w:tcW w:w="4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430"/>
              <w:spacing w:after="0"/>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191"/>
        </w:trPr>
        <w:tc>
          <w:tcPr>
            <w:tcW w:w="4320" w:type="dxa"/>
            <w:vAlign w:val="bottom"/>
            <w:gridSpan w:val="2"/>
          </w:tcPr>
          <w:p>
            <w:pPr>
              <w:jc w:val="right"/>
              <w:ind w:right="3750"/>
              <w:spacing w:after="0"/>
              <w:rPr>
                <w:sz w:val="20"/>
                <w:szCs w:val="20"/>
                <w:color w:val="auto"/>
              </w:rPr>
            </w:pPr>
            <w:r>
              <w:rPr>
                <w:rFonts w:ascii="Arial" w:cs="Arial" w:eastAsia="Arial" w:hAnsi="Arial"/>
                <w:sz w:val="14"/>
                <w:szCs w:val="14"/>
                <w:color w:val="auto"/>
                <w:w w:val="86"/>
              </w:rPr>
              <w:t>ASSETS</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549"/>
        </w:trPr>
        <w:tc>
          <w:tcPr>
            <w:tcW w:w="432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7,817</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7,954</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153,946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119,755</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6,272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6,907</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11,158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7,199</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3,081</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8,185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8,653</w:t>
            </w:r>
          </w:p>
        </w:tc>
      </w:tr>
      <w:tr>
        <w:trPr>
          <w:trHeight w:val="23"/>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190,629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153,549</w:t>
            </w:r>
          </w:p>
        </w:tc>
      </w:tr>
      <w:tr>
        <w:trPr>
          <w:trHeight w:val="347"/>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263,436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301,890</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7,290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7,672</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77,547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81,747</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12,866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15,722</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5,604</w:t>
            </w:r>
          </w:p>
        </w:tc>
      </w:tr>
      <w:tr>
        <w:trPr>
          <w:trHeight w:val="23"/>
        </w:trPr>
        <w:tc>
          <w:tcPr>
            <w:tcW w:w="43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2"/>
        </w:trPr>
        <w:tc>
          <w:tcPr>
            <w:tcW w:w="41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556,594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566,184</w:t>
            </w:r>
          </w:p>
        </w:tc>
      </w:tr>
      <w:tr>
        <w:trPr>
          <w:trHeight w:val="26"/>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-2115185</wp:posOffset>
            </wp:positionV>
            <wp:extent cx="7098665" cy="124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-1891665</wp:posOffset>
            </wp:positionV>
            <wp:extent cx="7098665" cy="124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-1642745</wp:posOffset>
            </wp:positionV>
            <wp:extent cx="7098665" cy="124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-1393825</wp:posOffset>
            </wp:positionV>
            <wp:extent cx="7098665" cy="124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-1144270</wp:posOffset>
            </wp:positionV>
            <wp:extent cx="7098665" cy="124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-887095</wp:posOffset>
            </wp:positionV>
            <wp:extent cx="7098665" cy="99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665" cy="9969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-662940</wp:posOffset>
            </wp:positionV>
            <wp:extent cx="7098665" cy="124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-414020</wp:posOffset>
            </wp:positionV>
            <wp:extent cx="7098665" cy="124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-165100</wp:posOffset>
            </wp:positionV>
            <wp:extent cx="7098665" cy="149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665" cy="14922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-98425</wp:posOffset>
            </wp:positionV>
            <wp:extent cx="7098665" cy="124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665" cy="12446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1940" w:space="520"/>
            <w:col w:w="8720"/>
          </w:cols>
          <w:pgMar w:left="480" w:top="137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8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540" w:type="dxa"/>
            <w:vAlign w:val="bottom"/>
          </w:tcPr>
          <w:p>
            <w:pPr>
              <w:jc w:val="right"/>
              <w:ind w:right="39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53,124</w:t>
            </w:r>
          </w:p>
        </w:tc>
        <w:tc>
          <w:tcPr>
            <w:tcW w:w="100" w:type="dxa"/>
            <w:vAlign w:val="bottom"/>
          </w:tcPr>
          <w:p>
            <w:pPr>
              <w:spacing w:after="0"/>
              <w:rPr>
                <w:sz w:val="16"/>
                <w:szCs w:val="16"/>
                <w:color w:val="auto"/>
              </w:rPr>
            </w:pPr>
          </w:p>
        </w:tc>
        <w:tc>
          <w:tcPr>
            <w:tcW w:w="560" w:type="dxa"/>
            <w:vAlign w:val="bottom"/>
          </w:tcPr>
          <w:p>
            <w:pPr>
              <w:jc w:val="right"/>
              <w:ind w:right="41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51,087</w:t>
            </w:r>
          </w:p>
        </w:tc>
        <w:tc>
          <w:tcPr>
            <w:tcW w:w="0" w:type="dxa"/>
            <w:vAlign w:val="bottom"/>
          </w:tcPr>
          <w:p>
            <w:pPr>
              <w:spacing w:after="0"/>
              <w:rPr>
                <w:sz w:val="1"/>
                <w:szCs w:val="1"/>
                <w:color w:val="auto"/>
              </w:rPr>
            </w:pPr>
          </w:p>
        </w:tc>
      </w:tr>
      <w:tr>
        <w:trPr>
          <w:trHeight w:val="205"/>
        </w:trPr>
        <w:tc>
          <w:tcPr>
            <w:tcW w:w="7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liabilities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48,693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39,211</w:t>
            </w:r>
          </w:p>
        </w:tc>
        <w:tc>
          <w:tcPr>
            <w:tcW w:w="0" w:type="dxa"/>
            <w:vAlign w:val="bottom"/>
          </w:tcPr>
          <w:p>
            <w:pPr>
              <w:spacing w:after="0"/>
              <w:rPr>
                <w:sz w:val="1"/>
                <w:szCs w:val="1"/>
                <w:color w:val="auto"/>
              </w:rPr>
            </w:pPr>
          </w:p>
        </w:tc>
      </w:tr>
      <w:tr>
        <w:trPr>
          <w:trHeight w:val="187"/>
        </w:trPr>
        <w:tc>
          <w:tcPr>
            <w:tcW w:w="7800" w:type="dxa"/>
            <w:vAlign w:val="bottom"/>
          </w:tcPr>
          <w:p>
            <w:pPr>
              <w:ind w:left="140"/>
              <w:spacing w:after="0"/>
              <w:rPr>
                <w:sz w:val="20"/>
                <w:szCs w:val="20"/>
                <w:color w:val="auto"/>
              </w:rPr>
            </w:pPr>
            <w:r>
              <w:rPr>
                <w:rFonts w:ascii="Arial" w:cs="Arial" w:eastAsia="Arial" w:hAnsi="Arial"/>
                <w:sz w:val="14"/>
                <w:szCs w:val="14"/>
                <w:color w:val="auto"/>
              </w:rPr>
              <w:t>Income taxes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5"/>
        </w:trPr>
        <w:tc>
          <w:tcPr>
            <w:tcW w:w="7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portion of long-term debt</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28,448</w:t>
            </w:r>
          </w:p>
        </w:tc>
        <w:tc>
          <w:tcPr>
            <w:tcW w:w="0" w:type="dxa"/>
            <w:vAlign w:val="bottom"/>
          </w:tcPr>
          <w:p>
            <w:pPr>
              <w:spacing w:after="0"/>
              <w:rPr>
                <w:sz w:val="1"/>
                <w:szCs w:val="1"/>
                <w:color w:val="auto"/>
              </w:rPr>
            </w:pPr>
          </w:p>
        </w:tc>
      </w:tr>
      <w:tr>
        <w:trPr>
          <w:trHeight w:val="187"/>
        </w:trPr>
        <w:tc>
          <w:tcPr>
            <w:tcW w:w="7800" w:type="dxa"/>
            <w:vAlign w:val="bottom"/>
          </w:tcPr>
          <w:p>
            <w:pPr>
              <w:ind w:left="140"/>
              <w:spacing w:after="0"/>
              <w:rPr>
                <w:sz w:val="20"/>
                <w:szCs w:val="20"/>
                <w:color w:val="auto"/>
              </w:rPr>
            </w:pPr>
            <w:r>
              <w:rPr>
                <w:rFonts w:ascii="Arial" w:cs="Arial" w:eastAsia="Arial" w:hAnsi="Arial"/>
                <w:sz w:val="14"/>
                <w:szCs w:val="14"/>
                <w:color w:val="auto"/>
              </w:rPr>
              <w:t>Deferred revenue</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6,884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205"/>
        </w:trPr>
        <w:tc>
          <w:tcPr>
            <w:tcW w:w="7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9,276</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8,342</w:t>
            </w:r>
          </w:p>
        </w:tc>
        <w:tc>
          <w:tcPr>
            <w:tcW w:w="0" w:type="dxa"/>
            <w:vAlign w:val="bottom"/>
          </w:tcPr>
          <w:p>
            <w:pPr>
              <w:spacing w:after="0"/>
              <w:rPr>
                <w:sz w:val="1"/>
                <w:szCs w:val="1"/>
                <w:color w:val="auto"/>
              </w:rPr>
            </w:pPr>
          </w:p>
        </w:tc>
      </w:tr>
      <w:tr>
        <w:trPr>
          <w:trHeight w:val="180"/>
        </w:trPr>
        <w:tc>
          <w:tcPr>
            <w:tcW w:w="7800" w:type="dxa"/>
            <w:vAlign w:val="bottom"/>
          </w:tcPr>
          <w:p>
            <w:pPr>
              <w:ind w:left="340"/>
              <w:spacing w:after="0"/>
              <w:rPr>
                <w:sz w:val="20"/>
                <w:szCs w:val="20"/>
                <w:color w:val="auto"/>
              </w:rPr>
            </w:pPr>
            <w:r>
              <w:rPr>
                <w:rFonts w:ascii="Arial" w:cs="Arial" w:eastAsia="Arial" w:hAnsi="Arial"/>
                <w:sz w:val="14"/>
                <w:szCs w:val="14"/>
                <w:color w:val="auto"/>
              </w:rPr>
              <w:t>Total current liabilities</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125,293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128,257</w:t>
            </w: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800" w:type="dxa"/>
            <w:vAlign w:val="bottom"/>
          </w:tcPr>
          <w:p>
            <w:pPr>
              <w:ind w:left="20"/>
              <w:spacing w:after="0"/>
              <w:rPr>
                <w:sz w:val="20"/>
                <w:szCs w:val="20"/>
                <w:color w:val="auto"/>
              </w:rPr>
            </w:pPr>
            <w:r>
              <w:rPr>
                <w:rFonts w:ascii="Arial" w:cs="Arial" w:eastAsia="Arial" w:hAnsi="Arial"/>
                <w:sz w:val="14"/>
                <w:szCs w:val="14"/>
                <w:color w:val="auto"/>
              </w:rPr>
              <w:t>Long-term debt, less current maturities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95,852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102,505</w:t>
            </w:r>
          </w:p>
        </w:tc>
        <w:tc>
          <w:tcPr>
            <w:tcW w:w="0" w:type="dxa"/>
            <w:vAlign w:val="bottom"/>
          </w:tcPr>
          <w:p>
            <w:pPr>
              <w:spacing w:after="0"/>
              <w:rPr>
                <w:sz w:val="1"/>
                <w:szCs w:val="1"/>
                <w:color w:val="auto"/>
              </w:rPr>
            </w:pPr>
          </w:p>
        </w:tc>
      </w:tr>
      <w:tr>
        <w:trPr>
          <w:trHeight w:val="205"/>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4,778</w:t>
            </w:r>
          </w:p>
        </w:tc>
        <w:tc>
          <w:tcPr>
            <w:tcW w:w="0" w:type="dxa"/>
            <w:vAlign w:val="bottom"/>
          </w:tcPr>
          <w:p>
            <w:pPr>
              <w:spacing w:after="0"/>
              <w:rPr>
                <w:sz w:val="1"/>
                <w:szCs w:val="1"/>
                <w:color w:val="auto"/>
              </w:rPr>
            </w:pPr>
          </w:p>
        </w:tc>
      </w:tr>
      <w:tr>
        <w:trPr>
          <w:trHeight w:val="187"/>
        </w:trPr>
        <w:tc>
          <w:tcPr>
            <w:tcW w:w="780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10,355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12,771</w:t>
            </w:r>
          </w:p>
        </w:tc>
        <w:tc>
          <w:tcPr>
            <w:tcW w:w="0" w:type="dxa"/>
            <w:vAlign w:val="bottom"/>
          </w:tcPr>
          <w:p>
            <w:pPr>
              <w:spacing w:after="0"/>
              <w:rPr>
                <w:sz w:val="1"/>
                <w:szCs w:val="1"/>
                <w:color w:val="auto"/>
              </w:rPr>
            </w:pPr>
          </w:p>
        </w:tc>
      </w:tr>
      <w:tr>
        <w:trPr>
          <w:trHeight w:val="205"/>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24,114</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14,172</w:t>
            </w:r>
          </w:p>
        </w:tc>
        <w:tc>
          <w:tcPr>
            <w:tcW w:w="0" w:type="dxa"/>
            <w:vAlign w:val="bottom"/>
          </w:tcPr>
          <w:p>
            <w:pPr>
              <w:spacing w:after="0"/>
              <w:rPr>
                <w:sz w:val="1"/>
                <w:szCs w:val="1"/>
                <w:color w:val="auto"/>
              </w:rPr>
            </w:pPr>
          </w:p>
        </w:tc>
      </w:tr>
      <w:tr>
        <w:trPr>
          <w:trHeight w:val="180"/>
        </w:trPr>
        <w:tc>
          <w:tcPr>
            <w:tcW w:w="7800" w:type="dxa"/>
            <w:vAlign w:val="bottom"/>
          </w:tcPr>
          <w:p>
            <w:pPr>
              <w:ind w:left="140"/>
              <w:spacing w:after="0"/>
              <w:rPr>
                <w:sz w:val="20"/>
                <w:szCs w:val="20"/>
                <w:color w:val="auto"/>
              </w:rPr>
            </w:pPr>
            <w:r>
              <w:rPr>
                <w:rFonts w:ascii="Arial" w:cs="Arial" w:eastAsia="Arial" w:hAnsi="Arial"/>
                <w:sz w:val="14"/>
                <w:szCs w:val="14"/>
                <w:color w:val="auto"/>
              </w:rPr>
              <w:t>Total liabilities</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262,631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262,483</w:t>
            </w: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80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shares (Class A Series 1)</w:t>
            </w:r>
          </w:p>
        </w:tc>
        <w:tc>
          <w:tcPr>
            <w:tcW w:w="5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7800" w:type="dxa"/>
            <w:vAlign w:val="bottom"/>
          </w:tcPr>
          <w:p>
            <w:pPr>
              <w:ind w:left="140"/>
              <w:spacing w:after="0" w:line="139" w:lineRule="exact"/>
              <w:rPr>
                <w:sz w:val="20"/>
                <w:szCs w:val="20"/>
                <w:color w:val="auto"/>
              </w:rPr>
            </w:pPr>
            <w:r>
              <w:rPr>
                <w:rFonts w:ascii="Arial" w:cs="Arial" w:eastAsia="Arial" w:hAnsi="Arial"/>
                <w:sz w:val="14"/>
                <w:szCs w:val="14"/>
                <w:color w:val="auto"/>
                <w:w w:val="94"/>
              </w:rPr>
              <w:t>Common shares (no par value; 46,000,000 shares authorized, 15,167,502 shares and 15,584,176 shares issued, respectively, and</w:t>
            </w:r>
          </w:p>
        </w:tc>
        <w:tc>
          <w:tcPr>
            <w:tcW w:w="54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800" w:type="dxa"/>
            <w:vAlign w:val="bottom"/>
          </w:tcPr>
          <w:p>
            <w:pPr>
              <w:ind w:left="140"/>
              <w:spacing w:after="0"/>
              <w:rPr>
                <w:sz w:val="20"/>
                <w:szCs w:val="20"/>
                <w:color w:val="auto"/>
              </w:rPr>
            </w:pPr>
            <w:r>
              <w:rPr>
                <w:rFonts w:ascii="Arial" w:cs="Arial" w:eastAsia="Arial" w:hAnsi="Arial"/>
                <w:sz w:val="14"/>
                <w:szCs w:val="14"/>
                <w:color w:val="auto"/>
              </w:rPr>
              <w:t>14,800,827 shares and 15,217,501 shares outstanding, respectively)</w:t>
            </w:r>
          </w:p>
        </w:tc>
        <w:tc>
          <w:tcPr>
            <w:tcW w:w="5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1,627,809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1,624,512</w:t>
            </w:r>
          </w:p>
        </w:tc>
        <w:tc>
          <w:tcPr>
            <w:tcW w:w="0" w:type="dxa"/>
            <w:vAlign w:val="bottom"/>
          </w:tcPr>
          <w:p>
            <w:pPr>
              <w:spacing w:after="0"/>
              <w:rPr>
                <w:sz w:val="1"/>
                <w:szCs w:val="1"/>
                <w:color w:val="auto"/>
              </w:rPr>
            </w:pPr>
          </w:p>
        </w:tc>
      </w:tr>
      <w:tr>
        <w:trPr>
          <w:trHeight w:val="187"/>
        </w:trPr>
        <w:tc>
          <w:tcPr>
            <w:tcW w:w="780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(935,944)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(930,123)</w:t>
            </w:r>
          </w:p>
        </w:tc>
        <w:tc>
          <w:tcPr>
            <w:tcW w:w="0" w:type="dxa"/>
            <w:vAlign w:val="bottom"/>
          </w:tcPr>
          <w:p>
            <w:pPr>
              <w:spacing w:after="0"/>
              <w:rPr>
                <w:sz w:val="1"/>
                <w:szCs w:val="1"/>
                <w:color w:val="auto"/>
              </w:rPr>
            </w:pPr>
          </w:p>
        </w:tc>
      </w:tr>
      <w:tr>
        <w:trPr>
          <w:trHeight w:val="205"/>
        </w:trPr>
        <w:tc>
          <w:tcPr>
            <w:tcW w:w="7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shares held in treasury at cost, 366,675 and 366,675 shares, respectively</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(9,063)</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Accumulated other comprehensive loss</w:t>
            </w: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(392,080)</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(385,187)</w:t>
            </w: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Civeo Corporation shareholders’ equity</w:t>
            </w: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290,722</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300,139</w:t>
            </w:r>
          </w:p>
        </w:tc>
        <w:tc>
          <w:tcPr>
            <w:tcW w:w="0" w:type="dxa"/>
            <w:vAlign w:val="bottom"/>
          </w:tcPr>
          <w:p>
            <w:pPr>
              <w:spacing w:after="0"/>
              <w:rPr>
                <w:sz w:val="1"/>
                <w:szCs w:val="1"/>
                <w:color w:val="auto"/>
              </w:rPr>
            </w:pPr>
          </w:p>
        </w:tc>
      </w:tr>
      <w:tr>
        <w:trPr>
          <w:trHeight w:val="182"/>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w:t>
            </w: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3,562</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shareholders’ equity</w:t>
            </w: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293,963</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303,701</w:t>
            </w:r>
          </w:p>
        </w:tc>
        <w:tc>
          <w:tcPr>
            <w:tcW w:w="0" w:type="dxa"/>
            <w:vAlign w:val="bottom"/>
          </w:tcPr>
          <w:p>
            <w:pPr>
              <w:spacing w:after="0"/>
              <w:rPr>
                <w:sz w:val="1"/>
                <w:szCs w:val="1"/>
                <w:color w:val="auto"/>
              </w:rPr>
            </w:pPr>
          </w:p>
        </w:tc>
      </w:tr>
      <w:tr>
        <w:trPr>
          <w:trHeight w:val="196"/>
        </w:trPr>
        <w:tc>
          <w:tcPr>
            <w:tcW w:w="7800" w:type="dxa"/>
            <w:vAlign w:val="bottom"/>
          </w:tcPr>
          <w:p>
            <w:pPr>
              <w:ind w:left="340"/>
              <w:spacing w:after="0"/>
              <w:rPr>
                <w:sz w:val="20"/>
                <w:szCs w:val="20"/>
                <w:color w:val="auto"/>
              </w:rPr>
            </w:pPr>
            <w:r>
              <w:rPr>
                <w:rFonts w:ascii="Arial" w:cs="Arial" w:eastAsia="Arial" w:hAnsi="Arial"/>
                <w:sz w:val="14"/>
                <w:szCs w:val="14"/>
                <w:color w:val="auto"/>
              </w:rPr>
              <w:t>Total liabilities and shareholders’ equity</w:t>
            </w:r>
          </w:p>
        </w:tc>
        <w:tc>
          <w:tcPr>
            <w:tcW w:w="5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556,594</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566,184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389"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480" w:top="1376" w:right="239" w:bottom="1440" w:gutter="0" w:footer="0" w:header="0"/>
          <w:type w:val="continuous"/>
        </w:sectPr>
      </w:pPr>
    </w:p>
    <w:bookmarkStart w:id="6" w:name="page7"/>
    <w:bookmarkEnd w:id="6"/>
    <w:p>
      <w:pPr>
        <w:jc w:val="center"/>
        <w:ind w:right="-23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UNAUDITED CONSOLIDATED STATEMENTS OF</w:t>
      </w:r>
    </w:p>
    <w:p>
      <w:pPr>
        <w:spacing w:after="0" w:line="32"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CHANGES IN SHAREHOLDERS’ EQUITY</w:t>
      </w:r>
    </w:p>
    <w:p>
      <w:pPr>
        <w:spacing w:after="0" w:line="14"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(In Thousands)</w:t>
      </w:r>
    </w:p>
    <w:p>
      <w:pPr>
        <w:spacing w:after="0" w:line="336" w:lineRule="exact"/>
        <w:rPr>
          <w:sz w:val="20"/>
          <w:szCs w:val="20"/>
          <w:color w:val="auto"/>
        </w:rPr>
      </w:pPr>
    </w:p>
    <w:tbl>
      <w:tblPr>
        <w:tblLayout w:type="fixed"/>
        <w:tblInd w:w="2640" w:type="dxa"/>
        <w:tblCellMar>
          <w:top w:w="0" w:type="dxa"/>
          <w:left w:w="0" w:type="dxa"/>
          <w:bottom w:w="0" w:type="dxa"/>
          <w:right w:w="0" w:type="dxa"/>
        </w:tblCellMar>
      </w:tblPr>
      <w:tr>
        <w:trPr>
          <w:trHeight w:val="168"/>
        </w:trPr>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680"/>
              <w:spacing w:after="0"/>
              <w:rPr>
                <w:sz w:val="20"/>
                <w:szCs w:val="20"/>
                <w:color w:val="auto"/>
              </w:rPr>
            </w:pPr>
            <w:r>
              <w:rPr>
                <w:rFonts w:ascii="Arial" w:cs="Arial" w:eastAsia="Arial" w:hAnsi="Arial"/>
                <w:sz w:val="12"/>
                <w:szCs w:val="12"/>
                <w:b w:val="1"/>
                <w:bCs w:val="1"/>
                <w:color w:val="auto"/>
              </w:rPr>
              <w:t>Attributable to Civeo</w:t>
            </w:r>
          </w:p>
        </w:tc>
        <w:tc>
          <w:tcPr>
            <w:tcW w:w="9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gridSpan w:val="2"/>
          </w:tcPr>
          <w:p>
            <w:pPr>
              <w:jc w:val="center"/>
              <w:ind w:right="100"/>
              <w:spacing w:after="0" w:line="118" w:lineRule="exact"/>
              <w:rPr>
                <w:sz w:val="20"/>
                <w:szCs w:val="20"/>
                <w:color w:val="auto"/>
              </w:rPr>
            </w:pPr>
            <w:r>
              <w:rPr>
                <w:rFonts w:ascii="Arial" w:cs="Arial" w:eastAsia="Arial" w:hAnsi="Arial"/>
                <w:sz w:val="12"/>
                <w:szCs w:val="12"/>
                <w:b w:val="1"/>
                <w:bCs w:val="1"/>
                <w:color w:val="auto"/>
                <w:w w:val="93"/>
              </w:rPr>
              <w:t>Preferred</w:t>
            </w:r>
          </w:p>
        </w:tc>
        <w:tc>
          <w:tcPr>
            <w:tcW w:w="86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6"/>
              </w:rPr>
              <w:t>Common</w:t>
            </w: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Shares</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vMerge w:val="restart"/>
          </w:tcPr>
          <w:p>
            <w:pPr>
              <w:jc w:val="center"/>
              <w:ind w:left="19"/>
              <w:spacing w:after="0"/>
              <w:rPr>
                <w:sz w:val="20"/>
                <w:szCs w:val="20"/>
                <w:color w:val="auto"/>
              </w:rPr>
            </w:pPr>
            <w:r>
              <w:rPr>
                <w:rFonts w:ascii="Arial" w:cs="Arial" w:eastAsia="Arial" w:hAnsi="Arial"/>
                <w:sz w:val="12"/>
                <w:szCs w:val="12"/>
                <w:b w:val="1"/>
                <w:bCs w:val="1"/>
                <w:color w:val="auto"/>
                <w:w w:val="95"/>
              </w:rPr>
              <w:t>Additional</w:t>
            </w: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Accumulated</w:t>
            </w:r>
          </w:p>
        </w:tc>
        <w:tc>
          <w:tcPr>
            <w:tcW w:w="1300" w:type="dxa"/>
            <w:vAlign w:val="bottom"/>
          </w:tcPr>
          <w:p>
            <w:pPr>
              <w:spacing w:after="0"/>
              <w:rPr>
                <w:sz w:val="2"/>
                <w:szCs w:val="2"/>
                <w:color w:val="auto"/>
              </w:rPr>
            </w:pPr>
          </w:p>
        </w:tc>
        <w:tc>
          <w:tcPr>
            <w:tcW w:w="940" w:type="dxa"/>
            <w:vAlign w:val="bottom"/>
            <w:vMerge w:val="restart"/>
          </w:tcPr>
          <w:p>
            <w:pPr>
              <w:jc w:val="center"/>
              <w:ind w:left="159"/>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98"/>
        </w:trPr>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Accumulated</w:t>
            </w: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Treasury</w:t>
            </w:r>
          </w:p>
        </w:tc>
        <w:tc>
          <w:tcPr>
            <w:tcW w:w="11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3"/>
              </w:rPr>
              <w:t>Other</w:t>
            </w:r>
          </w:p>
        </w:tc>
        <w:tc>
          <w:tcPr>
            <w:tcW w:w="13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Noncontrolling</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4"/>
              </w:rPr>
              <w:t>Paid-in</w:t>
            </w:r>
          </w:p>
        </w:tc>
        <w:tc>
          <w:tcPr>
            <w:tcW w:w="11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1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1"/>
              </w:rPr>
              <w:t>Comprehensive</w:t>
            </w:r>
          </w:p>
        </w:tc>
        <w:tc>
          <w:tcPr>
            <w:tcW w:w="1300" w:type="dxa"/>
            <w:vAlign w:val="bottom"/>
            <w:vMerge w:val="continue"/>
          </w:tcPr>
          <w:p>
            <w:pPr>
              <w:spacing w:after="0"/>
              <w:rPr>
                <w:sz w:val="10"/>
                <w:szCs w:val="10"/>
                <w:color w:val="auto"/>
              </w:rPr>
            </w:pPr>
          </w:p>
        </w:tc>
        <w:tc>
          <w:tcPr>
            <w:tcW w:w="940" w:type="dxa"/>
            <w:vAlign w:val="bottom"/>
          </w:tcPr>
          <w:p>
            <w:pPr>
              <w:jc w:val="center"/>
              <w:ind w:left="159"/>
              <w:spacing w:after="0" w:line="118" w:lineRule="exact"/>
              <w:rPr>
                <w:sz w:val="20"/>
                <w:szCs w:val="20"/>
                <w:color w:val="auto"/>
              </w:rPr>
            </w:pPr>
            <w:r>
              <w:rPr>
                <w:rFonts w:ascii="Arial" w:cs="Arial" w:eastAsia="Arial" w:hAnsi="Arial"/>
                <w:sz w:val="12"/>
                <w:szCs w:val="12"/>
                <w:b w:val="1"/>
                <w:bCs w:val="1"/>
                <w:color w:val="auto"/>
                <w:w w:val="89"/>
              </w:rPr>
              <w:t>Shareholders’</w:t>
            </w:r>
          </w:p>
        </w:tc>
        <w:tc>
          <w:tcPr>
            <w:tcW w:w="0" w:type="dxa"/>
            <w:vAlign w:val="bottom"/>
          </w:tcPr>
          <w:p>
            <w:pPr>
              <w:spacing w:after="0"/>
              <w:rPr>
                <w:sz w:val="1"/>
                <w:szCs w:val="1"/>
                <w:color w:val="auto"/>
              </w:rPr>
            </w:pPr>
          </w:p>
        </w:tc>
      </w:tr>
      <w:tr>
        <w:trPr>
          <w:trHeight w:val="167"/>
        </w:trPr>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Amount</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1"/>
              </w:rPr>
              <w:t>Par Value</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4"/>
              </w:rPr>
              <w:t>Capital</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2"/>
              </w:rPr>
              <w:t>Deficit</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0"/>
              </w:rPr>
              <w:t>Income (Loss)</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2"/>
              </w:rPr>
              <w:t>Interest</w:t>
            </w:r>
          </w:p>
        </w:tc>
        <w:tc>
          <w:tcPr>
            <w:tcW w:w="940" w:type="dxa"/>
            <w:vAlign w:val="bottom"/>
          </w:tcPr>
          <w:p>
            <w:pPr>
              <w:jc w:val="center"/>
              <w:ind w:left="159"/>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078345" cy="132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8345" cy="132715"/>
                    </a:xfrm>
                    <a:prstGeom prst="rect">
                      <a:avLst/>
                    </a:prstGeom>
                    <a:noFill/>
                  </pic:spPr>
                </pic:pic>
              </a:graphicData>
            </a:graphic>
          </wp:anchor>
        </w:drawing>
      </w:r>
    </w:p>
    <w:p>
      <w:pPr>
        <w:sectPr>
          <w:pgSz w:w="11900" w:h="16838" w:orient="portrait"/>
          <w:cols w:equalWidth="0" w:num="1">
            <w:col w:w="11160"/>
          </w:cols>
          <w:pgMar w:left="320" w:top="1376" w:right="419" w:bottom="1440" w:gutter="0" w:footer="0" w:header="0"/>
        </w:sectPr>
      </w:pPr>
    </w:p>
    <w:tbl>
      <w:tblPr>
        <w:tblLayout w:type="fixed"/>
        <w:tblInd w:w="0" w:type="dxa"/>
        <w:tblCellMar>
          <w:top w:w="0" w:type="dxa"/>
          <w:left w:w="0" w:type="dxa"/>
          <w:bottom w:w="0" w:type="dxa"/>
          <w:right w:w="0" w:type="dxa"/>
        </w:tblCellMar>
      </w:tblPr>
      <w:tr>
        <w:trPr>
          <w:trHeight w:val="191"/>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62,918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ind w:left="3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1,584,416</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26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640" w:type="dxa"/>
            <w:vAlign w:val="bottom"/>
          </w:tcPr>
          <w:p>
            <w:pPr>
              <w:ind w:left="20"/>
              <w:spacing w:after="0" w:line="154" w:lineRule="exact"/>
              <w:rPr>
                <w:sz w:val="20"/>
                <w:szCs w:val="20"/>
                <w:color w:val="auto"/>
              </w:rPr>
            </w:pPr>
            <w:r>
              <w:rPr>
                <w:rFonts w:ascii="Arial" w:cs="Arial" w:eastAsia="Arial" w:hAnsi="Arial"/>
                <w:sz w:val="14"/>
                <w:szCs w:val="14"/>
                <w:color w:val="auto"/>
                <w:w w:val="98"/>
              </w:rPr>
              <w:t>Dividends attributable to Class A preferred</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492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640" w:type="dxa"/>
            <w:vAlign w:val="bottom"/>
          </w:tcPr>
          <w:p>
            <w:pPr>
              <w:ind w:left="2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887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2022</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63,410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1,585,303</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160" w:type="dxa"/>
            <w:vAlign w:val="bottom"/>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1,626,556</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1,253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2023</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1,627,809</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60" w:type="dxa"/>
            <w:vAlign w:val="bottom"/>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61,941</w:t>
            </w:r>
          </w:p>
        </w:tc>
        <w:tc>
          <w:tcPr>
            <w:tcW w:w="80" w:type="dxa"/>
            <w:vAlign w:val="bottom"/>
          </w:tcPr>
          <w:p>
            <w:pPr>
              <w:spacing w:after="0"/>
              <w:rPr>
                <w:sz w:val="24"/>
                <w:szCs w:val="24"/>
                <w:color w:val="auto"/>
              </w:rPr>
            </w:pP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1,582,442</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640" w:type="dxa"/>
            <w:vAlign w:val="bottom"/>
          </w:tcPr>
          <w:p>
            <w:pPr>
              <w:ind w:left="20"/>
              <w:spacing w:after="0" w:line="154" w:lineRule="exact"/>
              <w:rPr>
                <w:sz w:val="20"/>
                <w:szCs w:val="20"/>
                <w:color w:val="auto"/>
              </w:rPr>
            </w:pPr>
            <w:r>
              <w:rPr>
                <w:rFonts w:ascii="Arial" w:cs="Arial" w:eastAsia="Arial" w:hAnsi="Arial"/>
                <w:sz w:val="14"/>
                <w:szCs w:val="14"/>
                <w:color w:val="auto"/>
                <w:w w:val="98"/>
              </w:rPr>
              <w:t>Dividends attributable to Class A preferred</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1,469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640" w:type="dxa"/>
            <w:vAlign w:val="bottom"/>
          </w:tcPr>
          <w:p>
            <w:pPr>
              <w:ind w:left="2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2,861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2022</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63,410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1,585,303</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60" w:type="dxa"/>
            <w:vAlign w:val="bottom"/>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1,624,512</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3,297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2023</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1,627,809</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restart"/>
          </w:tcPr>
          <w:p>
            <w:pPr>
              <w:jc w:val="center"/>
              <w:ind w:left="110"/>
              <w:spacing w:after="0"/>
              <w:rPr>
                <w:sz w:val="20"/>
                <w:szCs w:val="20"/>
                <w:color w:val="auto"/>
              </w:rPr>
            </w:pPr>
            <w:r>
              <w:rPr>
                <w:rFonts w:ascii="Arial" w:cs="Arial" w:eastAsia="Arial" w:hAnsi="Arial"/>
                <w:sz w:val="14"/>
                <w:szCs w:val="14"/>
                <w:b w:val="1"/>
                <w:bCs w:val="1"/>
                <w:color w:val="auto"/>
                <w:w w:val="89"/>
              </w:rPr>
              <w:t>Preferred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center"/>
              <w:ind w:left="150"/>
              <w:spacing w:after="0"/>
              <w:rPr>
                <w:sz w:val="20"/>
                <w:szCs w:val="20"/>
                <w:color w:val="auto"/>
              </w:rPr>
            </w:pPr>
            <w:r>
              <w:rPr>
                <w:rFonts w:ascii="Arial" w:cs="Arial" w:eastAsia="Arial" w:hAnsi="Arial"/>
                <w:sz w:val="14"/>
                <w:szCs w:val="14"/>
                <w:b w:val="1"/>
                <w:bCs w:val="1"/>
                <w:color w:val="auto"/>
                <w:w w:val="88"/>
              </w:rPr>
              <w:t>Common</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left="170"/>
              <w:spacing w:after="0" w:line="144" w:lineRule="exact"/>
              <w:rPr>
                <w:sz w:val="20"/>
                <w:szCs w:val="20"/>
                <w:color w:val="auto"/>
              </w:rPr>
            </w:pPr>
            <w:r>
              <w:rPr>
                <w:rFonts w:ascii="Arial" w:cs="Arial" w:eastAsia="Arial" w:hAnsi="Arial"/>
                <w:sz w:val="14"/>
                <w:szCs w:val="14"/>
                <w:b w:val="1"/>
                <w:bCs w:val="1"/>
                <w:color w:val="auto"/>
                <w:w w:val="88"/>
              </w:rPr>
              <w:t>Shares (in</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6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4"/>
                <w:szCs w:val="14"/>
                <w:b w:val="1"/>
                <w:bCs w:val="1"/>
                <w:color w:val="auto"/>
                <w:w w:val="85"/>
              </w:rPr>
              <w:t>Shares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4"/>
                <w:szCs w:val="14"/>
                <w:b w:val="1"/>
                <w:bCs w:val="1"/>
                <w:color w:val="auto"/>
                <w:w w:val="87"/>
              </w:rPr>
              <w:t>thousands)</w:t>
            </w:r>
          </w:p>
        </w:tc>
        <w:tc>
          <w:tcPr>
            <w:tcW w:w="24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15,218</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26</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2023</w:t>
            </w:r>
          </w:p>
        </w:tc>
        <w:tc>
          <w:tcPr>
            <w:tcW w:w="160" w:type="dxa"/>
            <w:vAlign w:val="bottom"/>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14,801</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-5053330</wp:posOffset>
            </wp:positionV>
            <wp:extent cx="7078345" cy="124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-4804410</wp:posOffset>
            </wp:positionV>
            <wp:extent cx="7078345" cy="207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8345" cy="2076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-4472305</wp:posOffset>
            </wp:positionV>
            <wp:extent cx="7078345" cy="124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-3974465</wp:posOffset>
            </wp:positionV>
            <wp:extent cx="7078345" cy="124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-3725545</wp:posOffset>
            </wp:positionV>
            <wp:extent cx="7078345" cy="124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-3476625</wp:posOffset>
            </wp:positionV>
            <wp:extent cx="7078345" cy="124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-3036570</wp:posOffset>
            </wp:positionV>
            <wp:extent cx="7078345" cy="124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-2787650</wp:posOffset>
            </wp:positionV>
            <wp:extent cx="7078345" cy="1244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-2538730</wp:posOffset>
            </wp:positionV>
            <wp:extent cx="7078345" cy="2076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8345" cy="2076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-2206625</wp:posOffset>
            </wp:positionV>
            <wp:extent cx="7078345" cy="124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-1684020</wp:posOffset>
            </wp:positionV>
            <wp:extent cx="7078345" cy="1244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-1435100</wp:posOffset>
            </wp:positionV>
            <wp:extent cx="7078345" cy="1244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-1186180</wp:posOffset>
            </wp:positionV>
            <wp:extent cx="7078345" cy="124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-1932940</wp:posOffset>
            </wp:positionV>
            <wp:extent cx="7078345" cy="1244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834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-3202305</wp:posOffset>
            </wp:positionV>
            <wp:extent cx="7078345" cy="996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78345" cy="996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-4198620</wp:posOffset>
            </wp:positionV>
            <wp:extent cx="7078345" cy="996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7834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680" w:type="dxa"/>
            <w:vAlign w:val="bottom"/>
          </w:tcPr>
          <w:p>
            <w:pPr>
              <w:jc w:val="right"/>
              <w:ind w:right="50"/>
              <w:spacing w:after="0"/>
              <w:rPr>
                <w:sz w:val="20"/>
                <w:szCs w:val="20"/>
                <w:color w:val="auto"/>
              </w:rPr>
            </w:pPr>
            <w:r>
              <w:rPr>
                <w:rFonts w:ascii="Arial" w:cs="Arial" w:eastAsia="Arial" w:hAnsi="Arial"/>
                <w:sz w:val="14"/>
                <w:szCs w:val="14"/>
                <w:b w:val="1"/>
                <w:bCs w:val="1"/>
                <w:color w:val="auto"/>
                <w:w w:val="90"/>
              </w:rPr>
              <w:t>(903,492)</w:t>
            </w:r>
          </w:p>
        </w:tc>
        <w:tc>
          <w:tcPr>
            <w:tcW w:w="2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w w:val="94"/>
              </w:rPr>
              <w:t>(9,063)</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(373,841)</w:t>
            </w:r>
          </w:p>
        </w:tc>
        <w:tc>
          <w:tcPr>
            <w:tcW w:w="120" w:type="dxa"/>
            <w:vAlign w:val="bottom"/>
          </w:tcPr>
          <w:p>
            <w:pPr>
              <w:spacing w:after="0"/>
              <w:rPr>
                <w:sz w:val="16"/>
                <w:szCs w:val="16"/>
                <w:color w:val="auto"/>
              </w:rPr>
            </w:pPr>
          </w:p>
        </w:tc>
        <w:tc>
          <w:tcPr>
            <w:tcW w:w="420" w:type="dxa"/>
            <w:vAlign w:val="bottom"/>
            <w:tcBorders>
              <w:top w:val="single" w:sz="8" w:color="auto"/>
            </w:tcBorders>
          </w:tcPr>
          <w:p>
            <w:pPr>
              <w:jc w:val="right"/>
              <w:ind w:right="27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2,582</w:t>
            </w: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363,520</w:t>
            </w:r>
          </w:p>
        </w:tc>
        <w:tc>
          <w:tcPr>
            <w:tcW w:w="0" w:type="dxa"/>
            <w:vAlign w:val="bottom"/>
          </w:tcPr>
          <w:p>
            <w:pPr>
              <w:spacing w:after="0"/>
              <w:rPr>
                <w:sz w:val="1"/>
                <w:szCs w:val="1"/>
                <w:color w:val="auto"/>
              </w:rPr>
            </w:pPr>
          </w:p>
        </w:tc>
      </w:tr>
      <w:tr>
        <w:trPr>
          <w:trHeight w:val="187"/>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5,717</w:t>
            </w:r>
          </w:p>
        </w:tc>
        <w:tc>
          <w:tcPr>
            <w:tcW w:w="22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6,263</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(20,567)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(20,745)</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327"/>
        </w:trPr>
        <w:tc>
          <w:tcPr>
            <w:tcW w:w="680" w:type="dxa"/>
            <w:vAlign w:val="bottom"/>
          </w:tcPr>
          <w:p>
            <w:pPr>
              <w:jc w:val="right"/>
              <w:ind w:right="50"/>
              <w:spacing w:after="0"/>
              <w:rPr>
                <w:sz w:val="20"/>
                <w:szCs w:val="20"/>
                <w:color w:val="auto"/>
              </w:rPr>
            </w:pPr>
            <w:r>
              <w:rPr>
                <w:rFonts w:ascii="Arial" w:cs="Arial" w:eastAsia="Arial" w:hAnsi="Arial"/>
                <w:sz w:val="14"/>
                <w:szCs w:val="14"/>
                <w:color w:val="auto"/>
              </w:rPr>
              <w:t>(492)</w:t>
            </w:r>
          </w:p>
        </w:tc>
        <w:tc>
          <w:tcPr>
            <w:tcW w:w="220" w:type="dxa"/>
            <w:vAlign w:val="bottom"/>
          </w:tcPr>
          <w:p>
            <w:pPr>
              <w:spacing w:after="0"/>
              <w:rPr>
                <w:sz w:val="24"/>
                <w:szCs w:val="2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80" w:type="dxa"/>
            <w:vAlign w:val="bottom"/>
          </w:tcPr>
          <w:p>
            <w:pPr>
              <w:jc w:val="right"/>
              <w:ind w:right="50"/>
              <w:spacing w:after="0"/>
              <w:rPr>
                <w:sz w:val="20"/>
                <w:szCs w:val="20"/>
                <w:color w:val="auto"/>
              </w:rPr>
            </w:pPr>
            <w:r>
              <w:rPr>
                <w:rFonts w:ascii="Arial" w:cs="Arial" w:eastAsia="Arial" w:hAnsi="Arial"/>
                <w:sz w:val="14"/>
                <w:szCs w:val="14"/>
                <w:color w:val="auto"/>
              </w:rPr>
              <w:t>(13,667)</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(13,667)</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w w:val="90"/>
              </w:rPr>
              <w:t>(911,934)</w:t>
            </w: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4"/>
              </w:rPr>
              <w:t>(9,063)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(394,408)</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2,889</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336,197</w:t>
            </w: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80" w:type="dxa"/>
            <w:vAlign w:val="bottom"/>
          </w:tcPr>
          <w:p>
            <w:pPr>
              <w:jc w:val="right"/>
              <w:ind w:right="50"/>
              <w:spacing w:after="0"/>
              <w:rPr>
                <w:sz w:val="20"/>
                <w:szCs w:val="20"/>
                <w:color w:val="auto"/>
              </w:rPr>
            </w:pPr>
            <w:r>
              <w:rPr>
                <w:rFonts w:ascii="Arial" w:cs="Arial" w:eastAsia="Arial" w:hAnsi="Arial"/>
                <w:sz w:val="14"/>
                <w:szCs w:val="14"/>
                <w:b w:val="1"/>
                <w:bCs w:val="1"/>
                <w:color w:val="auto"/>
                <w:w w:val="90"/>
              </w:rPr>
              <w:t>(939,983)</w:t>
            </w:r>
          </w:p>
        </w:tc>
        <w:tc>
          <w:tcPr>
            <w:tcW w:w="220" w:type="dxa"/>
            <w:vAlign w:val="bottom"/>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w w:val="94"/>
              </w:rPr>
              <w:t>(9,063)</w:t>
            </w:r>
          </w:p>
        </w:tc>
        <w:tc>
          <w:tcPr>
            <w:tcW w:w="100" w:type="dxa"/>
            <w:vAlign w:val="bottom"/>
          </w:tcPr>
          <w:p>
            <w:pPr>
              <w:spacing w:after="0"/>
              <w:rPr>
                <w:sz w:val="24"/>
                <w:szCs w:val="24"/>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(385,350)</w:t>
            </w:r>
          </w:p>
        </w:tc>
        <w:tc>
          <w:tcPr>
            <w:tcW w:w="120" w:type="dxa"/>
            <w:vAlign w:val="bottom"/>
          </w:tcPr>
          <w:p>
            <w:pPr>
              <w:spacing w:after="0"/>
              <w:rPr>
                <w:sz w:val="24"/>
                <w:szCs w:val="24"/>
                <w:color w:val="auto"/>
              </w:rPr>
            </w:pPr>
          </w:p>
        </w:tc>
        <w:tc>
          <w:tcPr>
            <w:tcW w:w="420" w:type="dxa"/>
            <w:vAlign w:val="bottom"/>
          </w:tcPr>
          <w:p>
            <w:pPr>
              <w:jc w:val="right"/>
              <w:ind w:right="27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3,173</w:t>
            </w:r>
          </w:p>
        </w:tc>
        <w:tc>
          <w:tcPr>
            <w:tcW w:w="120" w:type="dxa"/>
            <w:vAlign w:val="bottom"/>
          </w:tcPr>
          <w:p>
            <w:pPr>
              <w:spacing w:after="0"/>
              <w:rPr>
                <w:sz w:val="24"/>
                <w:szCs w:val="24"/>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295,333</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9,022</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9,223</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(6,795)</w:t>
            </w:r>
          </w:p>
        </w:tc>
        <w:tc>
          <w:tcPr>
            <w:tcW w:w="0" w:type="dxa"/>
            <w:vAlign w:val="bottom"/>
          </w:tcPr>
          <w:p>
            <w:pPr>
              <w:spacing w:after="0"/>
              <w:rPr>
                <w:sz w:val="1"/>
                <w:szCs w:val="1"/>
                <w:color w:val="auto"/>
              </w:rPr>
            </w:pPr>
          </w:p>
        </w:tc>
      </w:tr>
      <w:tr>
        <w:trPr>
          <w:trHeight w:val="196"/>
        </w:trPr>
        <w:tc>
          <w:tcPr>
            <w:tcW w:w="680" w:type="dxa"/>
            <w:vAlign w:val="bottom"/>
          </w:tcPr>
          <w:p>
            <w:pPr>
              <w:jc w:val="right"/>
              <w:ind w:right="50"/>
              <w:spacing w:after="0"/>
              <w:rPr>
                <w:sz w:val="20"/>
                <w:szCs w:val="20"/>
                <w:color w:val="auto"/>
              </w:rPr>
            </w:pPr>
            <w:r>
              <w:rPr>
                <w:rFonts w:ascii="Arial" w:cs="Arial" w:eastAsia="Arial" w:hAnsi="Arial"/>
                <w:sz w:val="14"/>
                <w:szCs w:val="14"/>
                <w:color w:val="auto"/>
              </w:rPr>
              <w:t>(3,731)</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(3,799)</w:t>
            </w:r>
          </w:p>
        </w:tc>
        <w:tc>
          <w:tcPr>
            <w:tcW w:w="0" w:type="dxa"/>
            <w:vAlign w:val="bottom"/>
          </w:tcPr>
          <w:p>
            <w:pPr>
              <w:spacing w:after="0"/>
              <w:rPr>
                <w:sz w:val="1"/>
                <w:szCs w:val="1"/>
                <w:color w:val="auto"/>
              </w:rPr>
            </w:pPr>
          </w:p>
        </w:tc>
      </w:tr>
      <w:tr>
        <w:trPr>
          <w:trHeight w:val="196"/>
        </w:trPr>
        <w:tc>
          <w:tcPr>
            <w:tcW w:w="680" w:type="dxa"/>
            <w:vAlign w:val="bottom"/>
          </w:tcPr>
          <w:p>
            <w:pPr>
              <w:jc w:val="right"/>
              <w:ind w:right="50"/>
              <w:spacing w:after="0"/>
              <w:rPr>
                <w:sz w:val="20"/>
                <w:szCs w:val="20"/>
                <w:color w:val="auto"/>
              </w:rPr>
            </w:pPr>
            <w:r>
              <w:rPr>
                <w:rFonts w:ascii="Arial" w:cs="Arial" w:eastAsia="Arial" w:hAnsi="Arial"/>
                <w:sz w:val="14"/>
                <w:szCs w:val="14"/>
                <w:color w:val="auto"/>
              </w:rPr>
              <w:t>(1,252)</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(1,252)</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1,253</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w w:val="90"/>
              </w:rPr>
              <w:t>(935,944)</w:t>
            </w: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4"/>
              </w:rPr>
              <w:t>(9,063)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(392,080)</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3,241</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293,963</w:t>
            </w: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1"/>
        </w:trPr>
        <w:tc>
          <w:tcPr>
            <w:tcW w:w="680" w:type="dxa"/>
            <w:vAlign w:val="bottom"/>
          </w:tcPr>
          <w:p>
            <w:pPr>
              <w:jc w:val="right"/>
              <w:ind w:right="50"/>
              <w:spacing w:after="0"/>
              <w:rPr>
                <w:sz w:val="20"/>
                <w:szCs w:val="20"/>
                <w:color w:val="auto"/>
              </w:rPr>
            </w:pPr>
            <w:r>
              <w:rPr>
                <w:rFonts w:ascii="Arial" w:cs="Arial" w:eastAsia="Arial" w:hAnsi="Arial"/>
                <w:sz w:val="14"/>
                <w:szCs w:val="14"/>
                <w:b w:val="1"/>
                <w:bCs w:val="1"/>
                <w:color w:val="auto"/>
                <w:w w:val="90"/>
              </w:rPr>
              <w:t>(912,951)</w:t>
            </w:r>
          </w:p>
        </w:tc>
        <w:tc>
          <w:tcPr>
            <w:tcW w:w="220" w:type="dxa"/>
            <w:vAlign w:val="bottom"/>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w w:val="94"/>
              </w:rPr>
              <w:t>(8,050)</w:t>
            </w:r>
          </w:p>
        </w:tc>
        <w:tc>
          <w:tcPr>
            <w:tcW w:w="100" w:type="dxa"/>
            <w:vAlign w:val="bottom"/>
          </w:tcPr>
          <w:p>
            <w:pPr>
              <w:spacing w:after="0"/>
              <w:rPr>
                <w:sz w:val="24"/>
                <w:szCs w:val="24"/>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(361,883)</w:t>
            </w:r>
          </w:p>
        </w:tc>
        <w:tc>
          <w:tcPr>
            <w:tcW w:w="120" w:type="dxa"/>
            <w:vAlign w:val="bottom"/>
          </w:tcPr>
          <w:p>
            <w:pPr>
              <w:spacing w:after="0"/>
              <w:rPr>
                <w:sz w:val="24"/>
                <w:szCs w:val="24"/>
                <w:color w:val="auto"/>
              </w:rPr>
            </w:pPr>
          </w:p>
        </w:tc>
        <w:tc>
          <w:tcPr>
            <w:tcW w:w="420" w:type="dxa"/>
            <w:vAlign w:val="bottom"/>
          </w:tcPr>
          <w:p>
            <w:pPr>
              <w:jc w:val="right"/>
              <w:ind w:right="27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1,612</w:t>
            </w:r>
          </w:p>
        </w:tc>
        <w:tc>
          <w:tcPr>
            <w:tcW w:w="120" w:type="dxa"/>
            <w:vAlign w:val="bottom"/>
          </w:tcPr>
          <w:p>
            <w:pPr>
              <w:spacing w:after="0"/>
              <w:rPr>
                <w:sz w:val="24"/>
                <w:szCs w:val="24"/>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363,111</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16,695</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18,401</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(32,525)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(32,757)</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327"/>
        </w:trPr>
        <w:tc>
          <w:tcPr>
            <w:tcW w:w="680" w:type="dxa"/>
            <w:vAlign w:val="bottom"/>
          </w:tcPr>
          <w:p>
            <w:pPr>
              <w:jc w:val="right"/>
              <w:ind w:right="50"/>
              <w:spacing w:after="0"/>
              <w:rPr>
                <w:sz w:val="20"/>
                <w:szCs w:val="20"/>
                <w:color w:val="auto"/>
              </w:rPr>
            </w:pPr>
            <w:r>
              <w:rPr>
                <w:rFonts w:ascii="Arial" w:cs="Arial" w:eastAsia="Arial" w:hAnsi="Arial"/>
                <w:sz w:val="14"/>
                <w:szCs w:val="14"/>
                <w:color w:val="auto"/>
              </w:rPr>
              <w:t>(1,469)</w:t>
            </w:r>
          </w:p>
        </w:tc>
        <w:tc>
          <w:tcPr>
            <w:tcW w:w="220" w:type="dxa"/>
            <w:vAlign w:val="bottom"/>
          </w:tcPr>
          <w:p>
            <w:pPr>
              <w:spacing w:after="0"/>
              <w:rPr>
                <w:sz w:val="24"/>
                <w:szCs w:val="2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80" w:type="dxa"/>
            <w:vAlign w:val="bottom"/>
          </w:tcPr>
          <w:p>
            <w:pPr>
              <w:jc w:val="right"/>
              <w:ind w:right="50"/>
              <w:spacing w:after="0"/>
              <w:rPr>
                <w:sz w:val="20"/>
                <w:szCs w:val="20"/>
                <w:color w:val="auto"/>
              </w:rPr>
            </w:pPr>
            <w:r>
              <w:rPr>
                <w:rFonts w:ascii="Arial" w:cs="Arial" w:eastAsia="Arial" w:hAnsi="Arial"/>
                <w:sz w:val="14"/>
                <w:szCs w:val="14"/>
                <w:color w:val="auto"/>
              </w:rPr>
              <w:t>(14,209)</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(14,209)</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560" w:type="dxa"/>
            <w:vAlign w:val="bottom"/>
          </w:tcPr>
          <w:p>
            <w:pPr>
              <w:ind w:left="120"/>
              <w:spacing w:after="0"/>
              <w:rPr>
                <w:sz w:val="20"/>
                <w:szCs w:val="20"/>
                <w:color w:val="auto"/>
              </w:rPr>
            </w:pPr>
            <w:r>
              <w:rPr>
                <w:rFonts w:ascii="Arial" w:cs="Arial" w:eastAsia="Arial" w:hAnsi="Arial"/>
                <w:sz w:val="14"/>
                <w:szCs w:val="14"/>
                <w:color w:val="auto"/>
                <w:w w:val="94"/>
              </w:rPr>
              <w:t>(1,013)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1,848</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w w:val="90"/>
              </w:rPr>
              <w:t>(911,934)</w:t>
            </w: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4"/>
              </w:rPr>
              <w:t>(9,063)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(394,408)</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2,889</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336,197</w:t>
            </w: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6"/>
        </w:trPr>
        <w:tc>
          <w:tcPr>
            <w:tcW w:w="680" w:type="dxa"/>
            <w:vAlign w:val="bottom"/>
          </w:tcPr>
          <w:p>
            <w:pPr>
              <w:jc w:val="right"/>
              <w:ind w:right="50"/>
              <w:spacing w:after="0"/>
              <w:rPr>
                <w:sz w:val="20"/>
                <w:szCs w:val="20"/>
                <w:color w:val="auto"/>
              </w:rPr>
            </w:pPr>
            <w:r>
              <w:rPr>
                <w:rFonts w:ascii="Arial" w:cs="Arial" w:eastAsia="Arial" w:hAnsi="Arial"/>
                <w:sz w:val="14"/>
                <w:szCs w:val="14"/>
                <w:b w:val="1"/>
                <w:bCs w:val="1"/>
                <w:color w:val="auto"/>
                <w:w w:val="90"/>
              </w:rPr>
              <w:t>(930,123)</w:t>
            </w:r>
          </w:p>
        </w:tc>
        <w:tc>
          <w:tcPr>
            <w:tcW w:w="220" w:type="dxa"/>
            <w:vAlign w:val="bottom"/>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w w:val="94"/>
              </w:rPr>
              <w:t>(9,063)</w:t>
            </w:r>
          </w:p>
        </w:tc>
        <w:tc>
          <w:tcPr>
            <w:tcW w:w="100" w:type="dxa"/>
            <w:vAlign w:val="bottom"/>
          </w:tcPr>
          <w:p>
            <w:pPr>
              <w:spacing w:after="0"/>
              <w:rPr>
                <w:sz w:val="24"/>
                <w:szCs w:val="24"/>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(385,187)</w:t>
            </w:r>
          </w:p>
        </w:tc>
        <w:tc>
          <w:tcPr>
            <w:tcW w:w="120" w:type="dxa"/>
            <w:vAlign w:val="bottom"/>
          </w:tcPr>
          <w:p>
            <w:pPr>
              <w:spacing w:after="0"/>
              <w:rPr>
                <w:sz w:val="24"/>
                <w:szCs w:val="24"/>
                <w:color w:val="auto"/>
              </w:rPr>
            </w:pPr>
          </w:p>
        </w:tc>
        <w:tc>
          <w:tcPr>
            <w:tcW w:w="420" w:type="dxa"/>
            <w:vAlign w:val="bottom"/>
          </w:tcPr>
          <w:p>
            <w:pPr>
              <w:jc w:val="right"/>
              <w:ind w:right="27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3,562</w:t>
            </w:r>
          </w:p>
        </w:tc>
        <w:tc>
          <w:tcPr>
            <w:tcW w:w="120" w:type="dxa"/>
            <w:vAlign w:val="bottom"/>
          </w:tcPr>
          <w:p>
            <w:pPr>
              <w:spacing w:after="0"/>
              <w:rPr>
                <w:sz w:val="24"/>
                <w:szCs w:val="24"/>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303,701</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7,132</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7,079</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(6,893)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(6,890)</w:t>
            </w:r>
          </w:p>
        </w:tc>
        <w:tc>
          <w:tcPr>
            <w:tcW w:w="0" w:type="dxa"/>
            <w:vAlign w:val="bottom"/>
          </w:tcPr>
          <w:p>
            <w:pPr>
              <w:spacing w:after="0"/>
              <w:rPr>
                <w:sz w:val="1"/>
                <w:szCs w:val="1"/>
                <w:color w:val="auto"/>
              </w:rPr>
            </w:pPr>
          </w:p>
        </w:tc>
      </w:tr>
      <w:tr>
        <w:trPr>
          <w:trHeight w:val="196"/>
        </w:trPr>
        <w:tc>
          <w:tcPr>
            <w:tcW w:w="680" w:type="dxa"/>
            <w:vAlign w:val="bottom"/>
          </w:tcPr>
          <w:p>
            <w:pPr>
              <w:jc w:val="right"/>
              <w:ind w:right="50"/>
              <w:spacing w:after="0"/>
              <w:rPr>
                <w:sz w:val="20"/>
                <w:szCs w:val="20"/>
                <w:color w:val="auto"/>
              </w:rPr>
            </w:pPr>
            <w:r>
              <w:rPr>
                <w:rFonts w:ascii="Arial" w:cs="Arial" w:eastAsia="Arial" w:hAnsi="Arial"/>
                <w:sz w:val="14"/>
                <w:szCs w:val="14"/>
                <w:color w:val="auto"/>
              </w:rPr>
              <w:t>(3,731)</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(4,002)</w:t>
            </w:r>
          </w:p>
        </w:tc>
        <w:tc>
          <w:tcPr>
            <w:tcW w:w="0" w:type="dxa"/>
            <w:vAlign w:val="bottom"/>
          </w:tcPr>
          <w:p>
            <w:pPr>
              <w:spacing w:after="0"/>
              <w:rPr>
                <w:sz w:val="1"/>
                <w:szCs w:val="1"/>
                <w:color w:val="auto"/>
              </w:rPr>
            </w:pPr>
          </w:p>
        </w:tc>
      </w:tr>
      <w:tr>
        <w:trPr>
          <w:trHeight w:val="196"/>
        </w:trPr>
        <w:tc>
          <w:tcPr>
            <w:tcW w:w="680" w:type="dxa"/>
            <w:vAlign w:val="bottom"/>
          </w:tcPr>
          <w:p>
            <w:pPr>
              <w:jc w:val="right"/>
              <w:ind w:right="50"/>
              <w:spacing w:after="0"/>
              <w:rPr>
                <w:sz w:val="20"/>
                <w:szCs w:val="20"/>
                <w:color w:val="auto"/>
              </w:rPr>
            </w:pPr>
            <w:r>
              <w:rPr>
                <w:rFonts w:ascii="Arial" w:cs="Arial" w:eastAsia="Arial" w:hAnsi="Arial"/>
                <w:sz w:val="14"/>
                <w:szCs w:val="14"/>
                <w:color w:val="auto"/>
              </w:rPr>
              <w:t>(9,222)</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(9,222)</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3,297</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w w:val="90"/>
              </w:rPr>
              <w:t>(935,944)</w:t>
            </w: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4"/>
              </w:rPr>
              <w:t>(9,063)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(392,080)</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3,241</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293,963</w:t>
            </w: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-32385</wp:posOffset>
            </wp:positionV>
            <wp:extent cx="6388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81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-7620</wp:posOffset>
            </wp:positionV>
            <wp:extent cx="6388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881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-165100</wp:posOffset>
            </wp:positionV>
            <wp:extent cx="6388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81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-1053465</wp:posOffset>
            </wp:positionV>
            <wp:extent cx="6388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881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-1186180</wp:posOffset>
            </wp:positionV>
            <wp:extent cx="6388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881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-2322830</wp:posOffset>
            </wp:positionV>
            <wp:extent cx="6388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881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-2455545</wp:posOffset>
            </wp:positionV>
            <wp:extent cx="6388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81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-3318510</wp:posOffset>
            </wp:positionV>
            <wp:extent cx="6388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881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-3451225</wp:posOffset>
            </wp:positionV>
            <wp:extent cx="6388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810" cy="8255"/>
                    </a:xfrm>
                    <a:prstGeom prst="rect">
                      <a:avLst/>
                    </a:prstGeom>
                    <a:noFill/>
                  </pic:spPr>
                </pic:pic>
              </a:graphicData>
            </a:graphic>
          </wp:anchor>
        </w:drawing>
      </w:r>
    </w:p>
    <w:p>
      <w:pPr>
        <w:spacing w:after="0" w:line="1608" w:lineRule="exact"/>
        <w:rPr>
          <w:sz w:val="20"/>
          <w:szCs w:val="20"/>
          <w:color w:val="auto"/>
        </w:rPr>
      </w:pPr>
    </w:p>
    <w:p>
      <w:pPr>
        <w:sectPr>
          <w:pgSz w:w="11900" w:h="16838" w:orient="portrait"/>
          <w:cols w:equalWidth="0" w:num="2">
            <w:col w:w="5700" w:space="340"/>
            <w:col w:w="5120"/>
          </w:cols>
          <w:pgMar w:left="320" w:top="1376" w:right="419" w:bottom="1440" w:gutter="0" w:footer="0" w:header="0"/>
          <w:type w:val="continuous"/>
        </w:sectPr>
      </w:pPr>
    </w:p>
    <w:p>
      <w:pPr>
        <w:jc w:val="center"/>
        <w:ind w:right="-239"/>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376" w:right="419" w:bottom="1440" w:gutter="0" w:footer="0" w:header="0"/>
          <w:type w:val="continuous"/>
        </w:sectPr>
      </w:pPr>
    </w:p>
    <w:bookmarkStart w:id="7" w:name="page8"/>
    <w:bookmarkEnd w:id="7"/>
    <w:p>
      <w:pPr>
        <w:jc w:val="center"/>
        <w:ind w:right="-43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UNAUDITED CONSOLIDATED STATEMENTS OF CASH FLOWS</w:t>
      </w:r>
    </w:p>
    <w:p>
      <w:pPr>
        <w:spacing w:after="0" w:line="32"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(In Thousands)</w:t>
      </w:r>
    </w:p>
    <w:p>
      <w:pPr>
        <w:spacing w:after="0" w:line="317"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Nine Months Ended</w:t>
      </w:r>
    </w:p>
    <w:p>
      <w:pPr>
        <w:jc w:val="center"/>
        <w:ind w:left="770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2022</w:t>
            </w:r>
          </w:p>
        </w:tc>
      </w:tr>
      <w:tr>
        <w:trPr>
          <w:trHeight w:val="17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7"/>
        </w:trPr>
        <w:tc>
          <w:tcPr>
            <w:tcW w:w="79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Pr>
          <w:p>
            <w:pPr>
              <w:jc w:val="right"/>
              <w:ind w:right="71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7,079</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18,401</w:t>
            </w:r>
          </w:p>
        </w:tc>
      </w:tr>
      <w:tr>
        <w:trPr>
          <w:trHeight w:val="205"/>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7"/>
        </w:trPr>
        <w:tc>
          <w:tcPr>
            <w:tcW w:w="798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59,277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65,818</w:t>
            </w:r>
          </w:p>
        </w:tc>
      </w:tr>
      <w:tr>
        <w:trPr>
          <w:trHeight w:val="205"/>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 expense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6,930</w:t>
            </w:r>
          </w:p>
        </w:tc>
      </w:tr>
      <w:tr>
        <w:trPr>
          <w:trHeight w:val="187"/>
        </w:trPr>
        <w:tc>
          <w:tcPr>
            <w:tcW w:w="7980" w:type="dxa"/>
            <w:vAlign w:val="bottom"/>
          </w:tcPr>
          <w:p>
            <w:pPr>
              <w:ind w:left="140"/>
              <w:spacing w:after="0"/>
              <w:rPr>
                <w:sz w:val="20"/>
                <w:szCs w:val="20"/>
                <w:color w:val="auto"/>
              </w:rPr>
            </w:pPr>
            <w:r>
              <w:rPr>
                <w:rFonts w:ascii="Arial" w:cs="Arial" w:eastAsia="Arial" w:hAnsi="Arial"/>
                <w:sz w:val="14"/>
                <w:szCs w:val="14"/>
                <w:color w:val="auto"/>
              </w:rPr>
              <w:t>Non-cash compensation charge</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3,297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2,861</w:t>
            </w:r>
          </w:p>
        </w:tc>
      </w:tr>
      <w:tr>
        <w:trPr>
          <w:trHeight w:val="205"/>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Losses (gains) on disposals of assets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(4,069)</w:t>
            </w:r>
          </w:p>
        </w:tc>
      </w:tr>
      <w:tr>
        <w:trPr>
          <w:trHeight w:val="187"/>
        </w:trPr>
        <w:tc>
          <w:tcPr>
            <w:tcW w:w="7980" w:type="dxa"/>
            <w:vAlign w:val="bottom"/>
          </w:tcPr>
          <w:p>
            <w:pPr>
              <w:ind w:left="140"/>
              <w:spacing w:after="0"/>
              <w:rPr>
                <w:sz w:val="20"/>
                <w:szCs w:val="20"/>
                <w:color w:val="auto"/>
              </w:rPr>
            </w:pPr>
            <w:r>
              <w:rPr>
                <w:rFonts w:ascii="Arial" w:cs="Arial" w:eastAsia="Arial" w:hAnsi="Arial"/>
                <w:sz w:val="14"/>
                <w:szCs w:val="14"/>
                <w:color w:val="auto"/>
              </w:rPr>
              <w:t>Provision (benefit) for credit losses, net of recoveries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5"/>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w:t>
            </w:r>
          </w:p>
        </w:tc>
      </w:tr>
      <w:tr>
        <w:trPr>
          <w:trHeight w:val="187"/>
        </w:trPr>
        <w:tc>
          <w:tcPr>
            <w:tcW w:w="798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5"/>
        </w:trPr>
        <w:tc>
          <w:tcPr>
            <w:tcW w:w="7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(37,411)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(19,138)</w:t>
            </w:r>
          </w:p>
        </w:tc>
      </w:tr>
      <w:tr>
        <w:trPr>
          <w:trHeight w:val="187"/>
        </w:trPr>
        <w:tc>
          <w:tcPr>
            <w:tcW w:w="798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(1,557)</w:t>
            </w:r>
          </w:p>
        </w:tc>
      </w:tr>
      <w:tr>
        <w:trPr>
          <w:trHeight w:val="205"/>
        </w:trPr>
        <w:tc>
          <w:tcPr>
            <w:tcW w:w="7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 and accrued liabilities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3,515</w:t>
            </w:r>
          </w:p>
        </w:tc>
      </w:tr>
      <w:tr>
        <w:trPr>
          <w:trHeight w:val="187"/>
        </w:trPr>
        <w:tc>
          <w:tcPr>
            <w:tcW w:w="7980" w:type="dxa"/>
            <w:vAlign w:val="bottom"/>
          </w:tcPr>
          <w:p>
            <w:pPr>
              <w:ind w:left="340"/>
              <w:spacing w:after="0"/>
              <w:rPr>
                <w:sz w:val="20"/>
                <w:szCs w:val="20"/>
                <w:color w:val="auto"/>
              </w:rPr>
            </w:pPr>
            <w:r>
              <w:rPr>
                <w:rFonts w:ascii="Arial" w:cs="Arial" w:eastAsia="Arial" w:hAnsi="Arial"/>
                <w:sz w:val="14"/>
                <w:szCs w:val="14"/>
                <w:color w:val="auto"/>
              </w:rPr>
              <w:t>Taxes payable</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05"/>
        </w:trPr>
        <w:tc>
          <w:tcPr>
            <w:tcW w:w="7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current and noncurrent assets and liabilities, net</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(12,701)</w:t>
            </w:r>
          </w:p>
        </w:tc>
      </w:tr>
      <w:tr>
        <w:trPr>
          <w:trHeight w:val="180"/>
        </w:trPr>
        <w:tc>
          <w:tcPr>
            <w:tcW w:w="7980" w:type="dxa"/>
            <w:vAlign w:val="bottom"/>
          </w:tcPr>
          <w:p>
            <w:pPr>
              <w:ind w:left="340"/>
              <w:spacing w:after="0"/>
              <w:rPr>
                <w:sz w:val="20"/>
                <w:szCs w:val="20"/>
                <w:color w:val="auto"/>
              </w:rPr>
            </w:pPr>
            <w:r>
              <w:rPr>
                <w:rFonts w:ascii="Arial" w:cs="Arial" w:eastAsia="Arial" w:hAnsi="Arial"/>
                <w:sz w:val="14"/>
                <w:szCs w:val="14"/>
                <w:color w:val="auto"/>
              </w:rPr>
              <w:t>Net cash flows provided by operating activities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56,593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62,372</w:t>
            </w:r>
          </w:p>
        </w:tc>
      </w:tr>
      <w:tr>
        <w:trPr>
          <w:trHeight w:val="113"/>
        </w:trPr>
        <w:tc>
          <w:tcPr>
            <w:tcW w:w="79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87"/>
        </w:trPr>
        <w:tc>
          <w:tcPr>
            <w:tcW w:w="79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5"/>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expenditures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(21,179)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(17,466)</w:t>
            </w:r>
          </w:p>
        </w:tc>
      </w:tr>
      <w:tr>
        <w:trPr>
          <w:trHeight w:val="187"/>
        </w:trPr>
        <w:tc>
          <w:tcPr>
            <w:tcW w:w="7980" w:type="dxa"/>
            <w:vAlign w:val="bottom"/>
          </w:tcPr>
          <w:p>
            <w:pPr>
              <w:ind w:left="140"/>
              <w:spacing w:after="0"/>
              <w:rPr>
                <w:sz w:val="20"/>
                <w:szCs w:val="20"/>
                <w:color w:val="auto"/>
              </w:rPr>
            </w:pPr>
            <w:r>
              <w:rPr>
                <w:rFonts w:ascii="Arial" w:cs="Arial" w:eastAsia="Arial" w:hAnsi="Arial"/>
                <w:sz w:val="14"/>
                <w:szCs w:val="14"/>
                <w:color w:val="auto"/>
              </w:rPr>
              <w:t>Proceeds from dispositions of property, plant and equipment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7,070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11,975</w:t>
            </w:r>
          </w:p>
        </w:tc>
      </w:tr>
      <w:tr>
        <w:trPr>
          <w:trHeight w:val="205"/>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8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r>
      <w:tr>
        <w:trPr>
          <w:trHeight w:val="180"/>
        </w:trPr>
        <w:tc>
          <w:tcPr>
            <w:tcW w:w="7980" w:type="dxa"/>
            <w:vAlign w:val="bottom"/>
          </w:tcPr>
          <w:p>
            <w:pPr>
              <w:ind w:left="340"/>
              <w:spacing w:after="0"/>
              <w:rPr>
                <w:sz w:val="20"/>
                <w:szCs w:val="20"/>
                <w:color w:val="auto"/>
              </w:rPr>
            </w:pPr>
            <w:r>
              <w:rPr>
                <w:rFonts w:ascii="Arial" w:cs="Arial" w:eastAsia="Arial" w:hAnsi="Arial"/>
                <w:sz w:val="14"/>
                <w:szCs w:val="14"/>
                <w:color w:val="auto"/>
              </w:rPr>
              <w:t>Net cash flows used in investing activities</w:t>
            </w: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(14,109)</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(5,301)</w:t>
            </w:r>
          </w:p>
        </w:tc>
      </w:tr>
      <w:tr>
        <w:trPr>
          <w:trHeight w:val="113"/>
        </w:trPr>
        <w:tc>
          <w:tcPr>
            <w:tcW w:w="79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87"/>
        </w:trPr>
        <w:tc>
          <w:tcPr>
            <w:tcW w:w="798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5"/>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Revolving credit borrowings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172,867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204,951</w:t>
            </w:r>
          </w:p>
        </w:tc>
      </w:tr>
      <w:tr>
        <w:trPr>
          <w:trHeight w:val="187"/>
        </w:trPr>
        <w:tc>
          <w:tcPr>
            <w:tcW w:w="7980" w:type="dxa"/>
            <w:vAlign w:val="bottom"/>
          </w:tcPr>
          <w:p>
            <w:pPr>
              <w:ind w:left="140"/>
              <w:spacing w:after="0"/>
              <w:rPr>
                <w:sz w:val="20"/>
                <w:szCs w:val="20"/>
                <w:color w:val="auto"/>
              </w:rPr>
            </w:pPr>
            <w:r>
              <w:rPr>
                <w:rFonts w:ascii="Arial" w:cs="Arial" w:eastAsia="Arial" w:hAnsi="Arial"/>
                <w:sz w:val="14"/>
                <w:szCs w:val="14"/>
                <w:color w:val="auto"/>
              </w:rPr>
              <w:t>Revolving credit repayments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86"/>
              </w:rPr>
              <w:t>(179,599)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(219,775)</w:t>
            </w:r>
          </w:p>
        </w:tc>
      </w:tr>
      <w:tr>
        <w:trPr>
          <w:trHeight w:val="205"/>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 loan repayments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(22,338)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(23,059)</w:t>
            </w:r>
          </w:p>
        </w:tc>
      </w:tr>
      <w:tr>
        <w:trPr>
          <w:trHeight w:val="187"/>
        </w:trPr>
        <w:tc>
          <w:tcPr>
            <w:tcW w:w="7980" w:type="dxa"/>
            <w:vAlign w:val="bottom"/>
          </w:tcPr>
          <w:p>
            <w:pPr>
              <w:ind w:left="140"/>
              <w:spacing w:after="0"/>
              <w:rPr>
                <w:sz w:val="20"/>
                <w:szCs w:val="20"/>
                <w:color w:val="auto"/>
              </w:rPr>
            </w:pPr>
            <w:r>
              <w:rPr>
                <w:rFonts w:ascii="Arial" w:cs="Arial" w:eastAsia="Arial" w:hAnsi="Arial"/>
                <w:sz w:val="14"/>
                <w:szCs w:val="14"/>
                <w:color w:val="auto"/>
              </w:rPr>
              <w:t>Dividends paid</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(3,731)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5"/>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Repurchases of common shares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(14,209)</w:t>
            </w:r>
          </w:p>
        </w:tc>
      </w:tr>
      <w:tr>
        <w:trPr>
          <w:trHeight w:val="189"/>
        </w:trPr>
        <w:tc>
          <w:tcPr>
            <w:tcW w:w="7980" w:type="dxa"/>
            <w:vAlign w:val="bottom"/>
          </w:tcPr>
          <w:p>
            <w:pPr>
              <w:ind w:left="140"/>
              <w:spacing w:after="0"/>
              <w:rPr>
                <w:sz w:val="20"/>
                <w:szCs w:val="20"/>
                <w:color w:val="auto"/>
              </w:rPr>
            </w:pPr>
            <w:r>
              <w:rPr>
                <w:rFonts w:ascii="Arial" w:cs="Arial" w:eastAsia="Arial" w:hAnsi="Arial"/>
                <w:sz w:val="14"/>
                <w:szCs w:val="14"/>
                <w:color w:val="auto"/>
              </w:rPr>
              <w:t>Taxes paid on vested shares</w:t>
            </w:r>
          </w:p>
        </w:tc>
        <w:tc>
          <w:tcPr>
            <w:tcW w:w="8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(1,013)</w:t>
            </w:r>
          </w:p>
        </w:tc>
      </w:tr>
      <w:tr>
        <w:trPr>
          <w:trHeight w:val="196"/>
        </w:trPr>
        <w:tc>
          <w:tcPr>
            <w:tcW w:w="7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cash flows used in financing activities</w:t>
            </w:r>
          </w:p>
        </w:tc>
        <w:tc>
          <w:tcPr>
            <w:tcW w:w="8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(42,023)</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(53,105)</w:t>
            </w:r>
          </w:p>
        </w:tc>
      </w:tr>
      <w:tr>
        <w:trPr>
          <w:trHeight w:val="105"/>
        </w:trPr>
        <w:tc>
          <w:tcPr>
            <w:tcW w:w="7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(1,887)</w:t>
            </w:r>
          </w:p>
        </w:tc>
      </w:tr>
      <w:tr>
        <w:trPr>
          <w:trHeight w:val="180"/>
        </w:trPr>
        <w:tc>
          <w:tcPr>
            <w:tcW w:w="7980" w:type="dxa"/>
            <w:vAlign w:val="bottom"/>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2,079</w:t>
            </w:r>
          </w:p>
        </w:tc>
      </w:tr>
      <w:tr>
        <w:trPr>
          <w:trHeight w:val="198"/>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6,282</w:t>
            </w:r>
          </w:p>
        </w:tc>
      </w:tr>
      <w:tr>
        <w:trPr>
          <w:trHeight w:val="91"/>
        </w:trPr>
        <w:tc>
          <w:tcPr>
            <w:tcW w:w="7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21"/>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7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financing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78"/>
        </w:trPr>
        <w:tc>
          <w:tcPr>
            <w:tcW w:w="7980" w:type="dxa"/>
            <w:vAlign w:val="bottom"/>
          </w:tcPr>
          <w:p>
            <w:pPr>
              <w:ind w:left="140"/>
              <w:spacing w:after="0"/>
              <w:rPr>
                <w:sz w:val="20"/>
                <w:szCs w:val="20"/>
                <w:color w:val="auto"/>
              </w:rPr>
            </w:pPr>
            <w:r>
              <w:rPr>
                <w:rFonts w:ascii="Arial" w:cs="Arial" w:eastAsia="Arial" w:hAnsi="Arial"/>
                <w:sz w:val="14"/>
                <w:szCs w:val="14"/>
                <w:color w:val="auto"/>
              </w:rPr>
              <w:t>Preferred dividends paid-in-kind</w:t>
            </w:r>
          </w:p>
        </w:tc>
        <w:tc>
          <w:tcPr>
            <w:tcW w:w="880" w:type="dxa"/>
            <w:vAlign w:val="bottom"/>
          </w:tcPr>
          <w:p>
            <w:pPr>
              <w:jc w:val="right"/>
              <w:ind w:right="71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1,469</w:t>
            </w:r>
          </w:p>
        </w:tc>
      </w:tr>
    </w:tbl>
    <w:p>
      <w:pPr>
        <w:spacing w:after="0" w:line="215"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60"/>
          </w:cols>
          <w:pgMar w:left="320" w:top="1376" w:right="61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hanging="315"/>
        <w:spacing w:after="0"/>
        <w:tabs>
          <w:tab w:leader="none" w:pos="3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223"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We provide hospitality services to the natural resources industry in Canada, Australia and the U.S. We provide a suite of services for our guests, including lodging, catering and food service, housekeeping and maintenance at accommodation facilities that we or our customers own. In many cases, we provide services that support the day-to-day operations of these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two principal reportable business segments – Canada and Australia.</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5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consolidated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 Certain reclassifications have been made to the 2022 financial information to conform to current year presentation.</w:t>
      </w:r>
    </w:p>
    <w:p>
      <w:pPr>
        <w:spacing w:after="0" w:line="185"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4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unaudited consolidated financial statements included in this report should be read in conjunction with our audited consolidated financial statements and accompanying notes included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(Continued)</w:t>
      </w:r>
    </w:p>
    <w:p>
      <w:pPr>
        <w:spacing w:after="0" w:line="205" w:lineRule="exact"/>
        <w:rPr>
          <w:sz w:val="20"/>
          <w:szCs w:val="20"/>
          <w:color w:val="auto"/>
        </w:rPr>
      </w:pPr>
    </w:p>
    <w:p>
      <w:pPr>
        <w:ind w:left="320" w:hanging="315"/>
        <w:spacing w:after="0"/>
        <w:tabs>
          <w:tab w:leader="none" w:pos="3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REVENUE</w:t>
      </w:r>
    </w:p>
    <w:p>
      <w:pPr>
        <w:spacing w:after="0" w:line="229" w:lineRule="exact"/>
        <w:rPr>
          <w:sz w:val="20"/>
          <w:szCs w:val="20"/>
          <w:color w:val="auto"/>
        </w:rPr>
      </w:pPr>
    </w:p>
    <w:p>
      <w:pPr>
        <w:ind w:right="320" w:firstLine="470"/>
        <w:spacing w:after="0" w:line="279" w:lineRule="auto"/>
        <w:rPr>
          <w:sz w:val="20"/>
          <w:szCs w:val="20"/>
          <w:color w:val="auto"/>
        </w:rPr>
      </w:pPr>
      <w:r>
        <w:rPr>
          <w:rFonts w:ascii="Arial" w:cs="Arial" w:eastAsia="Arial" w:hAnsi="Arial"/>
          <w:sz w:val="17"/>
          <w:szCs w:val="17"/>
          <w:color w:val="auto"/>
        </w:rPr>
        <w:t>The following table disaggregates our revenue by our two reportable segments: Canada and Australia and major categories for the periods indicated (in thousands):</w:t>
      </w:r>
    </w:p>
    <w:tbl>
      <w:tblPr>
        <w:tblLayout w:type="fixed"/>
        <w:tblInd w:w="480" w:type="dxa"/>
        <w:tblCellMar>
          <w:top w:w="0" w:type="dxa"/>
          <w:left w:w="0" w:type="dxa"/>
          <w:bottom w:w="0" w:type="dxa"/>
          <w:right w:w="0" w:type="dxa"/>
        </w:tblCellMar>
      </w:tblPr>
      <w:tr>
        <w:trPr>
          <w:trHeight w:val="159"/>
        </w:trPr>
        <w:tc>
          <w:tcPr>
            <w:tcW w:w="5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5"/>
          </w:tcPr>
          <w:p>
            <w:pPr>
              <w:ind w:left="360"/>
              <w:spacing w:after="0" w:line="159" w:lineRule="exact"/>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3"/>
                <w:szCs w:val="13"/>
                <w:color w:val="auto"/>
              </w:rPr>
            </w:pPr>
          </w:p>
        </w:tc>
        <w:tc>
          <w:tcPr>
            <w:tcW w:w="2140" w:type="dxa"/>
            <w:vAlign w:val="bottom"/>
            <w:gridSpan w:val="4"/>
          </w:tcPr>
          <w:p>
            <w:pPr>
              <w:jc w:val="right"/>
              <w:ind w:right="302"/>
              <w:spacing w:after="0" w:line="159" w:lineRule="exact"/>
              <w:rPr>
                <w:sz w:val="20"/>
                <w:szCs w:val="20"/>
                <w:color w:val="auto"/>
              </w:rPr>
            </w:pPr>
            <w:r>
              <w:rPr>
                <w:rFonts w:ascii="Arial" w:cs="Arial" w:eastAsia="Arial" w:hAnsi="Arial"/>
                <w:sz w:val="16"/>
                <w:szCs w:val="16"/>
                <w:b w:val="1"/>
                <w:bCs w:val="1"/>
                <w:color w:val="auto"/>
              </w:rPr>
              <w:t>Nine Months Ended</w:t>
            </w:r>
          </w:p>
        </w:tc>
      </w:tr>
      <w:tr>
        <w:trPr>
          <w:trHeight w:val="206"/>
        </w:trPr>
        <w:tc>
          <w:tcPr>
            <w:tcW w:w="5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Borders>
              <w:bottom w:val="single" w:sz="8" w:color="auto"/>
            </w:tcBorders>
          </w:tcPr>
          <w:p>
            <w:pPr>
              <w:spacing w:after="0"/>
              <w:rPr>
                <w:sz w:val="17"/>
                <w:szCs w:val="17"/>
                <w:color w:val="auto"/>
              </w:rPr>
            </w:pPr>
          </w:p>
        </w:tc>
      </w:tr>
      <w:tr>
        <w:trPr>
          <w:trHeight w:val="202"/>
        </w:trPr>
        <w:tc>
          <w:tcPr>
            <w:tcW w:w="55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89"/>
              </w:rPr>
              <w:t>2022</w:t>
            </w:r>
          </w:p>
        </w:tc>
      </w:tr>
      <w:tr>
        <w:trPr>
          <w:trHeight w:val="205"/>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Canada</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6"/>
        </w:trPr>
        <w:tc>
          <w:tcPr>
            <w:tcW w:w="5560" w:type="dxa"/>
            <w:vAlign w:val="bottom"/>
          </w:tcPr>
          <w:p>
            <w:pPr>
              <w:ind w:left="20"/>
              <w:spacing w:after="0"/>
              <w:rPr>
                <w:sz w:val="20"/>
                <w:szCs w:val="20"/>
                <w:color w:val="auto"/>
              </w:rPr>
            </w:pPr>
            <w:r>
              <w:rPr>
                <w:rFonts w:ascii="Arial" w:cs="Arial" w:eastAsia="Arial" w:hAnsi="Arial"/>
                <w:sz w:val="16"/>
                <w:szCs w:val="16"/>
                <w:color w:val="auto"/>
              </w:rPr>
              <w:t>Accommodation revenues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71,417</w:t>
            </w:r>
          </w:p>
        </w:tc>
        <w:tc>
          <w:tcPr>
            <w:tcW w:w="100" w:type="dxa"/>
            <w:vAlign w:val="bottom"/>
          </w:tcPr>
          <w:p>
            <w:pPr>
              <w:spacing w:after="0"/>
              <w:rPr>
                <w:sz w:val="17"/>
                <w:szCs w:val="17"/>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72,724</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208,000</w:t>
            </w:r>
          </w:p>
        </w:tc>
        <w:tc>
          <w:tcPr>
            <w:tcW w:w="100" w:type="dxa"/>
            <w:vAlign w:val="bottom"/>
          </w:tcPr>
          <w:p>
            <w:pPr>
              <w:spacing w:after="0"/>
              <w:rPr>
                <w:sz w:val="17"/>
                <w:szCs w:val="17"/>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12"/>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Mobile facility rental 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17,314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06"/>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6,413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17,315</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5"/>
        </w:trPr>
        <w:tc>
          <w:tcPr>
            <w:tcW w:w="5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Canada revenues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95,144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280,067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105"/>
        </w:trPr>
        <w:tc>
          <w:tcPr>
            <w:tcW w:w="5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Australia</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6"/>
        </w:trPr>
        <w:tc>
          <w:tcPr>
            <w:tcW w:w="5560" w:type="dxa"/>
            <w:vAlign w:val="bottom"/>
          </w:tcPr>
          <w:p>
            <w:pPr>
              <w:ind w:left="20"/>
              <w:spacing w:after="0"/>
              <w:rPr>
                <w:sz w:val="20"/>
                <w:szCs w:val="20"/>
                <w:color w:val="auto"/>
              </w:rPr>
            </w:pPr>
            <w:r>
              <w:rPr>
                <w:rFonts w:ascii="Arial" w:cs="Arial" w:eastAsia="Arial" w:hAnsi="Arial"/>
                <w:sz w:val="16"/>
                <w:szCs w:val="16"/>
                <w:color w:val="auto"/>
              </w:rPr>
              <w:t>Accommodation revenues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46,012</w:t>
            </w:r>
          </w:p>
        </w:tc>
        <w:tc>
          <w:tcPr>
            <w:tcW w:w="100" w:type="dxa"/>
            <w:vAlign w:val="bottom"/>
          </w:tcPr>
          <w:p>
            <w:pPr>
              <w:spacing w:after="0"/>
              <w:rPr>
                <w:sz w:val="17"/>
                <w:szCs w:val="17"/>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38,316</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130,953</w:t>
            </w:r>
          </w:p>
        </w:tc>
        <w:tc>
          <w:tcPr>
            <w:tcW w:w="100" w:type="dxa"/>
            <w:vAlign w:val="bottom"/>
          </w:tcPr>
          <w:p>
            <w:pPr>
              <w:spacing w:after="0"/>
              <w:rPr>
                <w:sz w:val="17"/>
                <w:szCs w:val="17"/>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2"/>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41,873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35,489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116,465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199"/>
        </w:trPr>
        <w:tc>
          <w:tcPr>
            <w:tcW w:w="5560" w:type="dxa"/>
            <w:vAlign w:val="bottom"/>
          </w:tcPr>
          <w:p>
            <w:pPr>
              <w:ind w:left="140"/>
              <w:spacing w:after="0"/>
              <w:rPr>
                <w:sz w:val="20"/>
                <w:szCs w:val="20"/>
                <w:color w:val="auto"/>
              </w:rPr>
            </w:pPr>
            <w:r>
              <w:rPr>
                <w:rFonts w:ascii="Arial" w:cs="Arial" w:eastAsia="Arial" w:hAnsi="Arial"/>
                <w:sz w:val="16"/>
                <w:szCs w:val="16"/>
                <w:color w:val="auto"/>
              </w:rPr>
              <w:t>Total Australia revenues</w:t>
            </w:r>
          </w:p>
        </w:tc>
        <w:tc>
          <w:tcPr>
            <w:tcW w:w="30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87,885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73,805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247,418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108"/>
        </w:trPr>
        <w:tc>
          <w:tcPr>
            <w:tcW w:w="55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r>
      <w:tr>
        <w:trPr>
          <w:trHeight w:val="206"/>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2"/>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199"/>
        </w:trPr>
        <w:tc>
          <w:tcPr>
            <w:tcW w:w="5560" w:type="dxa"/>
            <w:vAlign w:val="bottom"/>
          </w:tcPr>
          <w:p>
            <w:pPr>
              <w:ind w:left="140"/>
              <w:spacing w:after="0"/>
              <w:rPr>
                <w:sz w:val="20"/>
                <w:szCs w:val="20"/>
                <w:color w:val="auto"/>
              </w:rPr>
            </w:pPr>
            <w:r>
              <w:rPr>
                <w:rFonts w:ascii="Arial" w:cs="Arial" w:eastAsia="Arial" w:hAnsi="Arial"/>
                <w:sz w:val="16"/>
                <w:szCs w:val="16"/>
                <w:color w:val="auto"/>
              </w:rPr>
              <w:t>Total other revenues</w:t>
            </w:r>
          </w:p>
        </w:tc>
        <w:tc>
          <w:tcPr>
            <w:tcW w:w="30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2,521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08"/>
        </w:trPr>
        <w:tc>
          <w:tcPr>
            <w:tcW w:w="556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r>
      <w:tr>
        <w:trPr>
          <w:trHeight w:val="202"/>
        </w:trPr>
        <w:tc>
          <w:tcPr>
            <w:tcW w:w="55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183,572</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184,227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530,006</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Our payment terms vary by the type and location of our customer and the products or services offered. The time between invoicing and when our performance obligations are satisfied is not significant. Payment terms are generally within 30 days and in most cases do not extend beyond 60 days. We do not have significant financing components or significant payment terms.</w:t>
      </w:r>
    </w:p>
    <w:p>
      <w:pPr>
        <w:spacing w:after="0" w:line="198"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As of September 30, 2023,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8"/>
          </w:tcPr>
          <w:p>
            <w:pPr>
              <w:ind w:left="640"/>
              <w:spacing w:after="0"/>
              <w:rPr>
                <w:sz w:val="20"/>
                <w:szCs w:val="20"/>
                <w:color w:val="auto"/>
              </w:rPr>
            </w:pPr>
            <w:r>
              <w:rPr>
                <w:rFonts w:ascii="Arial" w:cs="Arial" w:eastAsia="Arial" w:hAnsi="Arial"/>
                <w:sz w:val="16"/>
                <w:szCs w:val="16"/>
                <w:b w:val="1"/>
                <w:bCs w:val="1"/>
                <w:color w:val="auto"/>
              </w:rPr>
              <w:t>For the years ending December 31,</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2"/>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Thereafter</w:t>
            </w:r>
          </w:p>
        </w:tc>
        <w:tc>
          <w:tcPr>
            <w:tcW w:w="300" w:type="dxa"/>
            <w:vAlign w:val="bottom"/>
          </w:tcPr>
          <w:p>
            <w:pPr>
              <w:spacing w:after="0"/>
              <w:rPr>
                <w:sz w:val="17"/>
                <w:szCs w:val="17"/>
                <w:color w:val="auto"/>
              </w:rPr>
            </w:pPr>
          </w:p>
        </w:tc>
        <w:tc>
          <w:tcPr>
            <w:tcW w:w="1040" w:type="dxa"/>
            <w:vAlign w:val="bottom"/>
          </w:tcPr>
          <w:p>
            <w:pPr>
              <w:jc w:val="right"/>
              <w:ind w:right="4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3"/>
        </w:trPr>
        <w:tc>
          <w:tcPr>
            <w:tcW w:w="35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6"/>
                <w:szCs w:val="16"/>
                <w:color w:val="auto"/>
                <w:w w:val="92"/>
              </w:rPr>
              <w:t>Revenue expected to be recognized as of September</w:t>
            </w:r>
          </w:p>
        </w:tc>
        <w:tc>
          <w:tcPr>
            <w:tcW w:w="300" w:type="dxa"/>
            <w:vAlign w:val="bottom"/>
            <w:tcBorders>
              <w:top w:val="single" w:sz="8" w:color="auto"/>
            </w:tcBorders>
            <w:vMerge w:val="restart"/>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43,646</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151,716</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111,329</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383,980</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690,671</w:t>
            </w:r>
          </w:p>
        </w:tc>
        <w:tc>
          <w:tcPr>
            <w:tcW w:w="0" w:type="dxa"/>
            <w:vAlign w:val="bottom"/>
          </w:tcPr>
          <w:p>
            <w:pPr>
              <w:spacing w:after="0"/>
              <w:rPr>
                <w:sz w:val="1"/>
                <w:szCs w:val="1"/>
                <w:color w:val="auto"/>
              </w:rPr>
            </w:pPr>
          </w:p>
        </w:tc>
      </w:tr>
      <w:tr>
        <w:trPr>
          <w:trHeight w:val="206"/>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30, 2023</w:t>
            </w:r>
          </w:p>
        </w:tc>
        <w:tc>
          <w:tcPr>
            <w:tcW w:w="3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right="100" w:firstLine="470"/>
        <w:spacing w:after="0" w:line="267" w:lineRule="auto"/>
        <w:rPr>
          <w:sz w:val="20"/>
          <w:szCs w:val="20"/>
          <w:color w:val="auto"/>
        </w:rPr>
      </w:pPr>
      <w:r>
        <w:rPr>
          <w:rFonts w:ascii="Arial" w:cs="Arial" w:eastAsia="Arial" w:hAnsi="Arial"/>
          <w:sz w:val="17"/>
          <w:szCs w:val="17"/>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196" w:lineRule="exact"/>
        <w:rPr>
          <w:sz w:val="20"/>
          <w:szCs w:val="20"/>
          <w:color w:val="auto"/>
        </w:rPr>
      </w:pPr>
    </w:p>
    <w:p>
      <w:pPr>
        <w:ind w:left="320" w:hanging="315"/>
        <w:spacing w:after="0"/>
        <w:tabs>
          <w:tab w:leader="none" w:pos="3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58" w:lineRule="exact"/>
        <w:rPr>
          <w:sz w:val="20"/>
          <w:szCs w:val="20"/>
          <w:color w:val="auto"/>
        </w:rPr>
      </w:pPr>
    </w:p>
    <w:p>
      <w:pPr>
        <w:jc w:val="both"/>
        <w:ind w:right="100" w:firstLine="470"/>
        <w:spacing w:after="0" w:line="324" w:lineRule="auto"/>
        <w:rPr>
          <w:sz w:val="20"/>
          <w:szCs w:val="20"/>
          <w:color w:val="auto"/>
        </w:rPr>
      </w:pPr>
      <w:r>
        <w:rPr>
          <w:rFonts w:ascii="Arial" w:cs="Arial" w:eastAsia="Arial" w:hAnsi="Arial"/>
          <w:sz w:val="15"/>
          <w:szCs w:val="15"/>
          <w:color w:val="auto"/>
        </w:rPr>
        <w:t>As of September 30, 2023 and December 31, 2022, we believe the carrying value of our floating-rate debt outstanding under our term loans and revolving credit facilities approximates fair value because the terms include short-term interest rates and exclude penalties for prepayment. In addition, the estimated fair value of our assets held for sale is based upon Level 2 fair value measurements, which include appraisals and previous negotiations with third parties.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0" w:name="page11"/>
    <w:bookmarkEnd w:id="10"/>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05"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DETAILS OF SELECTED BALANCE SHEET ACCOUNTS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Additional information regarding selected balance sheet accounts at September 30, 2023 and December 31, 2022 is presented below (in thousands):</w:t>
      </w:r>
    </w:p>
    <w:p>
      <w:pPr>
        <w:spacing w:after="0" w:line="352"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7260" w:type="dxa"/>
            <w:vAlign w:val="bottom"/>
          </w:tcPr>
          <w:p>
            <w:pPr>
              <w:spacing w:after="0"/>
              <w:rPr>
                <w:sz w:val="17"/>
                <w:szCs w:val="17"/>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September 30, 2023</w:t>
            </w:r>
          </w:p>
        </w:tc>
        <w:tc>
          <w:tcPr>
            <w:tcW w:w="142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w w:val="91"/>
              </w:rPr>
              <w:t>December 31, 2022</w:t>
            </w:r>
          </w:p>
        </w:tc>
      </w:tr>
      <w:tr>
        <w:trPr>
          <w:trHeight w:val="205"/>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Accounts receivable, net:</w:t>
            </w: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6"/>
        </w:trPr>
        <w:tc>
          <w:tcPr>
            <w:tcW w:w="7260" w:type="dxa"/>
            <w:vAlign w:val="bottom"/>
          </w:tcPr>
          <w:p>
            <w:pPr>
              <w:ind w:left="20"/>
              <w:spacing w:after="0"/>
              <w:rPr>
                <w:sz w:val="20"/>
                <w:szCs w:val="20"/>
                <w:color w:val="auto"/>
              </w:rPr>
            </w:pPr>
            <w:r>
              <w:rPr>
                <w:rFonts w:ascii="Arial" w:cs="Arial" w:eastAsia="Arial" w:hAnsi="Arial"/>
                <w:sz w:val="16"/>
                <w:szCs w:val="16"/>
                <w:color w:val="auto"/>
              </w:rPr>
              <w:t>Trade</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87,567</w:t>
            </w:r>
          </w:p>
        </w:tc>
        <w:tc>
          <w:tcPr>
            <w:tcW w:w="120" w:type="dxa"/>
            <w:vAlign w:val="bottom"/>
          </w:tcPr>
          <w:p>
            <w:pPr>
              <w:spacing w:after="0"/>
              <w:rPr>
                <w:sz w:val="17"/>
                <w:szCs w:val="17"/>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65,563</w:t>
            </w:r>
          </w:p>
        </w:tc>
      </w:tr>
      <w:tr>
        <w:trPr>
          <w:trHeight w:val="212"/>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64,820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52,547</w:t>
            </w:r>
          </w:p>
        </w:tc>
      </w:tr>
      <w:tr>
        <w:trPr>
          <w:trHeight w:val="206"/>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1,739</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w:t>
            </w:r>
          </w:p>
        </w:tc>
      </w:tr>
      <w:tr>
        <w:trPr>
          <w:trHeight w:val="205"/>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accounts receivable</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154,126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120,054</w:t>
            </w:r>
          </w:p>
        </w:tc>
      </w:tr>
      <w:tr>
        <w:trPr>
          <w:trHeight w:val="206"/>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credit losses</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r>
      <w:tr>
        <w:trPr>
          <w:trHeight w:val="23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accounts receivable, net</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153,946</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119,755</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726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5"/>
              </w:rPr>
              <w:t>September 30, 2023</w:t>
            </w:r>
          </w:p>
        </w:tc>
        <w:tc>
          <w:tcPr>
            <w:tcW w:w="144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w w:val="92"/>
              </w:rPr>
              <w:t>December 31, 2022</w:t>
            </w:r>
          </w:p>
        </w:tc>
      </w:tr>
      <w:tr>
        <w:trPr>
          <w:trHeight w:val="205"/>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Inventories:</w:t>
            </w: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6"/>
        </w:trPr>
        <w:tc>
          <w:tcPr>
            <w:tcW w:w="7260" w:type="dxa"/>
            <w:vAlign w:val="bottom"/>
          </w:tcPr>
          <w:p>
            <w:pPr>
              <w:ind w:left="20"/>
              <w:spacing w:after="0"/>
              <w:rPr>
                <w:sz w:val="20"/>
                <w:szCs w:val="20"/>
                <w:color w:val="auto"/>
              </w:rPr>
            </w:pPr>
            <w:r>
              <w:rPr>
                <w:rFonts w:ascii="Arial" w:cs="Arial" w:eastAsia="Arial" w:hAnsi="Arial"/>
                <w:sz w:val="16"/>
                <w:szCs w:val="16"/>
                <w:color w:val="auto"/>
              </w:rPr>
              <w:t>Finished goods and purchased products</w:t>
            </w:r>
          </w:p>
        </w:tc>
        <w:tc>
          <w:tcPr>
            <w:tcW w:w="52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4,955</w:t>
            </w:r>
          </w:p>
        </w:tc>
        <w:tc>
          <w:tcPr>
            <w:tcW w:w="100" w:type="dxa"/>
            <w:vAlign w:val="bottom"/>
          </w:tcPr>
          <w:p>
            <w:pPr>
              <w:spacing w:after="0"/>
              <w:rPr>
                <w:sz w:val="17"/>
                <w:szCs w:val="17"/>
                <w:color w:val="auto"/>
              </w:rPr>
            </w:pPr>
          </w:p>
        </w:tc>
        <w:tc>
          <w:tcPr>
            <w:tcW w:w="560" w:type="dxa"/>
            <w:vAlign w:val="bottom"/>
          </w:tcPr>
          <w:p>
            <w:pPr>
              <w:jc w:val="right"/>
              <w:ind w:right="3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5,538</w:t>
            </w:r>
          </w:p>
        </w:tc>
      </w:tr>
      <w:tr>
        <w:trPr>
          <w:trHeight w:val="209"/>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w:t>
            </w:r>
          </w:p>
        </w:tc>
      </w:tr>
      <w:tr>
        <w:trPr>
          <w:trHeight w:val="205"/>
        </w:trPr>
        <w:tc>
          <w:tcPr>
            <w:tcW w:w="7260" w:type="dxa"/>
            <w:vAlign w:val="bottom"/>
          </w:tcPr>
          <w:p>
            <w:pPr>
              <w:ind w:left="20"/>
              <w:spacing w:after="0"/>
              <w:rPr>
                <w:sz w:val="20"/>
                <w:szCs w:val="20"/>
                <w:color w:val="auto"/>
              </w:rPr>
            </w:pPr>
            <w:r>
              <w:rPr>
                <w:rFonts w:ascii="Arial" w:cs="Arial" w:eastAsia="Arial" w:hAnsi="Arial"/>
                <w:sz w:val="16"/>
                <w:szCs w:val="16"/>
                <w:color w:val="auto"/>
              </w:rPr>
              <w:t>Total inventories</w:t>
            </w:r>
          </w:p>
        </w:tc>
        <w:tc>
          <w:tcPr>
            <w:tcW w:w="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6,272</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6,907</w:t>
            </w:r>
          </w:p>
        </w:tc>
      </w:tr>
      <w:tr>
        <w:trPr>
          <w:trHeight w:val="20"/>
        </w:trPr>
        <w:tc>
          <w:tcPr>
            <w:tcW w:w="7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8"/>
              </w:rPr>
              <w:t>Estimated</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100" w:type="dxa"/>
            <w:vAlign w:val="bottom"/>
          </w:tcPr>
          <w:p>
            <w:pPr>
              <w:spacing w:after="0"/>
              <w:rPr>
                <w:sz w:val="13"/>
                <w:szCs w:val="13"/>
                <w:color w:val="auto"/>
              </w:rPr>
            </w:pPr>
          </w:p>
        </w:tc>
        <w:tc>
          <w:tcPr>
            <w:tcW w:w="1440" w:type="dxa"/>
            <w:vAlign w:val="bottom"/>
            <w:gridSpan w:val="4"/>
          </w:tcPr>
          <w:p>
            <w:pPr>
              <w:jc w:val="center"/>
              <w:ind w:right="140"/>
              <w:spacing w:after="0" w:line="157" w:lineRule="exact"/>
              <w:rPr>
                <w:sz w:val="20"/>
                <w:szCs w:val="20"/>
                <w:color w:val="auto"/>
              </w:rPr>
            </w:pPr>
            <w:r>
              <w:rPr>
                <w:rFonts w:ascii="Arial" w:cs="Arial" w:eastAsia="Arial" w:hAnsi="Arial"/>
                <w:sz w:val="16"/>
                <w:szCs w:val="16"/>
                <w:b w:val="1"/>
                <w:bCs w:val="1"/>
                <w:color w:val="auto"/>
                <w:w w:val="90"/>
              </w:rPr>
              <w:t>Useful Life</w:t>
            </w:r>
          </w:p>
        </w:tc>
        <w:tc>
          <w:tcPr>
            <w:tcW w:w="14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5"/>
              </w:rPr>
              <w:t>September 30, 2023</w:t>
            </w:r>
          </w:p>
        </w:tc>
        <w:tc>
          <w:tcPr>
            <w:tcW w:w="14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December 31, 2022</w:t>
            </w:r>
          </w:p>
        </w:tc>
        <w:tc>
          <w:tcPr>
            <w:tcW w:w="0" w:type="dxa"/>
            <w:vAlign w:val="bottom"/>
          </w:tcPr>
          <w:p>
            <w:pPr>
              <w:spacing w:after="0"/>
              <w:rPr>
                <w:sz w:val="1"/>
                <w:szCs w:val="1"/>
                <w:color w:val="auto"/>
              </w:rPr>
            </w:pPr>
          </w:p>
        </w:tc>
      </w:tr>
      <w:tr>
        <w:trPr>
          <w:trHeight w:val="206"/>
        </w:trPr>
        <w:tc>
          <w:tcPr>
            <w:tcW w:w="6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7"/>
              </w:rPr>
              <w:t>(in years)</w:t>
            </w:r>
          </w:p>
        </w:tc>
        <w:tc>
          <w:tcPr>
            <w:tcW w:w="1480" w:type="dxa"/>
            <w:vAlign w:val="bottom"/>
            <w:gridSpan w:val="3"/>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Arial" w:cs="Arial" w:eastAsia="Arial" w:hAnsi="Arial"/>
                <w:sz w:val="16"/>
                <w:szCs w:val="16"/>
                <w:color w:val="auto"/>
              </w:rPr>
              <w:t>Land</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25,528</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Accommodations assets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1,330,164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1,464,476</w:t>
            </w: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540" w:type="dxa"/>
            <w:vAlign w:val="bottom"/>
          </w:tcPr>
          <w:p>
            <w:pPr>
              <w:ind w:left="10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15,396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15,516</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11,775</w:t>
            </w: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Arial" w:cs="Arial" w:eastAsia="Arial" w:hAnsi="Arial"/>
                <w:sz w:val="16"/>
                <w:szCs w:val="16"/>
                <w:color w:val="auto"/>
              </w:rPr>
              <w:t>Office furniture and equipment</w:t>
            </w: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540" w:type="dxa"/>
            <w:vAlign w:val="bottom"/>
          </w:tcPr>
          <w:p>
            <w:pPr>
              <w:ind w:left="10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64,981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62,725</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8,411</w:t>
            </w:r>
          </w:p>
        </w:tc>
        <w:tc>
          <w:tcPr>
            <w:tcW w:w="0" w:type="dxa"/>
            <w:vAlign w:val="bottom"/>
          </w:tcPr>
          <w:p>
            <w:pPr>
              <w:spacing w:after="0"/>
              <w:rPr>
                <w:sz w:val="1"/>
                <w:szCs w:val="1"/>
                <w:color w:val="auto"/>
              </w:rPr>
            </w:pPr>
          </w:p>
        </w:tc>
      </w:tr>
      <w:tr>
        <w:trPr>
          <w:trHeight w:val="206"/>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1,771</w:t>
            </w:r>
          </w:p>
        </w:tc>
        <w:tc>
          <w:tcPr>
            <w:tcW w:w="0" w:type="dxa"/>
            <w:vAlign w:val="bottom"/>
          </w:tcPr>
          <w:p>
            <w:pPr>
              <w:spacing w:after="0"/>
              <w:rPr>
                <w:sz w:val="1"/>
                <w:szCs w:val="1"/>
                <w:color w:val="auto"/>
              </w:rPr>
            </w:pPr>
          </w:p>
        </w:tc>
      </w:tr>
      <w:tr>
        <w:trPr>
          <w:trHeight w:val="205"/>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property, plant and equipment</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1,467,085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1,590,202</w:t>
            </w:r>
          </w:p>
        </w:tc>
        <w:tc>
          <w:tcPr>
            <w:tcW w:w="0" w:type="dxa"/>
            <w:vAlign w:val="bottom"/>
          </w:tcPr>
          <w:p>
            <w:pPr>
              <w:spacing w:after="0"/>
              <w:rPr>
                <w:sz w:val="1"/>
                <w:szCs w:val="1"/>
                <w:color w:val="auto"/>
              </w:rPr>
            </w:pPr>
          </w:p>
        </w:tc>
      </w:tr>
      <w:tr>
        <w:trPr>
          <w:trHeight w:val="206"/>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depreciation</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(1,203,649)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(1,288,312)</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property, plant and equipment, net</w:t>
            </w:r>
          </w:p>
        </w:tc>
        <w:tc>
          <w:tcPr>
            <w:tcW w:w="3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263,436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301,890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7240" w:type="dxa"/>
            <w:vAlign w:val="bottom"/>
          </w:tcPr>
          <w:p>
            <w:pPr>
              <w:spacing w:after="0"/>
              <w:rPr>
                <w:sz w:val="17"/>
                <w:szCs w:val="17"/>
                <w:color w:val="auto"/>
              </w:rPr>
            </w:pPr>
          </w:p>
        </w:tc>
        <w:tc>
          <w:tcPr>
            <w:tcW w:w="1520" w:type="dxa"/>
            <w:vAlign w:val="bottom"/>
            <w:gridSpan w:val="3"/>
          </w:tcPr>
          <w:p>
            <w:pPr>
              <w:ind w:left="60"/>
              <w:spacing w:after="0"/>
              <w:rPr>
                <w:sz w:val="20"/>
                <w:szCs w:val="20"/>
                <w:color w:val="auto"/>
              </w:rPr>
            </w:pPr>
            <w:r>
              <w:rPr>
                <w:rFonts w:ascii="Arial" w:cs="Arial" w:eastAsia="Arial" w:hAnsi="Arial"/>
                <w:sz w:val="16"/>
                <w:szCs w:val="16"/>
                <w:b w:val="1"/>
                <w:bCs w:val="1"/>
                <w:color w:val="auto"/>
                <w:w w:val="96"/>
              </w:rPr>
              <w:t>September 30, 2023</w:t>
            </w:r>
          </w:p>
        </w:tc>
        <w:tc>
          <w:tcPr>
            <w:tcW w:w="142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w w:val="91"/>
              </w:rPr>
              <w:t>December 31, 2022</w:t>
            </w:r>
          </w:p>
        </w:tc>
      </w:tr>
      <w:tr>
        <w:trPr>
          <w:trHeight w:val="205"/>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Accrued liabilities:</w:t>
            </w: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6"/>
        </w:trPr>
        <w:tc>
          <w:tcPr>
            <w:tcW w:w="7240" w:type="dxa"/>
            <w:vAlign w:val="bottom"/>
          </w:tcPr>
          <w:p>
            <w:pPr>
              <w:spacing w:after="0"/>
              <w:rPr>
                <w:sz w:val="20"/>
                <w:szCs w:val="20"/>
                <w:color w:val="auto"/>
              </w:rPr>
            </w:pPr>
            <w:r>
              <w:rPr>
                <w:rFonts w:ascii="Arial" w:cs="Arial" w:eastAsia="Arial" w:hAnsi="Arial"/>
                <w:sz w:val="16"/>
                <w:szCs w:val="16"/>
                <w:color w:val="auto"/>
              </w:rPr>
              <w:t>Accrued compensation</w:t>
            </w: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27,888</w:t>
            </w:r>
          </w:p>
        </w:tc>
        <w:tc>
          <w:tcPr>
            <w:tcW w:w="100" w:type="dxa"/>
            <w:vAlign w:val="bottom"/>
          </w:tcPr>
          <w:p>
            <w:pPr>
              <w:spacing w:after="0"/>
              <w:rPr>
                <w:sz w:val="17"/>
                <w:szCs w:val="17"/>
                <w:color w:val="auto"/>
              </w:rPr>
            </w:pP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34,358</w:t>
            </w:r>
          </w:p>
        </w:tc>
      </w:tr>
      <w:tr>
        <w:trPr>
          <w:trHeight w:val="212"/>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Accrued taxes, other than income taxes</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2,988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2,873</w:t>
            </w:r>
          </w:p>
        </w:tc>
      </w:tr>
      <w:tr>
        <w:trPr>
          <w:trHeight w:val="209"/>
        </w:trPr>
        <w:tc>
          <w:tcPr>
            <w:tcW w:w="7240" w:type="dxa"/>
            <w:vAlign w:val="bottom"/>
            <w:tcBorders>
              <w:bottom w:val="single" w:sz="8" w:color="CCEEFF"/>
            </w:tcBorders>
          </w:tcPr>
          <w:p>
            <w:pPr>
              <w:spacing w:after="0" w:line="20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0"/>
                <w:szCs w:val="20"/>
                <w:color w:val="auto"/>
                <w:vertAlign w:val="superscript"/>
              </w:rPr>
              <w:t>(1)</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17,817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1,980</w:t>
            </w:r>
          </w:p>
        </w:tc>
      </w:tr>
      <w:tr>
        <w:trPr>
          <w:trHeight w:val="227"/>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accrued liabilities</w:t>
            </w: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48,693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39,211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640" w:hanging="322"/>
        <w:spacing w:after="0" w:line="321" w:lineRule="auto"/>
        <w:tabs>
          <w:tab w:leader="none" w:pos="628" w:val="left"/>
        </w:tabs>
        <w:numPr>
          <w:ilvl w:val="0"/>
          <w:numId w:val="7"/>
        </w:numPr>
        <w:rPr>
          <w:rFonts w:ascii="Arial" w:cs="Arial" w:eastAsia="Arial" w:hAnsi="Arial"/>
          <w:sz w:val="10"/>
          <w:szCs w:val="10"/>
          <w:color w:val="auto"/>
        </w:rPr>
      </w:pPr>
      <w:r>
        <w:rPr>
          <w:rFonts w:ascii="Arial" w:cs="Arial" w:eastAsia="Arial" w:hAnsi="Arial"/>
          <w:sz w:val="16"/>
          <w:szCs w:val="16"/>
          <w:color w:val="auto"/>
        </w:rPr>
        <w:t>The increase in Other accrued liabilities from December 31, 2022 to September 30, 2023 was due to payments received in the third quarter of 2023 from a customer related to an asset sale contract, which are expected to be recognized in the fourth quarter of 2023 and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Contract liabilities (Deferred revenue):</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Current contract liabilities </w:t>
      </w:r>
      <w:r>
        <w:rPr>
          <w:rFonts w:ascii="Arial" w:cs="Arial" w:eastAsia="Arial" w:hAnsi="Arial"/>
          <w:sz w:val="20"/>
          <w:szCs w:val="20"/>
          <w:color w:val="auto"/>
          <w:vertAlign w:val="superscript"/>
        </w:rPr>
        <w:t>(1)</w:t>
      </w:r>
    </w:p>
    <w:p>
      <w:pPr>
        <w:ind w:left="180"/>
        <w:spacing w:after="0"/>
        <w:rPr>
          <w:sz w:val="20"/>
          <w:szCs w:val="20"/>
          <w:color w:val="auto"/>
        </w:rPr>
      </w:pPr>
      <w:r>
        <w:rPr>
          <w:rFonts w:ascii="Arial" w:cs="Arial" w:eastAsia="Arial" w:hAnsi="Arial"/>
          <w:sz w:val="16"/>
          <w:szCs w:val="16"/>
          <w:color w:val="auto"/>
        </w:rPr>
        <w:t xml:space="preserve">Noncurrent contract liabilities </w:t>
      </w:r>
      <w:r>
        <w:rPr>
          <w:rFonts w:ascii="Arial" w:cs="Arial" w:eastAsia="Arial" w:hAnsi="Arial"/>
          <w:sz w:val="20"/>
          <w:szCs w:val="20"/>
          <w:color w:val="auto"/>
          <w:vertAlign w:val="superscript"/>
        </w:rPr>
        <w:t>(1)</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contract liabilities (Deferred revenue)</w:t>
      </w:r>
    </w:p>
    <w:p>
      <w:pPr>
        <w:spacing w:after="0" w:line="20" w:lineRule="exact"/>
        <w:rPr>
          <w:sz w:val="20"/>
          <w:szCs w:val="20"/>
          <w:color w:val="auto"/>
        </w:rPr>
      </w:pPr>
      <w:r>
        <w:rPr>
          <w:sz w:val="20"/>
          <w:szCs w:val="20"/>
          <w:color w:val="auto"/>
        </w:rPr>
        <w:br w:type="column"/>
      </w:r>
    </w:p>
    <w:p>
      <w:pPr>
        <w:jc w:val="center"/>
        <w:ind w:right="3820"/>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382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3820"/>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3820"/>
        <w:spacing w:after="0"/>
        <w:rPr>
          <w:sz w:val="20"/>
          <w:szCs w:val="20"/>
          <w:color w:val="auto"/>
        </w:rPr>
      </w:pPr>
      <w:r>
        <w:rPr>
          <w:rFonts w:ascii="Arial" w:cs="Arial" w:eastAsia="Arial" w:hAnsi="Arial"/>
          <w:sz w:val="17"/>
          <w:szCs w:val="17"/>
          <w:b w:val="1"/>
          <w:bCs w:val="1"/>
          <w:color w:val="auto"/>
        </w:rPr>
        <w:t>(Continued)</w:t>
      </w:r>
    </w:p>
    <w:p>
      <w:pPr>
        <w:spacing w:after="0" w:line="248" w:lineRule="exact"/>
        <w:rPr>
          <w:sz w:val="20"/>
          <w:szCs w:val="20"/>
          <w:color w:val="auto"/>
        </w:rPr>
      </w:pPr>
    </w:p>
    <w:tbl>
      <w:tblPr>
        <w:tblLayout w:type="fixed"/>
        <w:tblInd w:w="3800" w:type="dxa"/>
        <w:tblCellMar>
          <w:top w:w="0" w:type="dxa"/>
          <w:left w:w="0" w:type="dxa"/>
          <w:bottom w:w="0" w:type="dxa"/>
          <w:right w:w="0" w:type="dxa"/>
        </w:tblCellMar>
      </w:tblPr>
      <w:tr>
        <w:trPr>
          <w:trHeight w:val="207"/>
        </w:trPr>
        <w:tc>
          <w:tcPr>
            <w:tcW w:w="166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2023</w:t>
            </w: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w w:val="88"/>
              </w:rPr>
              <w:t>December 31, 2022</w:t>
            </w:r>
          </w:p>
        </w:tc>
      </w:tr>
      <w:tr>
        <w:trPr>
          <w:trHeight w:val="395"/>
        </w:trPr>
        <w:tc>
          <w:tcPr>
            <w:tcW w:w="520" w:type="dxa"/>
            <w:vAlign w:val="bottom"/>
            <w:tcBorders>
              <w:top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6,884</w:t>
            </w:r>
          </w:p>
        </w:tc>
        <w:tc>
          <w:tcPr>
            <w:tcW w:w="220" w:type="dxa"/>
            <w:vAlign w:val="bottom"/>
          </w:tcPr>
          <w:p>
            <w:pPr>
              <w:spacing w:after="0"/>
              <w:rPr>
                <w:sz w:val="24"/>
                <w:szCs w:val="24"/>
                <w:color w:val="auto"/>
              </w:rPr>
            </w:pPr>
          </w:p>
        </w:tc>
        <w:tc>
          <w:tcPr>
            <w:tcW w:w="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991</w:t>
            </w:r>
          </w:p>
        </w:tc>
      </w:tr>
      <w:tr>
        <w:trPr>
          <w:trHeight w:val="212"/>
        </w:trPr>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7,986</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r>
      <w:tr>
        <w:trPr>
          <w:trHeight w:val="202"/>
        </w:trPr>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14,870</w:t>
            </w:r>
          </w:p>
        </w:tc>
        <w:tc>
          <w:tcPr>
            <w:tcW w:w="220" w:type="dxa"/>
            <w:vAlign w:val="bottom"/>
          </w:tcPr>
          <w:p>
            <w:pPr>
              <w:spacing w:after="0"/>
              <w:rPr>
                <w:sz w:val="17"/>
                <w:szCs w:val="17"/>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991</w:t>
            </w:r>
          </w:p>
        </w:tc>
      </w:tr>
      <w:tr>
        <w:trPr>
          <w:trHeight w:val="22"/>
        </w:trPr>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-2437130</wp:posOffset>
            </wp:positionH>
            <wp:positionV relativeFrom="paragraph">
              <wp:posOffset>-572135</wp:posOffset>
            </wp:positionV>
            <wp:extent cx="6738620" cy="132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8620" cy="13271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-306705</wp:posOffset>
            </wp:positionV>
            <wp:extent cx="6738620" cy="132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8620" cy="132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240"/>
          </w:cols>
          <w:pgMar w:left="320" w:top="121" w:right="339" w:bottom="1440" w:gutter="0" w:footer="0" w:header="0"/>
        </w:sectPr>
      </w:pPr>
    </w:p>
    <w:p>
      <w:pPr>
        <w:spacing w:after="0" w:line="114" w:lineRule="exact"/>
        <w:rPr>
          <w:sz w:val="20"/>
          <w:szCs w:val="20"/>
          <w:color w:val="auto"/>
        </w:rPr>
      </w:pPr>
    </w:p>
    <w:p>
      <w:pPr>
        <w:ind w:left="640" w:hanging="322"/>
        <w:spacing w:after="0" w:line="245" w:lineRule="auto"/>
        <w:tabs>
          <w:tab w:leader="none" w:pos="628" w:val="left"/>
        </w:tabs>
        <w:numPr>
          <w:ilvl w:val="0"/>
          <w:numId w:val="8"/>
        </w:numPr>
        <w:rPr>
          <w:rFonts w:ascii="Arial" w:cs="Arial" w:eastAsia="Arial" w:hAnsi="Arial"/>
          <w:sz w:val="20"/>
          <w:szCs w:val="20"/>
          <w:color w:val="auto"/>
          <w:vertAlign w:val="superscript"/>
        </w:rPr>
      </w:pPr>
      <w:r>
        <w:rPr>
          <w:rFonts w:ascii="Arial" w:cs="Arial" w:eastAsia="Arial" w:hAnsi="Arial"/>
          <w:sz w:val="17"/>
          <w:szCs w:val="17"/>
          <w:color w:val="auto"/>
        </w:rPr>
        <w:t>Current contract liabilities and Noncurrent contract liabilities are included in "Deferred revenue" and "Other noncurrent liabilities," respectively, in our unaudited consolidated balance sheets.</w:t>
      </w:r>
    </w:p>
    <w:p>
      <w:pPr>
        <w:spacing w:after="0" w:line="2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Deferred revenue typically consists of upfront payments received before we satisfy the associated performance obligation. The increase in deferred revenue from December 31, 2022 to September 30, 2023 was due to payments received from a customer for village enhancements in Australia and a payment received from a customer related to an asset transportation contract, which will all be recognized over the contracted terms.</w:t>
      </w:r>
    </w:p>
    <w:p>
      <w:pPr>
        <w:spacing w:after="0" w:line="192" w:lineRule="exact"/>
        <w:rPr>
          <w:sz w:val="20"/>
          <w:szCs w:val="20"/>
          <w:color w:val="auto"/>
        </w:rPr>
      </w:pPr>
    </w:p>
    <w:p>
      <w:pPr>
        <w:ind w:left="320" w:hanging="315"/>
        <w:spacing w:after="0"/>
        <w:tabs>
          <w:tab w:leader="none" w:pos="3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ASSETS HELD FOR SALE</w:t>
      </w:r>
    </w:p>
    <w:p>
      <w:pPr>
        <w:spacing w:after="0" w:line="255"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As of September 30, 2023 and December 31, 2022, assets held for sale included certain assets in our Canadian business segment and the U.S. These assets were recorded at the estimated fair value less costs to sell, which exceeded or equaled their carry values. During the first quarter of 2023, we sold the accommodation assets at our Louisiana location. The land at this location remains in assets held for sale as of September 30, 2023.</w:t>
      </w:r>
    </w:p>
    <w:p>
      <w:pPr>
        <w:spacing w:after="0" w:line="17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During the third quarter of 2023, we entered into a definitive agreement to sell our McClelland Lake Lodge assets for approximately C$49 million, or US$36 million. The related assets had no remaining carrying value. During the third quarter of 2023, we recognized $4.9 million in demobilization costs and received $9.1 million in cash proceeds associated with the sale. We expect to recognize the remaining demobilization costs and the proceeds of the sale in the fourth quarter of 2023 and first quarter of 2024.</w:t>
      </w:r>
    </w:p>
    <w:p>
      <w:pPr>
        <w:spacing w:after="0" w:line="20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following table summarizes the carrying amount as of September 30, 2023 and December 31, 2022 of the assets classified as held for sale (in thousands):</w:t>
      </w:r>
    </w:p>
    <w:p>
      <w:pPr>
        <w:spacing w:after="0" w:line="274"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7380" w:type="dxa"/>
            <w:vAlign w:val="bottom"/>
          </w:tcPr>
          <w:p>
            <w:pPr>
              <w:spacing w:after="0"/>
              <w:rPr>
                <w:sz w:val="17"/>
                <w:szCs w:val="17"/>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September 30, 2023</w:t>
            </w:r>
          </w:p>
        </w:tc>
        <w:tc>
          <w:tcPr>
            <w:tcW w:w="144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w w:val="91"/>
              </w:rPr>
              <w:t>December 31, 2022</w:t>
            </w:r>
          </w:p>
        </w:tc>
      </w:tr>
      <w:tr>
        <w:trPr>
          <w:trHeight w:val="212"/>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held for sale:</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6"/>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net</w:t>
            </w:r>
          </w:p>
        </w:tc>
        <w:tc>
          <w:tcPr>
            <w:tcW w:w="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8,185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8,653</w:t>
            </w:r>
          </w:p>
        </w:tc>
      </w:tr>
      <w:tr>
        <w:trPr>
          <w:trHeight w:val="23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 held for sale</w:t>
            </w: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8,185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8,653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left="320" w:hanging="315"/>
        <w:spacing w:after="0"/>
        <w:tabs>
          <w:tab w:leader="none" w:pos="3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25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For the three and nine months ended September 30, 2023, we calculated our basic earnings per share by dividing net income (loss) attributable to common shareholders, before allocation of earnings to participating earnings by the weighted average number of common shares outstanding. For diluted earnings per share, the basic shares outstanding are adjusted by adding all potentially dilutive securities.</w:t>
      </w:r>
    </w:p>
    <w:p>
      <w:pPr>
        <w:spacing w:after="0" w:line="19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For the three and nine months ended September 30, 2022, a period during which we had participating securities in the form of Class A preferred shares, we used the two-class method to calculate basic and diluted earnings per share. The two-class method requires a proportional share of net income to be allocated between common shares and participating securities. The proportional share to be allocated to participating securities is determined by dividing total weighted average participating securities by the sum of total weighted average common shares and participating securities.</w:t>
      </w:r>
    </w:p>
    <w:p>
      <w:pPr>
        <w:spacing w:after="0" w:line="18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Basic earnings per share is computed under the two-class method by dividing the net income (loss) attributable to common shareholders, after allocation of earnings to participating earnings by the weighted average number of common shares outstanding during the period. Net income attributable to common shareholders, after allocation of earnings to participating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earnings represents our net income reduced by an allocation of current period earnings to participating securities as described above. No such adjustment is made during periods with a net loss, as the adjustment would be anti-dilutive.</w:t>
      </w:r>
    </w:p>
    <w:p>
      <w:pPr>
        <w:spacing w:after="0" w:line="184"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Diluted earnings per share is computed under the two-class method by dividing diluted net income (loss) attributable to common shareholders, after reallocation adjustment for participating securities by the weighted average number of common shares outstanding, plus, for periods with net income attributable to common stockholders, the potential dilutive effects of share-based awards. In addition, we calculate the potential dilutive effect of any outstanding dilutive security under both the two-class method and the “if-converted” method, and we report the more dilutive of the methods as our diluted earnings per share. We also apply the treasury stock method with respect to certain share-based awards in the calculation of diluted earnings per share, if dilutive.</w:t>
      </w:r>
    </w:p>
    <w:p>
      <w:pPr>
        <w:spacing w:after="0" w:line="178"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7"/>
          <w:szCs w:val="17"/>
          <w:color w:val="auto"/>
        </w:rPr>
        <w:t>The calculation of earnings per share attributable to Civeo common shareholders is presented below for the periods indicated (in thousands, except per share amounts):</w:t>
      </w:r>
    </w:p>
    <w:tbl>
      <w:tblPr>
        <w:tblLayout w:type="fixed"/>
        <w:tblInd w:w="720" w:type="dxa"/>
        <w:tblCellMar>
          <w:top w:w="0" w:type="dxa"/>
          <w:left w:w="0" w:type="dxa"/>
          <w:bottom w:w="0" w:type="dxa"/>
          <w:right w:w="0" w:type="dxa"/>
        </w:tblCellMar>
      </w:tblPr>
      <w:tr>
        <w:trPr>
          <w:trHeight w:val="159"/>
        </w:trPr>
        <w:tc>
          <w:tcPr>
            <w:tcW w:w="5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center"/>
              <w:ind w:right="380"/>
              <w:spacing w:after="0" w:line="159" w:lineRule="exact"/>
              <w:rPr>
                <w:sz w:val="20"/>
                <w:szCs w:val="20"/>
                <w:color w:val="auto"/>
              </w:rPr>
            </w:pPr>
            <w:r>
              <w:rPr>
                <w:rFonts w:ascii="Arial" w:cs="Arial" w:eastAsia="Arial" w:hAnsi="Arial"/>
                <w:sz w:val="16"/>
                <w:szCs w:val="16"/>
                <w:b w:val="1"/>
                <w:bCs w:val="1"/>
                <w:color w:val="auto"/>
                <w:w w:val="89"/>
              </w:rPr>
              <w:t>Three Months Ended</w:t>
            </w:r>
          </w:p>
        </w:tc>
        <w:tc>
          <w:tcPr>
            <w:tcW w:w="200" w:type="dxa"/>
            <w:vAlign w:val="bottom"/>
          </w:tcPr>
          <w:p>
            <w:pPr>
              <w:spacing w:after="0"/>
              <w:rPr>
                <w:sz w:val="13"/>
                <w:szCs w:val="13"/>
                <w:color w:val="auto"/>
              </w:rPr>
            </w:pPr>
          </w:p>
        </w:tc>
        <w:tc>
          <w:tcPr>
            <w:tcW w:w="1880" w:type="dxa"/>
            <w:vAlign w:val="bottom"/>
            <w:gridSpan w:val="4"/>
          </w:tcPr>
          <w:p>
            <w:pPr>
              <w:jc w:val="right"/>
              <w:ind w:right="302"/>
              <w:spacing w:after="0" w:line="159" w:lineRule="exact"/>
              <w:rPr>
                <w:sz w:val="20"/>
                <w:szCs w:val="20"/>
                <w:color w:val="auto"/>
              </w:rPr>
            </w:pPr>
            <w:r>
              <w:rPr>
                <w:rFonts w:ascii="Arial" w:cs="Arial" w:eastAsia="Arial" w:hAnsi="Arial"/>
                <w:sz w:val="16"/>
                <w:szCs w:val="16"/>
                <w:b w:val="1"/>
                <w:bCs w:val="1"/>
                <w:color w:val="auto"/>
                <w:w w:val="99"/>
              </w:rPr>
              <w:t>Nine Months Ended</w:t>
            </w:r>
          </w:p>
        </w:tc>
        <w:tc>
          <w:tcPr>
            <w:tcW w:w="0" w:type="dxa"/>
            <w:vAlign w:val="bottom"/>
          </w:tcPr>
          <w:p>
            <w:pPr>
              <w:spacing w:after="0"/>
              <w:rPr>
                <w:sz w:val="1"/>
                <w:szCs w:val="1"/>
                <w:color w:val="auto"/>
              </w:rPr>
            </w:pPr>
          </w:p>
        </w:tc>
      </w:tr>
      <w:tr>
        <w:trPr>
          <w:trHeight w:val="206"/>
        </w:trPr>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7"/>
              </w:rPr>
              <w:t>September 30,</w:t>
            </w:r>
          </w:p>
        </w:tc>
        <w:tc>
          <w:tcPr>
            <w:tcW w:w="200" w:type="dxa"/>
            <w:vAlign w:val="bottom"/>
          </w:tcPr>
          <w:p>
            <w:pPr>
              <w:spacing w:after="0"/>
              <w:rPr>
                <w:sz w:val="17"/>
                <w:szCs w:val="17"/>
                <w:color w:val="auto"/>
              </w:rPr>
            </w:pPr>
          </w:p>
        </w:tc>
        <w:tc>
          <w:tcPr>
            <w:tcW w:w="1880" w:type="dxa"/>
            <w:vAlign w:val="bottom"/>
            <w:gridSpan w:val="4"/>
          </w:tcPr>
          <w:p>
            <w:pPr>
              <w:jc w:val="right"/>
              <w:ind w:right="50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2"/>
        </w:trPr>
        <w:tc>
          <w:tcPr>
            <w:tcW w:w="59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2"/>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Numerator:</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980" w:type="dxa"/>
            <w:vAlign w:val="bottom"/>
          </w:tcPr>
          <w:p>
            <w:pPr>
              <w:spacing w:after="0" w:line="160" w:lineRule="exact"/>
              <w:rPr>
                <w:sz w:val="20"/>
                <w:szCs w:val="20"/>
                <w:color w:val="auto"/>
              </w:rPr>
            </w:pPr>
            <w:r>
              <w:rPr>
                <w:rFonts w:ascii="Arial" w:cs="Arial" w:eastAsia="Arial" w:hAnsi="Arial"/>
                <w:sz w:val="16"/>
                <w:szCs w:val="16"/>
                <w:color w:val="auto"/>
                <w:w w:val="96"/>
              </w:rPr>
              <w:t>Net income attributable to Civeo common shareholders, before allocation of earnings to</w:t>
            </w: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9,022</w:t>
            </w:r>
          </w:p>
        </w:tc>
        <w:tc>
          <w:tcPr>
            <w:tcW w:w="120" w:type="dxa"/>
            <w:vAlign w:val="bottom"/>
          </w:tcPr>
          <w:p>
            <w:pPr>
              <w:spacing w:after="0"/>
              <w:rPr>
                <w:sz w:val="13"/>
                <w:szCs w:val="13"/>
                <w:color w:val="auto"/>
              </w:rPr>
            </w:pP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5,225</w:t>
            </w:r>
          </w:p>
        </w:tc>
        <w:tc>
          <w:tcPr>
            <w:tcW w:w="160" w:type="dxa"/>
            <w:vAlign w:val="bottom"/>
          </w:tcPr>
          <w:p>
            <w:pPr>
              <w:spacing w:after="0"/>
              <w:rPr>
                <w:sz w:val="13"/>
                <w:szCs w:val="13"/>
                <w:color w:val="auto"/>
              </w:rPr>
            </w:pP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7,132</w:t>
            </w:r>
          </w:p>
        </w:tc>
        <w:tc>
          <w:tcPr>
            <w:tcW w:w="100" w:type="dxa"/>
            <w:vAlign w:val="bottom"/>
          </w:tcPr>
          <w:p>
            <w:pPr>
              <w:spacing w:after="0"/>
              <w:rPr>
                <w:sz w:val="13"/>
                <w:szCs w:val="13"/>
                <w:color w:val="auto"/>
              </w:rPr>
            </w:pPr>
          </w:p>
        </w:tc>
        <w:tc>
          <w:tcPr>
            <w:tcW w:w="220" w:type="dxa"/>
            <w:vAlign w:val="bottom"/>
            <w:vMerge w:val="restart"/>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color w:val="auto"/>
              </w:rPr>
              <w:t>15,226</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participating securities</w:t>
            </w:r>
          </w:p>
        </w:tc>
        <w:tc>
          <w:tcPr>
            <w:tcW w:w="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Less: income allocated to participating securities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(2,297)</w:t>
            </w:r>
          </w:p>
        </w:tc>
        <w:tc>
          <w:tcPr>
            <w:tcW w:w="0" w:type="dxa"/>
            <w:vAlign w:val="bottom"/>
          </w:tcPr>
          <w:p>
            <w:pPr>
              <w:spacing w:after="0"/>
              <w:rPr>
                <w:sz w:val="1"/>
                <w:szCs w:val="1"/>
                <w:color w:val="auto"/>
              </w:rPr>
            </w:pPr>
          </w:p>
        </w:tc>
      </w:tr>
      <w:tr>
        <w:trPr>
          <w:trHeight w:val="140"/>
        </w:trPr>
        <w:tc>
          <w:tcPr>
            <w:tcW w:w="5980" w:type="dxa"/>
            <w:vAlign w:val="bottom"/>
          </w:tcPr>
          <w:p>
            <w:pPr>
              <w:spacing w:after="0" w:line="140" w:lineRule="exact"/>
              <w:rPr>
                <w:sz w:val="20"/>
                <w:szCs w:val="20"/>
                <w:color w:val="auto"/>
              </w:rPr>
            </w:pPr>
            <w:r>
              <w:rPr>
                <w:rFonts w:ascii="Arial" w:cs="Arial" w:eastAsia="Arial" w:hAnsi="Arial"/>
                <w:sz w:val="16"/>
                <w:szCs w:val="16"/>
                <w:color w:val="auto"/>
                <w:w w:val="97"/>
              </w:rPr>
              <w:t>Net income attributable to Civeo Corporation common shareholders, after allocation of</w:t>
            </w:r>
          </w:p>
        </w:tc>
        <w:tc>
          <w:tcPr>
            <w:tcW w:w="20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9,022</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4,431</w:t>
            </w:r>
          </w:p>
        </w:tc>
        <w:tc>
          <w:tcPr>
            <w:tcW w:w="16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7,132</w:t>
            </w:r>
          </w:p>
        </w:tc>
        <w:tc>
          <w:tcPr>
            <w:tcW w:w="100" w:type="dxa"/>
            <w:vAlign w:val="bottom"/>
          </w:tcPr>
          <w:p>
            <w:pPr>
              <w:spacing w:after="0"/>
              <w:rPr>
                <w:sz w:val="12"/>
                <w:szCs w:val="12"/>
                <w:color w:val="auto"/>
              </w:rPr>
            </w:pPr>
          </w:p>
        </w:tc>
        <w:tc>
          <w:tcPr>
            <w:tcW w:w="220" w:type="dxa"/>
            <w:vAlign w:val="bottom"/>
            <w:tcBorders>
              <w:top w:val="single" w:sz="8" w:color="auto"/>
            </w:tcBorders>
            <w:vMerge w:val="restart"/>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12,929</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earnings to participating securities</w:t>
            </w:r>
          </w:p>
        </w:tc>
        <w:tc>
          <w:tcPr>
            <w:tcW w:w="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Add: undistributed income attributable to participating securities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2,297</w:t>
            </w:r>
          </w:p>
        </w:tc>
        <w:tc>
          <w:tcPr>
            <w:tcW w:w="0" w:type="dxa"/>
            <w:vAlign w:val="bottom"/>
          </w:tcPr>
          <w:p>
            <w:pPr>
              <w:spacing w:after="0"/>
              <w:rPr>
                <w:sz w:val="1"/>
                <w:szCs w:val="1"/>
                <w:color w:val="auto"/>
              </w:rPr>
            </w:pPr>
          </w:p>
        </w:tc>
      </w:tr>
      <w:tr>
        <w:trPr>
          <w:trHeight w:val="206"/>
        </w:trPr>
        <w:tc>
          <w:tcPr>
            <w:tcW w:w="5980" w:type="dxa"/>
            <w:vAlign w:val="bottom"/>
          </w:tcPr>
          <w:p>
            <w:pPr>
              <w:spacing w:after="0"/>
              <w:rPr>
                <w:sz w:val="20"/>
                <w:szCs w:val="20"/>
                <w:color w:val="auto"/>
              </w:rPr>
            </w:pPr>
            <w:r>
              <w:rPr>
                <w:rFonts w:ascii="Arial" w:cs="Arial" w:eastAsia="Arial" w:hAnsi="Arial"/>
                <w:sz w:val="16"/>
                <w:szCs w:val="16"/>
                <w:color w:val="auto"/>
              </w:rPr>
              <w:t>Less: undistributed income reallocated to participating securities</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(2,275)</w:t>
            </w:r>
          </w:p>
        </w:tc>
        <w:tc>
          <w:tcPr>
            <w:tcW w:w="0" w:type="dxa"/>
            <w:vAlign w:val="bottom"/>
          </w:tcPr>
          <w:p>
            <w:pPr>
              <w:spacing w:after="0"/>
              <w:rPr>
                <w:sz w:val="1"/>
                <w:szCs w:val="1"/>
                <w:color w:val="auto"/>
              </w:rPr>
            </w:pPr>
          </w:p>
        </w:tc>
      </w:tr>
      <w:tr>
        <w:trPr>
          <w:trHeight w:val="143"/>
        </w:trPr>
        <w:tc>
          <w:tcPr>
            <w:tcW w:w="598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6"/>
                <w:szCs w:val="16"/>
                <w:color w:val="auto"/>
                <w:w w:val="90"/>
              </w:rPr>
              <w:t>Diluted net income attributable to Civeo Corporation common shareholders, after reallocation</w:t>
            </w:r>
          </w:p>
        </w:tc>
        <w:tc>
          <w:tcPr>
            <w:tcW w:w="200" w:type="dxa"/>
            <w:vAlign w:val="bottom"/>
            <w:tcBorders>
              <w:top w:val="single" w:sz="8" w:color="auto"/>
            </w:tcBorders>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9,022</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4,437</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7,132</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12,951</w:t>
            </w:r>
          </w:p>
        </w:tc>
        <w:tc>
          <w:tcPr>
            <w:tcW w:w="0" w:type="dxa"/>
            <w:vAlign w:val="bottom"/>
          </w:tcPr>
          <w:p>
            <w:pPr>
              <w:spacing w:after="0"/>
              <w:rPr>
                <w:sz w:val="1"/>
                <w:szCs w:val="1"/>
                <w:color w:val="auto"/>
              </w:rPr>
            </w:pPr>
          </w:p>
        </w:tc>
      </w:tr>
      <w:tr>
        <w:trPr>
          <w:trHeight w:val="200"/>
        </w:trPr>
        <w:tc>
          <w:tcPr>
            <w:tcW w:w="5980" w:type="dxa"/>
            <w:vAlign w:val="bottom"/>
            <w:tcBorders>
              <w:bottom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adjustment for participating securities</w:t>
            </w: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5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Denominator:</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80" w:type="dxa"/>
            <w:vAlign w:val="bottom"/>
          </w:tcPr>
          <w:p>
            <w:pPr>
              <w:spacing w:after="0"/>
              <w:rPr>
                <w:sz w:val="20"/>
                <w:szCs w:val="20"/>
                <w:color w:val="auto"/>
              </w:rPr>
            </w:pPr>
            <w:r>
              <w:rPr>
                <w:rFonts w:ascii="Arial" w:cs="Arial" w:eastAsia="Arial" w:hAnsi="Arial"/>
                <w:sz w:val="16"/>
                <w:szCs w:val="16"/>
                <w:color w:val="auto"/>
              </w:rPr>
              <w:t>Weighted average shares outstanding - basic</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13,932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14,058</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Dilutive shares - share-based awards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5"/>
        </w:trPr>
        <w:tc>
          <w:tcPr>
            <w:tcW w:w="5980" w:type="dxa"/>
            <w:vAlign w:val="bottom"/>
          </w:tcPr>
          <w:p>
            <w:pPr>
              <w:spacing w:after="0"/>
              <w:rPr>
                <w:sz w:val="20"/>
                <w:szCs w:val="20"/>
                <w:color w:val="auto"/>
              </w:rPr>
            </w:pPr>
            <w:r>
              <w:rPr>
                <w:rFonts w:ascii="Arial" w:cs="Arial" w:eastAsia="Arial" w:hAnsi="Arial"/>
                <w:sz w:val="16"/>
                <w:szCs w:val="16"/>
                <w:color w:val="auto"/>
              </w:rPr>
              <w:t>Weighted average shares outstanding - diluted</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14,891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14,064</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14,220</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59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line="209" w:lineRule="exact"/>
              <w:rPr>
                <w:sz w:val="20"/>
                <w:szCs w:val="20"/>
                <w:color w:val="auto"/>
              </w:rPr>
            </w:pPr>
            <w:r>
              <w:rPr>
                <w:rFonts w:ascii="Arial" w:cs="Arial" w:eastAsia="Arial" w:hAnsi="Arial"/>
                <w:sz w:val="16"/>
                <w:szCs w:val="16"/>
                <w:color w:val="auto"/>
                <w:w w:val="97"/>
              </w:rPr>
              <w:t xml:space="preserve">Basic net income per share attributable to Civeo Corporation common shareholders </w:t>
            </w:r>
            <w:r>
              <w:rPr>
                <w:rFonts w:ascii="Arial" w:cs="Arial" w:eastAsia="Arial" w:hAnsi="Arial"/>
                <w:sz w:val="20"/>
                <w:szCs w:val="20"/>
                <w:color w:val="auto"/>
                <w:w w:val="97"/>
                <w:vertAlign w:val="superscript"/>
              </w:rPr>
              <w:t>(1)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0.32</w:t>
            </w:r>
          </w:p>
        </w:tc>
        <w:tc>
          <w:tcPr>
            <w:tcW w:w="1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105"/>
        </w:trPr>
        <w:tc>
          <w:tcPr>
            <w:tcW w:w="5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5980" w:type="dxa"/>
            <w:vAlign w:val="bottom"/>
          </w:tcPr>
          <w:p>
            <w:pPr>
              <w:spacing w:after="0"/>
              <w:rPr>
                <w:sz w:val="20"/>
                <w:szCs w:val="20"/>
                <w:color w:val="auto"/>
              </w:rPr>
            </w:pPr>
            <w:r>
              <w:rPr>
                <w:rFonts w:ascii="Arial" w:cs="Arial" w:eastAsia="Arial" w:hAnsi="Arial"/>
                <w:sz w:val="16"/>
                <w:szCs w:val="16"/>
                <w:color w:val="auto"/>
                <w:w w:val="95"/>
              </w:rPr>
              <w:t xml:space="preserve">Diluted net income per share attributable to Civeo Corporation common shareholders </w:t>
            </w:r>
            <w:r>
              <w:rPr>
                <w:rFonts w:ascii="Arial" w:cs="Arial" w:eastAsia="Arial" w:hAnsi="Arial"/>
                <w:sz w:val="20"/>
                <w:szCs w:val="20"/>
                <w:color w:val="auto"/>
                <w:w w:val="95"/>
                <w:vertAlign w:val="superscript"/>
              </w:rPr>
              <w:t>(1)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23"/>
                <w:szCs w:val="23"/>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0.32</w:t>
            </w:r>
          </w:p>
        </w:tc>
        <w:tc>
          <w:tcPr>
            <w:tcW w:w="160" w:type="dxa"/>
            <w:vAlign w:val="bottom"/>
          </w:tcPr>
          <w:p>
            <w:pPr>
              <w:spacing w:after="0"/>
              <w:rPr>
                <w:sz w:val="23"/>
                <w:szCs w:val="23"/>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23"/>
                <w:szCs w:val="23"/>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bl>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131"/>
        </w:trPr>
        <w:tc>
          <w:tcPr>
            <w:tcW w:w="200" w:type="dxa"/>
            <w:vAlign w:val="bottom"/>
          </w:tcPr>
          <w:p>
            <w:pPr>
              <w:jc w:val="right"/>
              <w:ind w:right="29"/>
              <w:spacing w:after="0"/>
              <w:rPr>
                <w:sz w:val="20"/>
                <w:szCs w:val="20"/>
                <w:color w:val="auto"/>
              </w:rPr>
            </w:pPr>
            <w:r>
              <w:rPr>
                <w:rFonts w:ascii="Arial" w:cs="Arial" w:eastAsia="Arial" w:hAnsi="Arial"/>
                <w:sz w:val="10"/>
                <w:szCs w:val="10"/>
                <w:color w:val="auto"/>
                <w:w w:val="81"/>
              </w:rPr>
              <w:t>(1)</w:t>
            </w:r>
          </w:p>
        </w:tc>
        <w:tc>
          <w:tcPr>
            <w:tcW w:w="3160" w:type="dxa"/>
            <w:vAlign w:val="bottom"/>
            <w:vMerge w:val="restart"/>
          </w:tcPr>
          <w:p>
            <w:pPr>
              <w:ind w:left="100"/>
              <w:spacing w:after="0"/>
              <w:rPr>
                <w:sz w:val="20"/>
                <w:szCs w:val="20"/>
                <w:color w:val="auto"/>
              </w:rPr>
            </w:pPr>
            <w:r>
              <w:rPr>
                <w:rFonts w:ascii="Arial" w:cs="Arial" w:eastAsia="Arial" w:hAnsi="Arial"/>
                <w:sz w:val="16"/>
                <w:szCs w:val="16"/>
                <w:color w:val="auto"/>
                <w:w w:val="88"/>
              </w:rPr>
              <w:t>Computations may reflect rounding adjustments.</w:t>
            </w: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following common share equivalents have been excluded from the calculation of weighted-average common shares outstanding because the effect is anti-dilutive for the periods presented (in millions of shares):</w:t>
      </w:r>
    </w:p>
    <w:p>
      <w:pPr>
        <w:spacing w:after="0" w:line="196"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780" w:type="dxa"/>
            <w:vAlign w:val="bottom"/>
            <w:gridSpan w:val="4"/>
          </w:tcPr>
          <w:p>
            <w:pPr>
              <w:ind w:left="320"/>
              <w:spacing w:after="0"/>
              <w:rPr>
                <w:sz w:val="20"/>
                <w:szCs w:val="20"/>
                <w:color w:val="auto"/>
              </w:rPr>
            </w:pPr>
            <w:r>
              <w:rPr>
                <w:rFonts w:ascii="Arial" w:cs="Arial" w:eastAsia="Arial" w:hAnsi="Arial"/>
                <w:sz w:val="16"/>
                <w:szCs w:val="16"/>
                <w:b w:val="1"/>
                <w:bCs w:val="1"/>
                <w:color w:val="auto"/>
                <w:w w:val="90"/>
              </w:rPr>
              <w:t>Three Months Ended</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3"/>
          </w:tcPr>
          <w:p>
            <w:pPr>
              <w:jc w:val="right"/>
              <w:ind w:right="282"/>
              <w:spacing w:after="0"/>
              <w:rPr>
                <w:sz w:val="20"/>
                <w:szCs w:val="20"/>
                <w:color w:val="auto"/>
              </w:rPr>
            </w:pPr>
            <w:r>
              <w:rPr>
                <w:rFonts w:ascii="Arial" w:cs="Arial" w:eastAsia="Arial" w:hAnsi="Arial"/>
                <w:sz w:val="16"/>
                <w:szCs w:val="16"/>
                <w:b w:val="1"/>
                <w:bCs w:val="1"/>
                <w:color w:val="auto"/>
              </w:rPr>
              <w:t>Nine Months Ended</w:t>
            </w:r>
          </w:p>
        </w:tc>
      </w:tr>
      <w:tr>
        <w:trPr>
          <w:trHeight w:val="206"/>
        </w:trPr>
        <w:tc>
          <w:tcPr>
            <w:tcW w:w="6020" w:type="dxa"/>
            <w:vAlign w:val="bottom"/>
          </w:tcPr>
          <w:p>
            <w:pPr>
              <w:spacing w:after="0"/>
              <w:rPr>
                <w:sz w:val="17"/>
                <w:szCs w:val="17"/>
                <w:color w:val="auto"/>
              </w:rPr>
            </w:pPr>
          </w:p>
        </w:tc>
        <w:tc>
          <w:tcPr>
            <w:tcW w:w="1780" w:type="dxa"/>
            <w:vAlign w:val="bottom"/>
            <w:tcBorders>
              <w:bottom w:val="single" w:sz="8" w:color="auto"/>
            </w:tcBorders>
            <w:gridSpan w:val="4"/>
          </w:tcPr>
          <w:p>
            <w:pPr>
              <w:ind w:left="56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6"/>
                <w:szCs w:val="16"/>
                <w:b w:val="1"/>
                <w:bCs w:val="1"/>
                <w:color w:val="auto"/>
              </w:rPr>
              <w:t>September 30,</w:t>
            </w:r>
          </w:p>
        </w:tc>
      </w:tr>
      <w:tr>
        <w:trPr>
          <w:trHeight w:val="202"/>
        </w:trPr>
        <w:tc>
          <w:tcPr>
            <w:tcW w:w="60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w w:val="95"/>
              </w:rPr>
              <w:t>2023</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2022</w:t>
            </w:r>
          </w:p>
        </w:tc>
      </w:tr>
      <w:tr>
        <w:trPr>
          <w:trHeight w:val="205"/>
        </w:trPr>
        <w:tc>
          <w:tcPr>
            <w:tcW w:w="6720" w:type="dxa"/>
            <w:vAlign w:val="bottom"/>
            <w:gridSpan w:val="2"/>
            <w:shd w:val="clear" w:color="auto" w:fill="CCEEFF"/>
          </w:tcPr>
          <w:p>
            <w:pPr>
              <w:spacing w:after="0" w:line="205" w:lineRule="exact"/>
              <w:rPr>
                <w:sz w:val="20"/>
                <w:szCs w:val="20"/>
                <w:color w:val="auto"/>
              </w:rPr>
            </w:pPr>
            <w:r>
              <w:rPr>
                <w:rFonts w:ascii="Arial" w:cs="Arial" w:eastAsia="Arial" w:hAnsi="Arial"/>
                <w:sz w:val="16"/>
                <w:szCs w:val="16"/>
                <w:color w:val="auto"/>
              </w:rPr>
              <w:t xml:space="preserve">Share-based awards </w:t>
            </w:r>
            <w:r>
              <w:rPr>
                <w:rFonts w:ascii="Arial" w:cs="Arial" w:eastAsia="Arial" w:hAnsi="Arial"/>
                <w:sz w:val="20"/>
                <w:szCs w:val="20"/>
                <w:color w:val="auto"/>
                <w:vertAlign w:val="superscript"/>
              </w:rPr>
              <w:t>(1)</w:t>
            </w:r>
          </w:p>
        </w:tc>
        <w:tc>
          <w:tcPr>
            <w:tcW w:w="10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3"/>
        </w:trPr>
        <w:tc>
          <w:tcPr>
            <w:tcW w:w="6720" w:type="dxa"/>
            <w:vAlign w:val="bottom"/>
            <w:gridSpan w:val="2"/>
          </w:tcPr>
          <w:p>
            <w:pPr>
              <w:spacing w:after="0"/>
              <w:rPr>
                <w:sz w:val="20"/>
                <w:szCs w:val="20"/>
                <w:color w:val="auto"/>
              </w:rPr>
            </w:pPr>
            <w:r>
              <w:rPr>
                <w:rFonts w:ascii="Arial" w:cs="Arial" w:eastAsia="Arial" w:hAnsi="Arial"/>
                <w:sz w:val="16"/>
                <w:szCs w:val="16"/>
                <w:color w:val="auto"/>
              </w:rPr>
              <w:t>Preferred shares</w:t>
            </w:r>
          </w:p>
        </w:tc>
        <w:tc>
          <w:tcPr>
            <w:tcW w:w="1080" w:type="dxa"/>
            <w:vAlign w:val="bottom"/>
            <w:gridSpan w:val="3"/>
          </w:tcPr>
          <w:p>
            <w:pPr>
              <w:ind w:left="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
              <w:spacing w:after="0"/>
              <w:rPr>
                <w:sz w:val="20"/>
                <w:szCs w:val="20"/>
                <w:color w:val="auto"/>
              </w:rPr>
            </w:pPr>
            <w:r>
              <w:rPr>
                <w:rFonts w:ascii="Arial" w:cs="Arial" w:eastAsia="Arial" w:hAnsi="Arial"/>
                <w:sz w:val="16"/>
                <w:szCs w:val="16"/>
                <w:color w:val="auto"/>
                <w:w w:val="89"/>
              </w:rPr>
              <w:t>2.5</w:t>
            </w:r>
          </w:p>
        </w:tc>
        <w:tc>
          <w:tcPr>
            <w:tcW w:w="140" w:type="dxa"/>
            <w:vAlign w:val="bottom"/>
          </w:tcPr>
          <w:p>
            <w:pPr>
              <w:spacing w:after="0"/>
              <w:rPr>
                <w:sz w:val="17"/>
                <w:szCs w:val="17"/>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2.5</w:t>
            </w:r>
          </w:p>
        </w:tc>
      </w:tr>
    </w:tbl>
    <w:p>
      <w:pPr>
        <w:spacing w:after="0" w:line="312" w:lineRule="exact"/>
        <w:rPr>
          <w:sz w:val="20"/>
          <w:szCs w:val="20"/>
          <w:color w:val="auto"/>
        </w:rPr>
      </w:pPr>
    </w:p>
    <w:p>
      <w:pPr>
        <w:ind w:left="620" w:hanging="302"/>
        <w:spacing w:after="0"/>
        <w:tabs>
          <w:tab w:leader="none" w:pos="62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 xml:space="preserve">Share-based awards for the three and nine months ended September 30, 2023 </w:t>
      </w:r>
      <w:r>
        <w:rPr>
          <w:rFonts w:ascii="Arial" w:cs="Arial" w:eastAsia="Arial" w:hAnsi="Arial"/>
          <w:sz w:val="17"/>
          <w:szCs w:val="17"/>
          <w:color w:val="auto"/>
        </w:rPr>
        <w:t>and</w:t>
      </w:r>
      <w:r>
        <w:rPr>
          <w:rFonts w:ascii="Arial" w:cs="Arial" w:eastAsia="Arial" w:hAnsi="Arial"/>
          <w:sz w:val="16"/>
          <w:szCs w:val="16"/>
          <w:color w:val="auto"/>
        </w:rPr>
        <w:t xml:space="preserve"> September 30, 2022 totaled fewer than 0.1 million shares.</w:t>
      </w:r>
    </w:p>
    <w:p>
      <w:pPr>
        <w:spacing w:after="0" w:line="200" w:lineRule="exact"/>
        <w:rPr>
          <w:rFonts w:ascii="Arial" w:cs="Arial" w:eastAsia="Arial" w:hAnsi="Arial"/>
          <w:sz w:val="20"/>
          <w:szCs w:val="20"/>
          <w:color w:val="auto"/>
          <w:vertAlign w:val="superscript"/>
        </w:rPr>
      </w:pPr>
    </w:p>
    <w:p>
      <w:pPr>
        <w:spacing w:after="0" w:line="362" w:lineRule="exact"/>
        <w:rPr>
          <w:rFonts w:ascii="Arial" w:cs="Arial" w:eastAsia="Arial" w:hAnsi="Arial"/>
          <w:sz w:val="20"/>
          <w:szCs w:val="20"/>
          <w:color w:val="auto"/>
          <w:vertAlign w:val="superscript"/>
        </w:rPr>
      </w:pPr>
    </w:p>
    <w:p>
      <w:pPr>
        <w:ind w:left="5540"/>
        <w:spacing w:after="0"/>
        <w:rPr>
          <w:rFonts w:ascii="Arial" w:cs="Arial" w:eastAsia="Arial" w:hAnsi="Arial"/>
          <w:sz w:val="20"/>
          <w:szCs w:val="20"/>
          <w:color w:val="auto"/>
          <w:vertAlign w:val="superscript"/>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05" w:lineRule="exact"/>
        <w:rPr>
          <w:sz w:val="20"/>
          <w:szCs w:val="20"/>
          <w:color w:val="auto"/>
        </w:rPr>
      </w:pPr>
    </w:p>
    <w:p>
      <w:pPr>
        <w:ind w:left="320" w:hanging="315"/>
        <w:spacing w:after="0"/>
        <w:tabs>
          <w:tab w:leader="none" w:pos="3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September 30, 2023 and December 31, 2022, long-term debt consisted of the following (in thousands):</w:t>
      </w:r>
    </w:p>
    <w:p>
      <w:pPr>
        <w:spacing w:after="0" w:line="352"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September 30, 2023</w:t>
            </w:r>
          </w:p>
        </w:tc>
        <w:tc>
          <w:tcPr>
            <w:tcW w:w="144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w w:val="92"/>
              </w:rPr>
              <w:t>December 31, 2022</w:t>
            </w:r>
          </w:p>
        </w:tc>
        <w:tc>
          <w:tcPr>
            <w:tcW w:w="0" w:type="dxa"/>
            <w:vAlign w:val="bottom"/>
          </w:tcPr>
          <w:p>
            <w:pPr>
              <w:spacing w:after="0"/>
              <w:rPr>
                <w:sz w:val="1"/>
                <w:szCs w:val="1"/>
                <w:color w:val="auto"/>
              </w:rPr>
            </w:pPr>
          </w:p>
        </w:tc>
      </w:tr>
      <w:tr>
        <w:trPr>
          <w:trHeight w:val="205"/>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rPr>
              <w:t>Canadian term loan; weighted average interest rate of 8.1% for the nine month period ended September 30, 2023</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7,396</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29,532</w:t>
            </w:r>
          </w:p>
        </w:tc>
        <w:tc>
          <w:tcPr>
            <w:tcW w:w="0" w:type="dxa"/>
            <w:vAlign w:val="bottom"/>
          </w:tcPr>
          <w:p>
            <w:pPr>
              <w:spacing w:after="0"/>
              <w:rPr>
                <w:sz w:val="1"/>
                <w:szCs w:val="1"/>
                <w:color w:val="auto"/>
              </w:rPr>
            </w:pPr>
          </w:p>
        </w:tc>
      </w:tr>
      <w:tr>
        <w:trPr>
          <w:trHeight w:val="105"/>
        </w:trPr>
        <w:tc>
          <w:tcPr>
            <w:tcW w:w="7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w w:val="89"/>
              </w:rPr>
              <w:t>U.S. revolving credit facility; weighted average interest rate of 10.1% for the nine month period ended September 30, 2023</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5"/>
        </w:trPr>
        <w:tc>
          <w:tcPr>
            <w:tcW w:w="7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7780" w:type="dxa"/>
            <w:vAlign w:val="bottom"/>
            <w:shd w:val="clear" w:color="auto" w:fill="CCEEFF"/>
          </w:tcPr>
          <w:p>
            <w:pPr>
              <w:spacing w:after="0" w:line="160" w:lineRule="exact"/>
              <w:rPr>
                <w:sz w:val="20"/>
                <w:szCs w:val="20"/>
                <w:color w:val="auto"/>
              </w:rPr>
            </w:pPr>
            <w:r>
              <w:rPr>
                <w:rFonts w:ascii="Arial" w:cs="Arial" w:eastAsia="Arial" w:hAnsi="Arial"/>
                <w:sz w:val="16"/>
                <w:szCs w:val="16"/>
                <w:color w:val="auto"/>
                <w:w w:val="90"/>
              </w:rPr>
              <w:t>Canadian revolving credit facility; weighted average interest rate of 8.2% for the nine month period ended September 30,</w:t>
            </w:r>
          </w:p>
        </w:tc>
        <w:tc>
          <w:tcPr>
            <w:tcW w:w="4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95,852</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101,147</w:t>
            </w: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4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7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7780" w:type="dxa"/>
            <w:vAlign w:val="bottom"/>
            <w:shd w:val="clear" w:color="auto" w:fill="CCEEFF"/>
          </w:tcPr>
          <w:p>
            <w:pPr>
              <w:spacing w:after="0" w:line="160" w:lineRule="exact"/>
              <w:rPr>
                <w:sz w:val="20"/>
                <w:szCs w:val="20"/>
                <w:color w:val="auto"/>
              </w:rPr>
            </w:pPr>
            <w:r>
              <w:rPr>
                <w:rFonts w:ascii="Arial" w:cs="Arial" w:eastAsia="Arial" w:hAnsi="Arial"/>
                <w:sz w:val="16"/>
                <w:szCs w:val="16"/>
                <w:color w:val="auto"/>
                <w:w w:val="90"/>
              </w:rPr>
              <w:t>Australian revolving credit facility; weighted average interest rate of 6.7% for the nine month period ended September 30,</w:t>
            </w:r>
          </w:p>
        </w:tc>
        <w:tc>
          <w:tcPr>
            <w:tcW w:w="44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44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103,248</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132,037</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Less: Unamortized debt issuance costs</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199"/>
        </w:trPr>
        <w:tc>
          <w:tcPr>
            <w:tcW w:w="7780" w:type="dxa"/>
            <w:vAlign w:val="bottom"/>
          </w:tcPr>
          <w:p>
            <w:pPr>
              <w:ind w:left="120"/>
              <w:spacing w:after="0"/>
              <w:rPr>
                <w:sz w:val="20"/>
                <w:szCs w:val="20"/>
                <w:color w:val="auto"/>
              </w:rPr>
            </w:pPr>
            <w:r>
              <w:rPr>
                <w:rFonts w:ascii="Arial" w:cs="Arial" w:eastAsia="Arial" w:hAnsi="Arial"/>
                <w:sz w:val="16"/>
                <w:szCs w:val="16"/>
                <w:color w:val="auto"/>
              </w:rPr>
              <w:t>Total debt</w:t>
            </w:r>
          </w:p>
        </w:tc>
        <w:tc>
          <w:tcPr>
            <w:tcW w:w="44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102,995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130,953</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 of long-term debt, including unamortized debt issuance costs, net</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7,143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28,448</w:t>
            </w:r>
          </w:p>
        </w:tc>
        <w:tc>
          <w:tcPr>
            <w:tcW w:w="0" w:type="dxa"/>
            <w:vAlign w:val="bottom"/>
          </w:tcPr>
          <w:p>
            <w:pPr>
              <w:spacing w:after="0"/>
              <w:rPr>
                <w:sz w:val="1"/>
                <w:szCs w:val="1"/>
                <w:color w:val="auto"/>
              </w:rPr>
            </w:pPr>
          </w:p>
        </w:tc>
      </w:tr>
      <w:tr>
        <w:trPr>
          <w:trHeight w:val="205"/>
        </w:trPr>
        <w:tc>
          <w:tcPr>
            <w:tcW w:w="7780" w:type="dxa"/>
            <w:vAlign w:val="bottom"/>
          </w:tcPr>
          <w:p>
            <w:pPr>
              <w:ind w:left="120"/>
              <w:spacing w:after="0"/>
              <w:rPr>
                <w:sz w:val="20"/>
                <w:szCs w:val="20"/>
                <w:color w:val="auto"/>
              </w:rPr>
            </w:pPr>
            <w:r>
              <w:rPr>
                <w:rFonts w:ascii="Arial" w:cs="Arial" w:eastAsia="Arial" w:hAnsi="Arial"/>
                <w:sz w:val="16"/>
                <w:szCs w:val="16"/>
                <w:color w:val="auto"/>
              </w:rPr>
              <w:t>Long-term debt, less current maturities</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95,852</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102,505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35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As of September 30, 2023, our Credit Agreement (as then amended to date, the Credit Agreement) provided for: (i)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and (ii) a C$100.0 million term loan facility scheduled to be fully repaid on December 31, 2023 in favor of Civeo.</w:t>
      </w:r>
    </w:p>
    <w:p>
      <w:pPr>
        <w:spacing w:after="0" w:line="7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Credit Agreement was amended effective March 31, 2023 to, among other things, change the benchmark interest rate for certain U.S. dollar-denominated loans in each of the Australian Revolving Facility, Canadian Revolving Facility, and U.S. Revolving Facility from London Inter-Bank Offered Rate to Term Secured Overnight Financing Rate (SOFR).</w:t>
      </w:r>
    </w:p>
    <w:p>
      <w:pPr>
        <w:spacing w:after="0" w:line="67"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U.S. dollar amounts outstanding under the facilities provided by the Credit Agreement bear interest at a variable rate equal to the Term SOFR plus a margin of 3.00% to 4.00%, or a base rate plus 2.00% to 3.00%, in each case based on a ratio of our total net debt to Consolidated EBITDA (as defined in the Credit Agreement). Canadian dollar amounts outstanding bear interest at a variable rate equal to a Bankers’ Acceptance Discount Rate (as defined in the Credit Agreement) based on the Canadian Dollar Offered Rate (CDOR) plus a margin of 3.00% to 4.00%, or a Canadian Prime rate plus a margin of 2.00% to 3.00%, in each case based on a ratio of our total net debt to Consolidated EBITDA. Australian dollar amounts outstanding under the Credit Agreement bear interest at a variable rate equal to the Bank Bill Swap Bid Rate plus a margin of 3.00% to 4.00%, based on a ratio of our total net debt to Consolidated EBITDA. The future transition from CDOR as an interest rate benchmark is addressed in the Credit Agreement and at such time the transition from CDOR takes place, an alternate benchmark will be established based on the first alternative of the following, plus a benchmark replacement adjustment, Term Canadian Overnight Repo Rate Average (CORRA) and Compound CORRA.</w:t>
      </w:r>
    </w:p>
    <w:p>
      <w:pPr>
        <w:spacing w:after="0" w:line="81"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Credit Agreement contains customary affirmative and negative covenants that, among other things, limit or restrict: (i) indebtedness, liens and fundamental changes; (ii) asset sales; (iii) specified acquisitions; (iv) certain restrictive agreements; (v) transactions with affiliates; and (vi) investments and other restricted payments, including dividends and other distributions. In addition, we must maintain a minimum interest coverage ratio, defined as the ratio of consolidated EBITDA to consolidated interest expense, of at least 3.00 to 1.00 and our maximum net leverage ratio, defined as the ratio of total net debt to Consolidated EBITDA, of no greater than 3.00 to 1.00. Following a qualified offering of indebtedness, we will be required to maintain a maximum leverage ratio of no greater than 3.50 to 1.00 and a maximum senior secured ratio less than 2.00 to 1.00.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3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September 30, 2023.</w:t>
      </w:r>
    </w:p>
    <w:p>
      <w:pPr>
        <w:spacing w:after="0" w:line="67"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Borrowings under the Credit Agreement are secured by a pledge of substantially all of our assets and the assets of our subsidiaries subject to customary exceptions. The obligations under the Credit Agreement are guaranteed by our significant subsidiaries. As of September 30, 2023, we had seven lenders that were parties to the Credit Agreement, with total commitments (including both revolving commitments and term commitments) ranging from $22.5 million to $52.0 million. As of September 30, 2023, we had outstanding letters of credit of $0.3 million under the U.S. facility, zero under the Australian facility and $1.1 million under the Canadian facility. We also had outstanding bank guarantees of A$0.8 million under the Australian facility.</w:t>
      </w:r>
    </w:p>
    <w:p>
      <w:pPr>
        <w:spacing w:after="0" w:line="95" w:lineRule="exact"/>
        <w:rPr>
          <w:sz w:val="20"/>
          <w:szCs w:val="20"/>
          <w:color w:val="auto"/>
        </w:rPr>
      </w:pPr>
    </w:p>
    <w:p>
      <w:pPr>
        <w:ind w:left="320" w:hanging="315"/>
        <w:spacing w:after="0"/>
        <w:tabs>
          <w:tab w:leader="none" w:pos="3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2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5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operate in three jurisdictions, Canada, Australia and the U.S., where statutory tax rates range from 15% to 30%. Our effective tax rate will vary from period to period based on changes in earnings mix between these different jurisdictions.</w:t>
      </w:r>
    </w:p>
    <w:p>
      <w:pPr>
        <w:spacing w:after="0" w:line="5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September 30, 2023 and 2022, the U.S. was considered a loss jurisdiction for tax accounting purposes and was removed from the annual effective tax rate computation for purposes of computing the interim tax provision.</w:t>
      </w:r>
    </w:p>
    <w:p>
      <w:pPr>
        <w:spacing w:after="0" w:line="202"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Our income tax benefit for the three months ended September 30, 2023 totaled $1.2 million, or (15.2)% of pretax income, compared to income tax expense of $3.7 million, or 37.2% of pretax income, for the three months ended September 30, 2022. Our effective tax rate for the three months ended September 30, 2023 and 2022 was impacted by considering the U.S. a loss jurisdiction that was removed from the annual effective tax rate computation for purposes of computing the interim tax provision. Additionally, under Accounting Standards Codification 740-270, “Accounting for Income Taxes,” the quarterly tax provision is based on our current estimate of the annual effective tax rate less the prior quarter’s year to date provision.</w:t>
      </w:r>
    </w:p>
    <w:p>
      <w:pPr>
        <w:spacing w:after="0" w:line="192"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income tax expense for the nine months ended September 30, 2023 totaled $2.9 million, or 29.0% of pretax income, compared to income tax expense of $7.1 million, or 27.8% of pretax income, for the nine months ended September 30, 2022. Our effective tax rate for the nine months ended September 30, 2023 and 2022 was impacted by considering the U.S. a loss jurisdiction that was removed from the annual effective tax rate computation for purposes of computing the interim tax provision.</w:t>
      </w:r>
    </w:p>
    <w:p>
      <w:pPr>
        <w:spacing w:after="0" w:line="196"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29"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ACCUMULATED OTHER COMPREHENSIVE LOSS</w:t>
      </w:r>
    </w:p>
    <w:p>
      <w:pPr>
        <w:spacing w:after="0" w:line="22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Our accumulated other comprehensive loss increased $6.9 million from $385.2 million at December 31, 2022 to $392.1 million at September 30, 2023, as a result of foreign currency exchange rate fluctuations. Changes in other comprehensive loss during the nine months of 2023 were primarily driven by the Australian dollar decreasing in value compared to the U.S. dollar and the Canadian dollar increasing in value compared to the U.S. dollar. Excluding intercompany balances, our Canadian dollar and Australian dollar functional currency net assets totaled approximately C$198 million and A$211 million, respectively, at September 30, 2023.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SHARE REPURCHASE PROGRAMS AND DIVIDENDS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Programs</w:t>
      </w:r>
    </w:p>
    <w:p>
      <w:pPr>
        <w:spacing w:after="0" w:line="249"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In August 2023, 2022 and 2021, our Board of Directors (Board) authorized common share repurchase programs to repurchase up to 5.0% of our total common shares which were issued and outstanding, or approximately 742,000, 685,000 and 715,000 common shares, respectively, over a twelve month period.</w:t>
      </w:r>
    </w:p>
    <w:p>
      <w:pPr>
        <w:spacing w:after="0" w:line="13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repurchase authorization allows repurchases from time to time in open market transactions, including pursuant to trading plans adopted in accordance with Rule 10b5-1 of the Securities Exchange Act of 1934. We have funded, and intend to continue to fund, repurchases through cash on hand and cash generated from operations. The common shares repurchased under the share repurchase programs are cancelled in the periods they are acquired and the payment is accounted for as an increase to accumulated deficit in our Unaudited Consolidated Statements of Changes in Shareholders’ Equity in the period the payment is made.</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summarizes our common share repurchases pursuant to our share repurchase programs (in thousands, except per share data).</w:t>
      </w:r>
    </w:p>
    <w:p>
      <w:pPr>
        <w:spacing w:after="0" w:line="63"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840" w:type="dxa"/>
            <w:vAlign w:val="bottom"/>
            <w:gridSpan w:val="6"/>
          </w:tcPr>
          <w:p>
            <w:pPr>
              <w:ind w:left="160"/>
              <w:spacing w:after="0"/>
              <w:rPr>
                <w:sz w:val="20"/>
                <w:szCs w:val="20"/>
                <w:color w:val="auto"/>
              </w:rPr>
            </w:pPr>
            <w:r>
              <w:rPr>
                <w:rFonts w:ascii="Arial" w:cs="Arial" w:eastAsia="Arial" w:hAnsi="Arial"/>
                <w:sz w:val="16"/>
                <w:szCs w:val="16"/>
                <w:b w:val="1"/>
                <w:bCs w:val="1"/>
                <w:color w:val="auto"/>
                <w:w w:val="97"/>
              </w:rPr>
              <w:t>Three Months Ended September 30,</w:t>
            </w:r>
          </w:p>
        </w:tc>
        <w:tc>
          <w:tcPr>
            <w:tcW w:w="2440" w:type="dxa"/>
            <w:vAlign w:val="bottom"/>
            <w:gridSpan w:val="5"/>
          </w:tcPr>
          <w:p>
            <w:pPr>
              <w:jc w:val="right"/>
              <w:spacing w:after="0"/>
              <w:rPr>
                <w:sz w:val="20"/>
                <w:szCs w:val="20"/>
                <w:color w:val="auto"/>
              </w:rPr>
            </w:pPr>
            <w:r>
              <w:rPr>
                <w:rFonts w:ascii="Arial" w:cs="Arial" w:eastAsia="Arial" w:hAnsi="Arial"/>
                <w:sz w:val="16"/>
                <w:szCs w:val="16"/>
                <w:b w:val="1"/>
                <w:bCs w:val="1"/>
                <w:color w:val="auto"/>
                <w:w w:val="90"/>
              </w:rPr>
              <w:t>Nine Months Ended September 30,</w:t>
            </w:r>
          </w:p>
        </w:tc>
      </w:tr>
      <w:tr>
        <w:trPr>
          <w:trHeight w:val="203"/>
        </w:trPr>
        <w:tc>
          <w:tcPr>
            <w:tcW w:w="48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2022</w:t>
            </w:r>
          </w:p>
        </w:tc>
      </w:tr>
      <w:tr>
        <w:trPr>
          <w:trHeight w:val="205"/>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Dollar-value of shares repurchased</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4"/>
              </w:rPr>
              <w:t>1,252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2,997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9,222</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w:t>
            </w:r>
          </w:p>
        </w:tc>
      </w:tr>
      <w:tr>
        <w:trPr>
          <w:trHeight w:val="206"/>
        </w:trPr>
        <w:tc>
          <w:tcPr>
            <w:tcW w:w="4820" w:type="dxa"/>
            <w:vAlign w:val="bottom"/>
          </w:tcPr>
          <w:p>
            <w:pPr>
              <w:ind w:left="20"/>
              <w:spacing w:after="0"/>
              <w:rPr>
                <w:sz w:val="20"/>
                <w:szCs w:val="20"/>
                <w:color w:val="auto"/>
              </w:rPr>
            </w:pPr>
            <w:r>
              <w:rPr>
                <w:rFonts w:ascii="Arial" w:cs="Arial" w:eastAsia="Arial" w:hAnsi="Arial"/>
                <w:sz w:val="16"/>
                <w:szCs w:val="16"/>
                <w:color w:val="auto"/>
              </w:rPr>
              <w:t>Shares repurchased</w:t>
            </w:r>
          </w:p>
        </w:tc>
        <w:tc>
          <w:tcPr>
            <w:tcW w:w="860" w:type="dxa"/>
            <w:vAlign w:val="bottom"/>
          </w:tcPr>
          <w:p>
            <w:pPr>
              <w:spacing w:after="0"/>
              <w:rPr>
                <w:sz w:val="17"/>
                <w:szCs w:val="17"/>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101.0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443.2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123.9</w:t>
            </w:r>
          </w:p>
        </w:tc>
      </w:tr>
      <w:tr>
        <w:trPr>
          <w:trHeight w:val="212"/>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paid per share</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4"/>
              </w:rPr>
              <w:t>20.05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r>
    </w:tbl>
    <w:p>
      <w:pPr>
        <w:spacing w:after="0" w:line="200" w:lineRule="exact"/>
        <w:rPr>
          <w:sz w:val="20"/>
          <w:szCs w:val="20"/>
          <w:color w:val="auto"/>
        </w:rPr>
      </w:pPr>
    </w:p>
    <w:p>
      <w:pPr>
        <w:spacing w:after="0" w:line="35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 addition to the share repurchases pursuant to our share repurchase programs, we repurchased 374,753 common shares from a shareholder for approximately $10.7 million during the three months ended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4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Board declared a quarterly dividend on September 5, 2023 of $0.25 per common share to shareholders of record as of close of business on September 15, 2023. The total cash payment of $3.7 million was paid on September 29, 2023. The dividend is an eligible dividend pursuant to the Income Tax Act (Canada).</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SHARE-BASED COMPENSATION</w:t>
      </w:r>
    </w:p>
    <w:p>
      <w:pPr>
        <w:spacing w:after="0" w:line="22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Certain key employees and non-employee directors participate in the Amended and Restated 2014 Equity Participation Plan of Civeo Corporation (the Civeo Plan). The Civeo Plan authorizes our Board and the Compensation Committee of our Board to approve grants of options, awards of restricted shares, performance awards, phantom share awards and dividend equivalents, awards of deferred shares, and share payments to our employees and non-employee directors. No more than 3,028,667 Civeo common shares are authorized to be issued under the Civeo Plan.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Outstanding Awards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 xml:space="preserve">Restricted Share Awards / Restricted Share Units / Deferred Share Awards. </w:t>
      </w:r>
      <w:r>
        <w:rPr>
          <w:rFonts w:ascii="Arial" w:cs="Arial" w:eastAsia="Arial" w:hAnsi="Arial"/>
          <w:sz w:val="17"/>
          <w:szCs w:val="17"/>
          <w:color w:val="auto"/>
        </w:rPr>
        <w:t>On May 17, 2023, we granted 49,598 restricted share and deferred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to our non-employee directors, which vest in their entirety on May 15, 2024.</w:t>
      </w:r>
    </w:p>
    <w:p>
      <w:pPr>
        <w:spacing w:after="0" w:line="184"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Compensation expense associated with restricted share awards, restricted share units and deferred share awards recognized in the three months ended September 30, 2023 and 2022 totaled $0.3 million and $0.3 million, respectively. Compensation expense associated with restricted share awards, restricted share units and deferred share awards recognized in the nine months ended September 30, 2023 and 2022 totaled $0.8 million and $0.9 million, respectively. The total fair value of restricted share awards, restricted share units and deferred share awards that vested during the three months ended September 30, 2023 and 2022 was zero and less than $0.1 million, respectively. The total fair value of restricted share awards, restricted share units and deferred share awards that vested during the nine months ended September 30, 2023 and 2022 was $0.9 million and $2.1 million,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31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At September 30, 2023, unrecognized compensation cost related to restricted share awards, restricted share units and deferred share awards was $0.7 million, which is expected to be recognized over a weighted average period of 0.6 years.</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b w:val="1"/>
          <w:bCs w:val="1"/>
          <w:i w:val="1"/>
          <w:iCs w:val="1"/>
          <w:color w:val="auto"/>
        </w:rPr>
        <w:t xml:space="preserve">Phantom Share Awards. </w:t>
      </w:r>
      <w:r>
        <w:rPr>
          <w:rFonts w:ascii="Arial" w:cs="Arial" w:eastAsia="Arial" w:hAnsi="Arial"/>
          <w:sz w:val="17"/>
          <w:szCs w:val="17"/>
          <w:color w:val="auto"/>
        </w:rPr>
        <w:t>On February 23, 2023, we granted 171,608 phantom share awards under the Civeo Plan, which vest in three equal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installments beginning on February 23, 2024. We also granted 56,387 phantom share awards under the Canadian Long-Term Incentive Plan, which vest in three equal annual installments beginning on February 23, 2024. Phantom share awards are settled in cash upon vesting.</w:t>
      </w:r>
    </w:p>
    <w:p>
      <w:pPr>
        <w:spacing w:after="0" w:line="19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During the three months ended September 30, 2023 and 2022, we recognized compensation expense associated with phantom shares totaling $1.7 million and $2.3 million, respectively. During the nine months ended September 30, 2023 and 2022, we recognized compensation expense associated with phantom shares totaling $4.8 million and $7.2 million, respectively. At September 30, 2023, unrecognized compensation cost related to phantom shares was $7.3 million, as remeasured at September 30, 2023, which is expected to be recognized over a weighted average period of 1.8 years.</w:t>
      </w:r>
    </w:p>
    <w:p>
      <w:pPr>
        <w:spacing w:after="0" w:line="162"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b w:val="1"/>
          <w:bCs w:val="1"/>
          <w:i w:val="1"/>
          <w:iCs w:val="1"/>
          <w:color w:val="auto"/>
        </w:rPr>
        <w:t xml:space="preserve">Performance Awards. </w:t>
      </w:r>
      <w:r>
        <w:rPr>
          <w:rFonts w:ascii="Arial" w:cs="Arial" w:eastAsia="Arial" w:hAnsi="Arial"/>
          <w:sz w:val="16"/>
          <w:szCs w:val="16"/>
          <w:color w:val="auto"/>
        </w:rPr>
        <w:t>On February 23, 2023, we granted 85,837 performance awards under the Civeo Plan, which cliff vest in three years on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23, 2026 subject to attainment of applicable performance criteria. These awards will be earned in amounts between 0% and 200% of the participant’s target performance share award, based equally on (i) the payout percentage associated with Civeo’s relative total shareholder return rank among a peer group that includes 16 other companies and (ii) the payout percentage associated with Civeo's cumulative operating cash flow over the performance period relative to a preset target. The portion of the performance awards tied to cumulative operating cash flow includes a performance-based vesting requirement. We evaluate the probability of achieving the performance criteria throughout the performance period and will adjust share-based compensation expense based on the number of shares expected to vest based on our estimate of the most probable performance outcome.</w:t>
      </w:r>
    </w:p>
    <w:p>
      <w:pPr>
        <w:spacing w:after="0" w:line="196"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During the three months ended September 30, 2023 and 2022, we recognized compensation expense associated with performance share awards totaling $1.0 million and $0.6 million, respectively. During the nine months ended September 30, 2023 and 2022, we recognized compensation expense associated with performance share awards totaling $2.5 million and $1.9 million, respectively. No performance share awards vested during the three months ended September 30, 2023 and 2022. The total fair value of performance share awards that vested during the nine months ended September 30, 2023 and 2022 was zero and $2.4 million, respectively. At September 30, 2023, unrecognized compensation cost related to performance share awards was $4.6 million, which is expected to be recognized over a weighted average period of 1.8 years.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SEGMENT AND RELATED INFORMATION</w:t>
      </w:r>
    </w:p>
    <w:p>
      <w:pPr>
        <w:spacing w:after="0" w:line="229"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In accordance with current accounting standards regarding disclosures about segments of an enterprise and related information, we have identified the following reportable segments: Canada and Australia, which represent our strategic focus on hospitality services and workforce accommodations. Prior to the first quarter of 2023, we presented the U.S. operating segment as a separate reportable segment. Our operating segment in the U.S. no longer meets the reportable segment quantitative thresholds required by GAAP and is included below within the Corporate, other and eliminations category. Prior periods have been updated to be consistent with the presentation for the three and nine months ended September 30, 2023.</w:t>
      </w:r>
    </w:p>
    <w:p>
      <w:pPr>
        <w:spacing w:after="0" w:line="16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Financial information by business segment for each of the three and nine months ended September 30, 2023 and 2022 is summarized in the following table (in thousands):</w:t>
      </w:r>
    </w:p>
    <w:p>
      <w:pPr>
        <w:spacing w:after="0" w:line="26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88"/>
              </w:rPr>
              <w:t>Total</w:t>
            </w: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Depreciation</w:t>
            </w:r>
          </w:p>
        </w:tc>
        <w:tc>
          <w:tcPr>
            <w:tcW w:w="2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Operating</w:t>
            </w:r>
          </w:p>
        </w:tc>
        <w:tc>
          <w:tcPr>
            <w:tcW w:w="180" w:type="dxa"/>
            <w:vAlign w:val="bottom"/>
          </w:tcPr>
          <w:p>
            <w:pPr>
              <w:spacing w:after="0"/>
              <w:rPr>
                <w:sz w:val="16"/>
                <w:szCs w:val="16"/>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Capital</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line="157" w:lineRule="exact"/>
              <w:rPr>
                <w:sz w:val="20"/>
                <w:szCs w:val="20"/>
                <w:color w:val="auto"/>
              </w:rPr>
            </w:pPr>
            <w:r>
              <w:rPr>
                <w:rFonts w:ascii="Arial" w:cs="Arial" w:eastAsia="Arial" w:hAnsi="Arial"/>
                <w:sz w:val="16"/>
                <w:szCs w:val="16"/>
                <w:b w:val="1"/>
                <w:bCs w:val="1"/>
                <w:color w:val="auto"/>
                <w:w w:val="84"/>
              </w:rPr>
              <w:t>and</w:t>
            </w:r>
          </w:p>
        </w:tc>
        <w:tc>
          <w:tcPr>
            <w:tcW w:w="240" w:type="dxa"/>
            <w:vAlign w:val="bottom"/>
          </w:tcPr>
          <w:p>
            <w:pPr>
              <w:spacing w:after="0"/>
              <w:rPr>
                <w:sz w:val="13"/>
                <w:szCs w:val="13"/>
                <w:color w:val="auto"/>
              </w:rPr>
            </w:pPr>
          </w:p>
        </w:tc>
        <w:tc>
          <w:tcPr>
            <w:tcW w:w="1320" w:type="dxa"/>
            <w:vAlign w:val="bottom"/>
            <w:gridSpan w:val="2"/>
          </w:tcPr>
          <w:p>
            <w:pPr>
              <w:jc w:val="center"/>
              <w:ind w:right="360"/>
              <w:spacing w:after="0" w:line="157" w:lineRule="exact"/>
              <w:rPr>
                <w:sz w:val="20"/>
                <w:szCs w:val="20"/>
                <w:color w:val="auto"/>
              </w:rPr>
            </w:pPr>
            <w:r>
              <w:rPr>
                <w:rFonts w:ascii="Arial" w:cs="Arial" w:eastAsia="Arial" w:hAnsi="Arial"/>
                <w:sz w:val="16"/>
                <w:szCs w:val="16"/>
                <w:b w:val="1"/>
                <w:bCs w:val="1"/>
                <w:color w:val="auto"/>
                <w:w w:val="85"/>
              </w:rPr>
              <w:t>income</w:t>
            </w:r>
          </w:p>
        </w:tc>
        <w:tc>
          <w:tcPr>
            <w:tcW w:w="18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Total assets</w:t>
            </w:r>
          </w:p>
        </w:tc>
        <w:tc>
          <w:tcPr>
            <w:tcW w:w="0" w:type="dxa"/>
            <w:vAlign w:val="bottom"/>
          </w:tcPr>
          <w:p>
            <w:pPr>
              <w:spacing w:after="0"/>
              <w:rPr>
                <w:sz w:val="1"/>
                <w:szCs w:val="1"/>
                <w:color w:val="auto"/>
              </w:rPr>
            </w:pPr>
          </w:p>
        </w:tc>
      </w:tr>
      <w:tr>
        <w:trPr>
          <w:trHeight w:val="206"/>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revenues</w:t>
            </w:r>
          </w:p>
        </w:tc>
        <w:tc>
          <w:tcPr>
            <w:tcW w:w="20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amortization</w:t>
            </w:r>
          </w:p>
        </w:tc>
        <w:tc>
          <w:tcPr>
            <w:tcW w:w="24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(loss)</w:t>
            </w:r>
          </w:p>
        </w:tc>
        <w:tc>
          <w:tcPr>
            <w:tcW w:w="18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expenditures</w:t>
            </w:r>
          </w:p>
        </w:tc>
        <w:tc>
          <w:tcPr>
            <w:tcW w:w="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95"/>
              </w:rPr>
              <w:t>Three months ended September 30, 2023</w:t>
            </w: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95,144</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9,565</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10,811</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3,006</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center"/>
              <w:ind w:left="502"/>
              <w:spacing w:after="0"/>
              <w:rPr>
                <w:sz w:val="20"/>
                <w:szCs w:val="20"/>
                <w:color w:val="auto"/>
              </w:rPr>
            </w:pPr>
            <w:r>
              <w:rPr>
                <w:rFonts w:ascii="Arial" w:cs="Arial" w:eastAsia="Arial" w:hAnsi="Arial"/>
                <w:sz w:val="16"/>
                <w:szCs w:val="16"/>
                <w:color w:val="auto"/>
                <w:w w:val="89"/>
              </w:rPr>
              <w:t>745,377</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Australia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87,885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195,315</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Corporate, other and eliminations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482"/>
              <w:spacing w:after="0"/>
              <w:rPr>
                <w:sz w:val="20"/>
                <w:szCs w:val="20"/>
                <w:color w:val="auto"/>
              </w:rPr>
            </w:pPr>
            <w:r>
              <w:rPr>
                <w:rFonts w:ascii="Arial" w:cs="Arial" w:eastAsia="Arial" w:hAnsi="Arial"/>
                <w:sz w:val="16"/>
                <w:szCs w:val="16"/>
                <w:color w:val="auto"/>
                <w:w w:val="90"/>
              </w:rPr>
              <w:t>(384,098)</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183,572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9,462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center"/>
              <w:ind w:left="502"/>
              <w:spacing w:after="0"/>
              <w:rPr>
                <w:sz w:val="20"/>
                <w:szCs w:val="20"/>
                <w:color w:val="auto"/>
              </w:rPr>
            </w:pPr>
            <w:r>
              <w:rPr>
                <w:rFonts w:ascii="Arial" w:cs="Arial" w:eastAsia="Arial" w:hAnsi="Arial"/>
                <w:sz w:val="16"/>
                <w:szCs w:val="16"/>
                <w:color w:val="auto"/>
                <w:w w:val="89"/>
              </w:rPr>
              <w:t>556,594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5"/>
              </w:rPr>
              <w:t>Three months ended September 30, 2022</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103,009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14,749</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7,846</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3,580</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center"/>
              <w:ind w:left="502"/>
              <w:spacing w:after="0"/>
              <w:rPr>
                <w:sz w:val="20"/>
                <w:szCs w:val="20"/>
                <w:color w:val="auto"/>
              </w:rPr>
            </w:pPr>
            <w:r>
              <w:rPr>
                <w:rFonts w:ascii="Arial" w:cs="Arial" w:eastAsia="Arial" w:hAnsi="Arial"/>
                <w:sz w:val="16"/>
                <w:szCs w:val="16"/>
                <w:color w:val="auto"/>
                <w:w w:val="89"/>
              </w:rPr>
              <w:t>718,981</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Australia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73,805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191,557</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Corporate, other and eliminations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7,413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482"/>
              <w:spacing w:after="0"/>
              <w:rPr>
                <w:sz w:val="20"/>
                <w:szCs w:val="20"/>
                <w:color w:val="auto"/>
              </w:rPr>
            </w:pPr>
            <w:r>
              <w:rPr>
                <w:rFonts w:ascii="Arial" w:cs="Arial" w:eastAsia="Arial" w:hAnsi="Arial"/>
                <w:sz w:val="16"/>
                <w:szCs w:val="16"/>
                <w:color w:val="auto"/>
                <w:w w:val="90"/>
              </w:rPr>
              <w:t>(327,209)</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184,227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22,608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8,819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center"/>
              <w:ind w:left="502"/>
              <w:spacing w:after="0"/>
              <w:rPr>
                <w:sz w:val="20"/>
                <w:szCs w:val="20"/>
                <w:color w:val="auto"/>
              </w:rPr>
            </w:pPr>
            <w:r>
              <w:rPr>
                <w:rFonts w:ascii="Arial" w:cs="Arial" w:eastAsia="Arial" w:hAnsi="Arial"/>
                <w:sz w:val="16"/>
                <w:szCs w:val="16"/>
                <w:color w:val="auto"/>
                <w:w w:val="89"/>
              </w:rPr>
              <w:t>583,329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8"/>
              </w:rPr>
              <w:t>Nine months ended September 30, 2023</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280,067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37,067</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9,486</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7,075</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center"/>
              <w:ind w:left="502"/>
              <w:spacing w:after="0"/>
              <w:rPr>
                <w:sz w:val="20"/>
                <w:szCs w:val="20"/>
                <w:color w:val="auto"/>
              </w:rPr>
            </w:pPr>
            <w:r>
              <w:rPr>
                <w:rFonts w:ascii="Arial" w:cs="Arial" w:eastAsia="Arial" w:hAnsi="Arial"/>
                <w:sz w:val="16"/>
                <w:szCs w:val="16"/>
                <w:color w:val="auto"/>
                <w:w w:val="89"/>
              </w:rPr>
              <w:t>745,377</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Australia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247,418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13,373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195,315</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Corporate, other and eliminations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731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482"/>
              <w:spacing w:after="0"/>
              <w:rPr>
                <w:sz w:val="20"/>
                <w:szCs w:val="20"/>
                <w:color w:val="auto"/>
              </w:rPr>
            </w:pPr>
            <w:r>
              <w:rPr>
                <w:rFonts w:ascii="Arial" w:cs="Arial" w:eastAsia="Arial" w:hAnsi="Arial"/>
                <w:sz w:val="16"/>
                <w:szCs w:val="16"/>
                <w:color w:val="auto"/>
                <w:w w:val="90"/>
              </w:rPr>
              <w:t>(384,098)</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530,006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59,277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22,307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21,179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center"/>
              <w:ind w:left="502"/>
              <w:spacing w:after="0"/>
              <w:rPr>
                <w:sz w:val="20"/>
                <w:szCs w:val="20"/>
                <w:color w:val="auto"/>
              </w:rPr>
            </w:pPr>
            <w:r>
              <w:rPr>
                <w:rFonts w:ascii="Arial" w:cs="Arial" w:eastAsia="Arial" w:hAnsi="Arial"/>
                <w:sz w:val="16"/>
                <w:szCs w:val="16"/>
                <w:color w:val="auto"/>
                <w:w w:val="89"/>
              </w:rPr>
              <w:t>556,594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8"/>
              </w:rPr>
              <w:t>Nine months ended September 30, 2022</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307,984</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41,344</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23,081</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7,433</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center"/>
              <w:ind w:left="502"/>
              <w:spacing w:after="0"/>
              <w:rPr>
                <w:sz w:val="20"/>
                <w:szCs w:val="20"/>
                <w:color w:val="auto"/>
              </w:rPr>
            </w:pPr>
            <w:r>
              <w:rPr>
                <w:rFonts w:ascii="Arial" w:cs="Arial" w:eastAsia="Arial" w:hAnsi="Arial"/>
                <w:sz w:val="16"/>
                <w:szCs w:val="16"/>
                <w:color w:val="auto"/>
                <w:w w:val="89"/>
              </w:rPr>
              <w:t>718,981</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Australia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205,154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191,557</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Corporate, other and eliminations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21,721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1,064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482"/>
              <w:spacing w:after="0"/>
              <w:rPr>
                <w:sz w:val="20"/>
                <w:szCs w:val="20"/>
                <w:color w:val="auto"/>
              </w:rPr>
            </w:pPr>
            <w:r>
              <w:rPr>
                <w:rFonts w:ascii="Arial" w:cs="Arial" w:eastAsia="Arial" w:hAnsi="Arial"/>
                <w:sz w:val="16"/>
                <w:szCs w:val="16"/>
                <w:color w:val="auto"/>
                <w:w w:val="90"/>
              </w:rPr>
              <w:t>(327,209)</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534,859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65,818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29,264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17,466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center"/>
              <w:ind w:left="502"/>
              <w:spacing w:after="0"/>
              <w:rPr>
                <w:sz w:val="20"/>
                <w:szCs w:val="20"/>
                <w:color w:val="auto"/>
              </w:rPr>
            </w:pPr>
            <w:r>
              <w:rPr>
                <w:rFonts w:ascii="Arial" w:cs="Arial" w:eastAsia="Arial" w:hAnsi="Arial"/>
                <w:sz w:val="16"/>
                <w:szCs w:val="16"/>
                <w:color w:val="auto"/>
                <w:w w:val="89"/>
              </w:rPr>
              <w:t>583,329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volatility in the price of and demand for commodities, as well as our expectations about capital expenditures in 2023, beliefs with respect to liquidity needs and expectations with respect to share repurchases and dividends. Actual results could differ materially from those projected in the forward-looking statements as a result of a number of important factors. For a discussion of known material factors that could affect our results, please refer to “Risk Factors,” “Cautionary Statement Regarding Forward-Looking Statements,” and “Management’s Discussion and Analysis of Financial Condition and Results of Operations” included in our Annual Report on Form 10-K for the year ended December 31, 2022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In addition, in certain places in this quarterly report, we may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37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You should read the following discussion and analysis together with our consolidated financial statements and the notes to those statements included elsewhere in this quarterly report on Form 10-Q.</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Macroeconomic Environment</w:t>
      </w:r>
    </w:p>
    <w:p>
      <w:pPr>
        <w:spacing w:after="0" w:line="137"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6"/>
          <w:szCs w:val="16"/>
          <w:color w:val="auto"/>
        </w:rPr>
        <w:t>We provide hospitality services to the natural resources industry in Canada, Australia and the U.S. Demand for our services can be attributed to two phases of our customers’ projects: (1) the development or construction phase; and (2) the operations or production phase. Historically, initial demand for our hospitality services has been driven by our customers’ capital spending programs related to the construction and development of natural resource projects and associated infrastructure, as well as the exploration for oil and natural gas. Long-term demand for our services has been driven by natural resource production, maintenance and operation of those facilities as well as expansion of those sites. In general, industry capital spending programs are based on the outlook for commodity prices, economic growth, global commodity supply/demand, estimates of resource production and the expectations of our customers' shareholders. As a result, demand for our hospitality services is largely sensitive to expected commodity prices, principally related to oil, metallurgical (met) coal, liquefied natural gas (LNG) and iron ore, and the resultant impact of these commodity price expectations on our customers' spending. Other factors that can affect our business and financial results include the general global economic environment, including inflationary pressures, supply chain disruptions and labor shortages, volatility affecting the banking system and financial markets, availability of capital to the natural resource industry and regulatory changes in Canada, Australia, the U.S. and other markets, including governmental measures introduced to fight climate change.</w:t>
      </w:r>
    </w:p>
    <w:p>
      <w:pPr>
        <w:spacing w:after="0" w:line="9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6"/>
          <w:szCs w:val="16"/>
          <w:color w:val="auto"/>
        </w:rPr>
        <w:t>Our business is predominantly located in northern Alberta, Canada; British Columbia, Canada; Queensland, Australia; and Western Australia. We derive most of our business from natural resource companies who are developing and producing oil sands, met coal, LNG and iron ore resources and, to a lesser extent, other hydrocarbon and mineral resources. Approximately 64% of our revenue is generated by our lodges in Canada and our villages in Australia.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fee-per-person-per-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0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day basis that covers lodging and meals and is based on the duration of customer needs, which can range from several weeks to several years. The remainder of our revenue is generated by our hospitality services at customer-owned locations in Canada and Australia and mobile assets in Canada.</w:t>
      </w:r>
    </w:p>
    <w:p>
      <w:pPr>
        <w:spacing w:after="0" w:line="8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Generally, our core Canadian oil sands and Australian mining customers make significant, upfront capital investments to develop their prospects, which have estimated reserve lives ranging from ten years to in excess of 30 years. Consequently, these investments are primarily dependent on those customers’ long-term views of commodity demand and prices.</w:t>
      </w:r>
    </w:p>
    <w:p>
      <w:pPr>
        <w:spacing w:after="0" w:line="9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During 2022 and through the first nine months of 2023, inflationary pressures and supply chain disruptions have been, and are being, experienced worldwide. Price increases resulting from inflation and supply chain concerns have, and are expected to continue to have, a negative impact on our labor and food costs, as well as consumable costs such as fuel. We are managing inflation risk with negotiated service scope changes and contractual protections.</w:t>
      </w:r>
    </w:p>
    <w:p>
      <w:pPr>
        <w:spacing w:after="0" w:line="8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addition to the macro inflationary impacts on labor costs noted above, during the COVID-19 pandemic, we were, and continue to be, impacted by increased staff costs as a result of hospitality labor shortages in Australia as government-imposed and voluntary social distancing and quarantining impacted travel. This labor shortage has been exacerbated by significantly reduced migration in and around Australia affecting labor availability, which has subsequently led to an increased reliance on more expensive temporary labor resources.</w:t>
      </w:r>
    </w:p>
    <w:p>
      <w:pPr>
        <w:spacing w:after="0" w:line="110"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Since historic lows in early 2020 during the start of the COVID-19 pandemic, global oil prices increased in late 2020 and throughout 2021 primarily due to improved global oil demand and lagging global oil supply due to oil production discipline from publicly traded oil producers and OPEC+ countries. These supply/demand dynamics continued in 2022 and were exacerbated by the ongoing conflict between Russia/Ukraine and related sanctions on Russia, as well as actions taken by OPEC+ to adjust production levels, which decreased global fossil fuel supply even further. This led to a significant increase in global oil prices to above $100 per barrel in the second quarter of 2022. Severe inflation and rising interest rates in the second half of 2022 led to concerns of an economic recession and lower oil demand which resulted in decreased oil prices through the remainder of 2022 and the first six months of 2023. In an effort to support the price of oil amidst demand concerns, OPEC+ announced additional oil production cuts in April 2023. Further, Saudi Arabia announced voluntary oil production cuts in June 2023, which have been extended through the end of 2023. These production cuts, coupled with the rising geopolitical risks in the Middle East, resulted in increased oil prices in the third quarter and early fourth quarter of 2023.</w:t>
      </w:r>
    </w:p>
    <w:p>
      <w:pPr>
        <w:spacing w:after="0" w:line="94"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b w:val="1"/>
          <w:bCs w:val="1"/>
          <w:i w:val="1"/>
          <w:iCs w:val="1"/>
          <w:color w:val="auto"/>
        </w:rPr>
        <w:t xml:space="preserve">Alberta, Canada. </w:t>
      </w:r>
      <w:r>
        <w:rPr>
          <w:rFonts w:ascii="Arial" w:cs="Arial" w:eastAsia="Arial" w:hAnsi="Arial"/>
          <w:sz w:val="17"/>
          <w:szCs w:val="17"/>
          <w:color w:val="auto"/>
        </w:rPr>
        <w:t>In Canada, Western Canadian Select (WCS) crude is the benchmark price for our oil sands customers. Pricing for WCS is driven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factors, including the underlying price for West Texas Intermediate (WTI) crude, the availability of transportation infrastructure (consisting of pipelines and crude by railcar), refinery blending requirements and governmental regulation.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spacing w:after="0" w:line="11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Certain expansionary oil pipeline projects have the potential to both drive incremental demand for mobile assets and to improve take-away capacity for Canadian oil sands producers over the longer term. The Enbridge Line 3 replacement project was completed at the end of 2021 and the Trans Mountain Pipeline (TMX) is currently under construction and continues to progress towards completion. TMX recently announced that the project is approximately 90% complete, with mechanical completion expected to occur at the end of 2023, and the pipeline is expected to be in-service in the first quarter of 2024.</w:t>
      </w:r>
    </w:p>
    <w:p>
      <w:pPr>
        <w:spacing w:after="0" w:line="9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WCS prices in the third quarter of 2023 averaged $66.20 per barrel compared to an average of $70.70 in the third quarter of 2022. The WCS Differential decreased from $27.62 per barrel at the end of the fourth quarter of 2022 to $18.30 at the end of the third quarter of 2023. As of October 23, 2023, the WTI price was $61.42 and the WCS price was $86.39, resulting in a WCS Differential of $24.97</w:t>
      </w:r>
    </w:p>
    <w:p>
      <w:pPr>
        <w:spacing w:after="0" w:line="9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Although oil prices reached multi-year highs in the first half of 2022, they fluctuated through the second half of 2022 and throughout 2023. There is continued uncertainty around commodity price levels, including the impact of inflationary pressures, actions taken by OPEC+ to adjust production levels, geopolitical events such as the ongoing Russia/Ukraine conflict and rising geopolitical risks in the Middle East, and regulatory implications on such prices, which could cause our Canadian oil sands and pipeline customers to reduce production, delay expansionary and maintenance spending and defer additional investments in their oil sands assets.</w:t>
      </w:r>
    </w:p>
    <w:p>
      <w:pPr>
        <w:spacing w:after="0" w:line="11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did not renew our expiring land lease associated with our McClelland Lake Lodge in Alberta, Canada, which expired in June 2023, ten years earlier than originally expected, in order to support our customer’s intent to mine the land where the lodge was located. In addition, the accompanying hospitality services contract at McClelland Lake Lodge expired in July 2023;</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1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however, we will continue to provide hospitality services to the customer at our other owned lodges through January 31, 2024 under a short-term take-or-pay commitment. Our assets are being demobilized and expected to be completely removed from the existing site by February 1, 2024. During the third quarter of 2023, we entered into a definitive agreement to sell our McClelland Lake Lodge assets to a U.S.-based mining project for approximately C$49 million, or US$36 million. We expect to complete the transaction before January 31, 2024, subject to the satisfaction of customary closing conditions. During the third quarter of 2023, we recognized $4.9 million in demobilization costs and received $9.1 million in cash proceeds associated with the sale. We expect to recognize the remaining demobilization costs and the proceeds of the sale in the fourth quarter of 2023 and first quarter of 2024.</w:t>
      </w:r>
    </w:p>
    <w:p>
      <w:pPr>
        <w:spacing w:after="0" w:line="101"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b w:val="1"/>
          <w:bCs w:val="1"/>
          <w:i w:val="1"/>
          <w:iCs w:val="1"/>
          <w:color w:val="auto"/>
        </w:rPr>
        <w:t xml:space="preserve">British Columbia, Canada. </w:t>
      </w:r>
      <w:r>
        <w:rPr>
          <w:rFonts w:ascii="Arial" w:cs="Arial" w:eastAsia="Arial" w:hAnsi="Arial"/>
          <w:sz w:val="17"/>
          <w:szCs w:val="17"/>
          <w:color w:val="auto"/>
        </w:rPr>
        <w:t>Our Sitka Lodge supports the LNG Canada project and related pipeline projects (see discussion below). From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macroeconomic standpoint, LNG demand has continued to grow, reinforcing the need for the global LNG industry to expand access to natural gas. Evolving government energy policies around the world have amplified support for cleaner energy supply, creating more opportunities for natural gas and LNG. The conflict between Russia/Ukraine has further highlighted the need for secure natural gas supply globally, particularly in Europe. Accordingly, additional investment in LNG supply will be needed to meet the resulting expected long-term LNG demand growth.</w:t>
      </w:r>
    </w:p>
    <w:p>
      <w:pPr>
        <w:spacing w:after="0" w:line="114"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Currently, Western Canada does not have any operational LNG export facilities. LNG Canada (LNGC), a joint venture among Shell Canada Energy, an affiliate of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British Columbia LNG activity and related pipeline projects are a material driver of activity for our Sitka Lodge, as well as for our mobile assets, which are contracted to serve designated portions of the related pipeline construction activity. While our current expectation is that the majority of our contracted commitments associated with the CGL pipeline project will be completed in the fourth quarter of 2023, any new delays in facility or pipeline construction may result in extensions to these dates.</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b w:val="1"/>
          <w:bCs w:val="1"/>
          <w:i w:val="1"/>
          <w:iCs w:val="1"/>
          <w:color w:val="auto"/>
        </w:rPr>
        <w:t xml:space="preserve">Australia. </w:t>
      </w:r>
      <w:r>
        <w:rPr>
          <w:rFonts w:ascii="Arial" w:cs="Arial" w:eastAsia="Arial" w:hAnsi="Arial"/>
          <w:sz w:val="17"/>
          <w:szCs w:val="17"/>
          <w:color w:val="auto"/>
        </w:rPr>
        <w:t>In Australia, 84% of our rooms are located in the Bowen Basin of Queensland, Australia and primarily serve met coal mines in that region. Met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coal pricing and production growth in the Bowen Basin region is predominantly influenced by the level of global steel production, which increased by 0.2% for the first eight months of 2023 compared to the same period of 2022. The marginal increase year-over-year was the result of stronger production from both China and India in July and August. As of October 23, 2023, met coal spot prices were $342.00 per tonne.</w:t>
      </w:r>
    </w:p>
    <w:p>
      <w:pPr>
        <w:spacing w:after="0" w:line="189" w:lineRule="exact"/>
        <w:rPr>
          <w:sz w:val="20"/>
          <w:szCs w:val="20"/>
          <w:color w:val="auto"/>
        </w:rPr>
      </w:pPr>
    </w:p>
    <w:p>
      <w:pPr>
        <w:jc w:val="both"/>
        <w:ind w:firstLine="470"/>
        <w:spacing w:after="0" w:line="251" w:lineRule="auto"/>
        <w:rPr>
          <w:sz w:val="20"/>
          <w:szCs w:val="20"/>
          <w:color w:val="auto"/>
        </w:rPr>
      </w:pPr>
      <w:r>
        <w:rPr>
          <w:rFonts w:ascii="Arial" w:cs="Arial" w:eastAsia="Arial" w:hAnsi="Arial"/>
          <w:sz w:val="17"/>
          <w:szCs w:val="17"/>
          <w:color w:val="auto"/>
        </w:rPr>
        <w:t>Following historic highs in early 2022, met coal prices have since stabilized and were further supported in the first half of 2023 with seasonal weather-related supply interruptions in Australia. In September 2023, met coal prices increased to over $300 per tonne, as truck and port disruptions resulted in extremely tight supply from Australia. Analysts forecast met coal prices to remain near $300 per tonne during the fourth quarter of 2023 due to supply limitations in Australia. Downward pressure on prices is still possible in the short term if demand in China worsens.</w:t>
      </w:r>
    </w:p>
    <w:p>
      <w:pPr>
        <w:spacing w:after="0" w:line="21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Civeo's activity in Western Australia is driven primarily by iron ore production, which is a key steel-making ingredient. Iron ore prices have stabilized in 2023 after fluctuating in the second half of 2022. As of October 23, 2023, iron ore spot prices were $112.04 per tonne. Analysts forecast Chinese steel production in 2023 to be at similar levels to 2022 and expect forecast iron ore pricing in 2023 to remain between $100 and $115.</w:t>
      </w:r>
    </w:p>
    <w:p>
      <w:pPr>
        <w:spacing w:after="0" w:line="198"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b w:val="1"/>
          <w:bCs w:val="1"/>
          <w:i w:val="1"/>
          <w:iCs w:val="1"/>
          <w:color w:val="auto"/>
        </w:rPr>
        <w:t xml:space="preserve">Other. </w:t>
      </w:r>
      <w:r>
        <w:rPr>
          <w:rFonts w:ascii="Arial" w:cs="Arial" w:eastAsia="Arial" w:hAnsi="Arial"/>
          <w:sz w:val="16"/>
          <w:szCs w:val="16"/>
          <w:color w:val="auto"/>
        </w:rPr>
        <w:t>In the first quarter of 2023, we sold our U.S. Acadian Acres lodge assets. In addition, in the second half of 2022, we sold both our U.S. wellsite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and offshore businesses. Our remaining U.S. business supports completion activity in the Bakken. U.S. oil completion activity will continue to be impacted by oil prices, pipeline capacity, federal energy policies and availability of capital to support exploration and production completion plans.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1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Recent Commodity Prices. </w:t>
      </w:r>
      <w:r>
        <w:rPr>
          <w:rFonts w:ascii="Arial" w:cs="Arial" w:eastAsia="Arial" w:hAnsi="Arial"/>
          <w:sz w:val="17"/>
          <w:szCs w:val="17"/>
          <w:color w:val="auto"/>
        </w:rPr>
        <w:t>Recent WTI crude, WCS crude, met coal and iron ore pricing trends are as follows:</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3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5"/>
          </w:tcPr>
          <w:p>
            <w:pPr>
              <w:ind w:left="760"/>
              <w:spacing w:after="0"/>
              <w:rPr>
                <w:sz w:val="20"/>
                <w:szCs w:val="20"/>
                <w:color w:val="auto"/>
              </w:rPr>
            </w:pPr>
            <w:r>
              <w:rPr>
                <w:rFonts w:ascii="Arial" w:cs="Arial" w:eastAsia="Arial" w:hAnsi="Arial"/>
                <w:sz w:val="17"/>
                <w:szCs w:val="17"/>
                <w:color w:val="auto"/>
              </w:rPr>
              <w:t xml:space="preserve">Average Price </w:t>
            </w:r>
            <w:r>
              <w:rPr>
                <w:rFonts w:ascii="Arial" w:cs="Arial" w:eastAsia="Arial" w:hAnsi="Arial"/>
                <w:sz w:val="22"/>
                <w:szCs w:val="22"/>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vMerge w:val="restart"/>
          </w:tcPr>
          <w:p>
            <w:pPr>
              <w:jc w:val="center"/>
              <w:ind w:right="400"/>
              <w:spacing w:after="0"/>
              <w:rPr>
                <w:sz w:val="20"/>
                <w:szCs w:val="20"/>
                <w:color w:val="auto"/>
              </w:rPr>
            </w:pPr>
            <w:r>
              <w:rPr>
                <w:rFonts w:ascii="Arial" w:cs="Arial" w:eastAsia="Arial" w:hAnsi="Arial"/>
                <w:sz w:val="17"/>
                <w:szCs w:val="17"/>
                <w:color w:val="auto"/>
              </w:rPr>
              <w:t>WTI</w:t>
            </w:r>
          </w:p>
        </w:tc>
        <w:tc>
          <w:tcPr>
            <w:tcW w:w="280" w:type="dxa"/>
            <w:vAlign w:val="bottom"/>
          </w:tcPr>
          <w:p>
            <w:pPr>
              <w:spacing w:after="0"/>
              <w:rPr>
                <w:sz w:val="14"/>
                <w:szCs w:val="14"/>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7"/>
                <w:szCs w:val="17"/>
                <w:color w:val="auto"/>
                <w:w w:val="90"/>
              </w:rPr>
              <w:t>WCS</w:t>
            </w:r>
          </w:p>
        </w:tc>
        <w:tc>
          <w:tcPr>
            <w:tcW w:w="220" w:type="dxa"/>
            <w:vAlign w:val="bottom"/>
          </w:tcPr>
          <w:p>
            <w:pPr>
              <w:spacing w:after="0"/>
              <w:rPr>
                <w:sz w:val="14"/>
                <w:szCs w:val="14"/>
                <w:color w:val="auto"/>
              </w:rPr>
            </w:pPr>
          </w:p>
        </w:tc>
        <w:tc>
          <w:tcPr>
            <w:tcW w:w="1460" w:type="dxa"/>
            <w:vAlign w:val="bottom"/>
            <w:gridSpan w:val="2"/>
          </w:tcPr>
          <w:p>
            <w:pPr>
              <w:jc w:val="center"/>
              <w:ind w:right="320"/>
              <w:spacing w:after="0" w:line="163" w:lineRule="exact"/>
              <w:rPr>
                <w:sz w:val="20"/>
                <w:szCs w:val="20"/>
                <w:color w:val="auto"/>
              </w:rPr>
            </w:pPr>
            <w:r>
              <w:rPr>
                <w:rFonts w:ascii="Arial" w:cs="Arial" w:eastAsia="Arial" w:hAnsi="Arial"/>
                <w:sz w:val="17"/>
                <w:szCs w:val="17"/>
                <w:color w:val="auto"/>
                <w:w w:val="92"/>
              </w:rPr>
              <w:t>Hard</w:t>
            </w:r>
          </w:p>
        </w:tc>
        <w:tc>
          <w:tcPr>
            <w:tcW w:w="260" w:type="dxa"/>
            <w:vAlign w:val="bottom"/>
          </w:tcPr>
          <w:p>
            <w:pPr>
              <w:spacing w:after="0"/>
              <w:rPr>
                <w:sz w:val="14"/>
                <w:szCs w:val="14"/>
                <w:color w:val="auto"/>
              </w:rPr>
            </w:pPr>
          </w:p>
        </w:tc>
        <w:tc>
          <w:tcPr>
            <w:tcW w:w="1320" w:type="dxa"/>
            <w:vAlign w:val="bottom"/>
            <w:vMerge w:val="restart"/>
          </w:tcPr>
          <w:p>
            <w:pPr>
              <w:jc w:val="center"/>
              <w:ind w:right="173"/>
              <w:spacing w:after="0"/>
              <w:rPr>
                <w:sz w:val="20"/>
                <w:szCs w:val="20"/>
                <w:color w:val="auto"/>
              </w:rPr>
            </w:pPr>
            <w:r>
              <w:rPr>
                <w:rFonts w:ascii="Arial" w:cs="Arial" w:eastAsia="Arial" w:hAnsi="Arial"/>
                <w:sz w:val="17"/>
                <w:szCs w:val="17"/>
                <w:color w:val="auto"/>
              </w:rPr>
              <w:t>Iron</w:t>
            </w:r>
          </w:p>
        </w:tc>
        <w:tc>
          <w:tcPr>
            <w:tcW w:w="0" w:type="dxa"/>
            <w:vAlign w:val="bottom"/>
          </w:tcPr>
          <w:p>
            <w:pPr>
              <w:spacing w:after="0"/>
              <w:rPr>
                <w:sz w:val="1"/>
                <w:szCs w:val="1"/>
                <w:color w:val="auto"/>
              </w:rPr>
            </w:pPr>
          </w:p>
        </w:tc>
      </w:tr>
      <w:tr>
        <w:trPr>
          <w:trHeight w:val="170"/>
        </w:trPr>
        <w:tc>
          <w:tcPr>
            <w:tcW w:w="366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auto"/>
                <w:w w:val="90"/>
              </w:rPr>
              <w:t>Quarter</w:t>
            </w:r>
          </w:p>
        </w:tc>
        <w:tc>
          <w:tcPr>
            <w:tcW w:w="3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00"/>
              <w:spacing w:after="0" w:line="170" w:lineRule="exact"/>
              <w:rPr>
                <w:sz w:val="20"/>
                <w:szCs w:val="20"/>
                <w:color w:val="auto"/>
              </w:rPr>
            </w:pPr>
            <w:r>
              <w:rPr>
                <w:rFonts w:ascii="Arial" w:cs="Arial" w:eastAsia="Arial" w:hAnsi="Arial"/>
                <w:sz w:val="17"/>
                <w:szCs w:val="17"/>
                <w:color w:val="auto"/>
              </w:rPr>
              <w:t>Coking Coal</w:t>
            </w:r>
          </w:p>
        </w:tc>
        <w:tc>
          <w:tcPr>
            <w:tcW w:w="2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400"/>
              <w:spacing w:after="0" w:line="170" w:lineRule="exact"/>
              <w:rPr>
                <w:sz w:val="20"/>
                <w:szCs w:val="20"/>
                <w:color w:val="auto"/>
              </w:rPr>
            </w:pPr>
            <w:r>
              <w:rPr>
                <w:rFonts w:ascii="Arial" w:cs="Arial" w:eastAsia="Arial" w:hAnsi="Arial"/>
                <w:sz w:val="17"/>
                <w:szCs w:val="17"/>
                <w:color w:val="auto"/>
                <w:w w:val="90"/>
              </w:rPr>
              <w:t>Crude</w:t>
            </w:r>
          </w:p>
        </w:tc>
        <w:tc>
          <w:tcPr>
            <w:tcW w:w="280" w:type="dxa"/>
            <w:vAlign w:val="bottom"/>
          </w:tcPr>
          <w:p>
            <w:pPr>
              <w:spacing w:after="0"/>
              <w:rPr>
                <w:sz w:val="14"/>
                <w:szCs w:val="14"/>
                <w:color w:val="auto"/>
              </w:rPr>
            </w:pPr>
          </w:p>
        </w:tc>
        <w:tc>
          <w:tcPr>
            <w:tcW w:w="1380" w:type="dxa"/>
            <w:vAlign w:val="bottom"/>
            <w:gridSpan w:val="2"/>
          </w:tcPr>
          <w:p>
            <w:pPr>
              <w:jc w:val="center"/>
              <w:ind w:right="380"/>
              <w:spacing w:after="0" w:line="170" w:lineRule="exact"/>
              <w:rPr>
                <w:sz w:val="20"/>
                <w:szCs w:val="20"/>
                <w:color w:val="auto"/>
              </w:rPr>
            </w:pPr>
            <w:r>
              <w:rPr>
                <w:rFonts w:ascii="Arial" w:cs="Arial" w:eastAsia="Arial" w:hAnsi="Arial"/>
                <w:sz w:val="17"/>
                <w:szCs w:val="17"/>
                <w:color w:val="auto"/>
                <w:w w:val="94"/>
              </w:rPr>
              <w:t>Crude</w:t>
            </w:r>
          </w:p>
        </w:tc>
        <w:tc>
          <w:tcPr>
            <w:tcW w:w="220" w:type="dxa"/>
            <w:vAlign w:val="bottom"/>
          </w:tcPr>
          <w:p>
            <w:pPr>
              <w:spacing w:after="0"/>
              <w:rPr>
                <w:sz w:val="14"/>
                <w:szCs w:val="14"/>
                <w:color w:val="auto"/>
              </w:rPr>
            </w:pPr>
          </w:p>
        </w:tc>
        <w:tc>
          <w:tcPr>
            <w:tcW w:w="1460" w:type="dxa"/>
            <w:vAlign w:val="bottom"/>
            <w:gridSpan w:val="2"/>
          </w:tcPr>
          <w:p>
            <w:pPr>
              <w:jc w:val="center"/>
              <w:ind w:right="320"/>
              <w:spacing w:after="0" w:line="170" w:lineRule="exact"/>
              <w:rPr>
                <w:sz w:val="20"/>
                <w:szCs w:val="20"/>
                <w:color w:val="auto"/>
              </w:rPr>
            </w:pPr>
            <w:r>
              <w:rPr>
                <w:rFonts w:ascii="Arial" w:cs="Arial" w:eastAsia="Arial" w:hAnsi="Arial"/>
                <w:sz w:val="17"/>
                <w:szCs w:val="17"/>
                <w:color w:val="auto"/>
                <w:w w:val="98"/>
              </w:rPr>
              <w:t>(Met Coal)</w:t>
            </w:r>
          </w:p>
        </w:tc>
        <w:tc>
          <w:tcPr>
            <w:tcW w:w="260" w:type="dxa"/>
            <w:vAlign w:val="bottom"/>
          </w:tcPr>
          <w:p>
            <w:pPr>
              <w:spacing w:after="0"/>
              <w:rPr>
                <w:sz w:val="14"/>
                <w:szCs w:val="14"/>
                <w:color w:val="auto"/>
              </w:rPr>
            </w:pPr>
          </w:p>
        </w:tc>
        <w:tc>
          <w:tcPr>
            <w:tcW w:w="1320" w:type="dxa"/>
            <w:vAlign w:val="bottom"/>
          </w:tcPr>
          <w:p>
            <w:pPr>
              <w:jc w:val="center"/>
              <w:ind w:right="173"/>
              <w:spacing w:after="0" w:line="170" w:lineRule="exact"/>
              <w:rPr>
                <w:sz w:val="20"/>
                <w:szCs w:val="20"/>
                <w:color w:val="auto"/>
              </w:rPr>
            </w:pPr>
            <w:r>
              <w:rPr>
                <w:rFonts w:ascii="Arial" w:cs="Arial" w:eastAsia="Arial" w:hAnsi="Arial"/>
                <w:sz w:val="17"/>
                <w:szCs w:val="17"/>
                <w:color w:val="auto"/>
                <w:w w:val="91"/>
              </w:rPr>
              <w:t>Ore</w:t>
            </w:r>
          </w:p>
        </w:tc>
        <w:tc>
          <w:tcPr>
            <w:tcW w:w="0" w:type="dxa"/>
            <w:vAlign w:val="bottom"/>
          </w:tcPr>
          <w:p>
            <w:pPr>
              <w:spacing w:after="0"/>
              <w:rPr>
                <w:sz w:val="1"/>
                <w:szCs w:val="1"/>
                <w:color w:val="auto"/>
              </w:rPr>
            </w:pPr>
          </w:p>
        </w:tc>
      </w:tr>
      <w:tr>
        <w:trPr>
          <w:trHeight w:val="234"/>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ended</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13"/>
              <w:spacing w:after="0"/>
              <w:rPr>
                <w:sz w:val="20"/>
                <w:szCs w:val="20"/>
                <w:color w:val="auto"/>
              </w:rPr>
            </w:pPr>
            <w:r>
              <w:rPr>
                <w:rFonts w:ascii="Arial" w:cs="Arial" w:eastAsia="Arial" w:hAnsi="Arial"/>
                <w:sz w:val="17"/>
                <w:szCs w:val="17"/>
                <w:color w:val="auto"/>
                <w:w w:val="97"/>
              </w:rPr>
              <w:t>(per bbl)</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7"/>
                <w:szCs w:val="17"/>
                <w:color w:val="auto"/>
                <w:w w:val="94"/>
              </w:rPr>
              <w:t>(per bbl)</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33"/>
              <w:spacing w:after="0"/>
              <w:rPr>
                <w:sz w:val="20"/>
                <w:szCs w:val="20"/>
                <w:color w:val="auto"/>
              </w:rPr>
            </w:pPr>
            <w:r>
              <w:rPr>
                <w:rFonts w:ascii="Arial" w:cs="Arial" w:eastAsia="Arial" w:hAnsi="Arial"/>
                <w:sz w:val="17"/>
                <w:szCs w:val="17"/>
                <w:color w:val="auto"/>
                <w:w w:val="93"/>
              </w:rPr>
              <w:t>(per tonne)</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color w:val="auto"/>
                <w:w w:val="93"/>
              </w:rPr>
              <w:t>(per tonne)</w:t>
            </w:r>
          </w:p>
        </w:tc>
        <w:tc>
          <w:tcPr>
            <w:tcW w:w="0" w:type="dxa"/>
            <w:vAlign w:val="bottom"/>
          </w:tcPr>
          <w:p>
            <w:pPr>
              <w:spacing w:after="0"/>
              <w:rPr>
                <w:sz w:val="1"/>
                <w:szCs w:val="1"/>
                <w:color w:val="auto"/>
              </w:rPr>
            </w:pPr>
          </w:p>
        </w:tc>
      </w:tr>
      <w:tr>
        <w:trPr>
          <w:trHeight w:val="215"/>
        </w:trPr>
        <w:tc>
          <w:tcPr>
            <w:tcW w:w="36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Fourth Quarter through October 23, 2023</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114.79</w:t>
            </w:r>
          </w:p>
        </w:tc>
        <w:tc>
          <w:tcPr>
            <w:tcW w:w="0" w:type="dxa"/>
            <w:vAlign w:val="bottom"/>
          </w:tcPr>
          <w:p>
            <w:pPr>
              <w:spacing w:after="0"/>
              <w:rPr>
                <w:sz w:val="1"/>
                <w:szCs w:val="1"/>
                <w:color w:val="auto"/>
              </w:rPr>
            </w:pPr>
          </w:p>
        </w:tc>
      </w:tr>
      <w:tr>
        <w:trPr>
          <w:trHeight w:val="222"/>
        </w:trPr>
        <w:tc>
          <w:tcPr>
            <w:tcW w:w="3560" w:type="dxa"/>
            <w:vAlign w:val="bottom"/>
          </w:tcPr>
          <w:p>
            <w:pPr>
              <w:jc w:val="center"/>
              <w:spacing w:after="0"/>
              <w:rPr>
                <w:sz w:val="20"/>
                <w:szCs w:val="20"/>
                <w:color w:val="auto"/>
              </w:rPr>
            </w:pPr>
            <w:r>
              <w:rPr>
                <w:rFonts w:ascii="Arial" w:cs="Arial" w:eastAsia="Arial" w:hAnsi="Arial"/>
                <w:sz w:val="17"/>
                <w:szCs w:val="17"/>
                <w:color w:val="auto"/>
                <w:w w:val="95"/>
              </w:rPr>
              <w:t>9/30/2023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82.50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66.20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260.12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111.04</w:t>
            </w:r>
          </w:p>
        </w:tc>
        <w:tc>
          <w:tcPr>
            <w:tcW w:w="0" w:type="dxa"/>
            <w:vAlign w:val="bottom"/>
          </w:tcPr>
          <w:p>
            <w:pPr>
              <w:spacing w:after="0"/>
              <w:rPr>
                <w:sz w:val="1"/>
                <w:szCs w:val="1"/>
                <w:color w:val="auto"/>
              </w:rPr>
            </w:pPr>
          </w:p>
        </w:tc>
      </w:tr>
      <w:tr>
        <w:trPr>
          <w:trHeight w:val="222"/>
        </w:trPr>
        <w:tc>
          <w:tcPr>
            <w:tcW w:w="3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6/30/2023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106.98</w:t>
            </w:r>
          </w:p>
        </w:tc>
        <w:tc>
          <w:tcPr>
            <w:tcW w:w="0" w:type="dxa"/>
            <w:vAlign w:val="bottom"/>
          </w:tcPr>
          <w:p>
            <w:pPr>
              <w:spacing w:after="0"/>
              <w:rPr>
                <w:sz w:val="1"/>
                <w:szCs w:val="1"/>
                <w:color w:val="auto"/>
              </w:rPr>
            </w:pPr>
          </w:p>
        </w:tc>
      </w:tr>
      <w:tr>
        <w:trPr>
          <w:trHeight w:val="222"/>
        </w:trPr>
        <w:tc>
          <w:tcPr>
            <w:tcW w:w="3560" w:type="dxa"/>
            <w:vAlign w:val="bottom"/>
          </w:tcPr>
          <w:p>
            <w:pPr>
              <w:jc w:val="center"/>
              <w:spacing w:after="0"/>
              <w:rPr>
                <w:sz w:val="20"/>
                <w:szCs w:val="20"/>
                <w:color w:val="auto"/>
              </w:rPr>
            </w:pPr>
            <w:r>
              <w:rPr>
                <w:rFonts w:ascii="Arial" w:cs="Arial" w:eastAsia="Arial" w:hAnsi="Arial"/>
                <w:sz w:val="17"/>
                <w:szCs w:val="17"/>
                <w:color w:val="auto"/>
                <w:w w:val="95"/>
              </w:rPr>
              <w:t>3/31/2023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75.96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56.61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117.08</w:t>
            </w:r>
          </w:p>
        </w:tc>
        <w:tc>
          <w:tcPr>
            <w:tcW w:w="0" w:type="dxa"/>
            <w:vAlign w:val="bottom"/>
          </w:tcPr>
          <w:p>
            <w:pPr>
              <w:spacing w:after="0"/>
              <w:rPr>
                <w:sz w:val="1"/>
                <w:szCs w:val="1"/>
                <w:color w:val="auto"/>
              </w:rPr>
            </w:pPr>
          </w:p>
        </w:tc>
      </w:tr>
      <w:tr>
        <w:trPr>
          <w:trHeight w:val="222"/>
        </w:trPr>
        <w:tc>
          <w:tcPr>
            <w:tcW w:w="3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12/31/2022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94.93</w:t>
            </w:r>
          </w:p>
        </w:tc>
        <w:tc>
          <w:tcPr>
            <w:tcW w:w="0" w:type="dxa"/>
            <w:vAlign w:val="bottom"/>
          </w:tcPr>
          <w:p>
            <w:pPr>
              <w:spacing w:after="0"/>
              <w:rPr>
                <w:sz w:val="1"/>
                <w:szCs w:val="1"/>
                <w:color w:val="auto"/>
              </w:rPr>
            </w:pPr>
          </w:p>
        </w:tc>
      </w:tr>
      <w:tr>
        <w:trPr>
          <w:trHeight w:val="222"/>
        </w:trPr>
        <w:tc>
          <w:tcPr>
            <w:tcW w:w="3560" w:type="dxa"/>
            <w:vAlign w:val="bottom"/>
          </w:tcPr>
          <w:p>
            <w:pPr>
              <w:jc w:val="center"/>
              <w:spacing w:after="0"/>
              <w:rPr>
                <w:sz w:val="20"/>
                <w:szCs w:val="20"/>
                <w:color w:val="auto"/>
              </w:rPr>
            </w:pPr>
            <w:r>
              <w:rPr>
                <w:rFonts w:ascii="Arial" w:cs="Arial" w:eastAsia="Arial" w:hAnsi="Arial"/>
                <w:sz w:val="17"/>
                <w:szCs w:val="17"/>
                <w:color w:val="auto"/>
                <w:w w:val="95"/>
              </w:rPr>
              <w:t>9/30/2022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91.63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70.70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252.63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99.21</w:t>
            </w:r>
          </w:p>
        </w:tc>
        <w:tc>
          <w:tcPr>
            <w:tcW w:w="0" w:type="dxa"/>
            <w:vAlign w:val="bottom"/>
          </w:tcPr>
          <w:p>
            <w:pPr>
              <w:spacing w:after="0"/>
              <w:rPr>
                <w:sz w:val="1"/>
                <w:szCs w:val="1"/>
                <w:color w:val="auto"/>
              </w:rPr>
            </w:pPr>
          </w:p>
        </w:tc>
      </w:tr>
      <w:tr>
        <w:trPr>
          <w:trHeight w:val="222"/>
        </w:trPr>
        <w:tc>
          <w:tcPr>
            <w:tcW w:w="3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6/30/2022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128.80</w:t>
            </w:r>
          </w:p>
        </w:tc>
        <w:tc>
          <w:tcPr>
            <w:tcW w:w="0" w:type="dxa"/>
            <w:vAlign w:val="bottom"/>
          </w:tcPr>
          <w:p>
            <w:pPr>
              <w:spacing w:after="0"/>
              <w:rPr>
                <w:sz w:val="1"/>
                <w:szCs w:val="1"/>
                <w:color w:val="auto"/>
              </w:rPr>
            </w:pPr>
          </w:p>
        </w:tc>
      </w:tr>
      <w:tr>
        <w:trPr>
          <w:trHeight w:val="222"/>
        </w:trPr>
        <w:tc>
          <w:tcPr>
            <w:tcW w:w="3560" w:type="dxa"/>
            <w:vAlign w:val="bottom"/>
          </w:tcPr>
          <w:p>
            <w:pPr>
              <w:jc w:val="center"/>
              <w:spacing w:after="0"/>
              <w:rPr>
                <w:sz w:val="20"/>
                <w:szCs w:val="20"/>
                <w:color w:val="auto"/>
              </w:rPr>
            </w:pPr>
            <w:r>
              <w:rPr>
                <w:rFonts w:ascii="Arial" w:cs="Arial" w:eastAsia="Arial" w:hAnsi="Arial"/>
                <w:sz w:val="17"/>
                <w:szCs w:val="17"/>
                <w:color w:val="auto"/>
                <w:w w:val="95"/>
              </w:rPr>
              <w:t>3/31/2022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95.17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82.04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474.83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129.46</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940" w:right="100" w:hanging="308"/>
        <w:spacing w:after="0" w:line="224" w:lineRule="auto"/>
        <w:tabs>
          <w:tab w:leader="none" w:pos="928" w:val="left"/>
        </w:tabs>
        <w:numPr>
          <w:ilvl w:val="0"/>
          <w:numId w:val="15"/>
        </w:numPr>
        <w:rPr>
          <w:rFonts w:ascii="Arial" w:cs="Arial" w:eastAsia="Arial" w:hAnsi="Arial"/>
          <w:sz w:val="23"/>
          <w:szCs w:val="23"/>
          <w:color w:val="auto"/>
          <w:vertAlign w:val="superscript"/>
        </w:rPr>
      </w:pPr>
      <w:r>
        <w:rPr>
          <w:rFonts w:ascii="Arial" w:cs="Arial" w:eastAsia="Arial" w:hAnsi="Arial"/>
          <w:sz w:val="17"/>
          <w:szCs w:val="17"/>
          <w:color w:val="auto"/>
        </w:rPr>
        <w:t>Source: WTI crude prices are from U.S. Energy Information Administration, WCS crude prices and iron ore prices are from Bloomberg and hard coking coal prices are from IHS Markit.</w:t>
      </w:r>
    </w:p>
    <w:p>
      <w:pPr>
        <w:spacing w:after="0" w:line="218" w:lineRule="exact"/>
        <w:rPr>
          <w:sz w:val="20"/>
          <w:szCs w:val="20"/>
          <w:color w:val="auto"/>
        </w:rPr>
      </w:pPr>
    </w:p>
    <w:p>
      <w:pPr>
        <w:jc w:val="both"/>
        <w:ind w:right="100" w:firstLine="470"/>
        <w:spacing w:after="0" w:line="269" w:lineRule="auto"/>
        <w:rPr>
          <w:sz w:val="20"/>
          <w:szCs w:val="20"/>
          <w:color w:val="auto"/>
        </w:rPr>
      </w:pPr>
      <w:r>
        <w:rPr>
          <w:rFonts w:ascii="Arial" w:cs="Arial" w:eastAsia="Arial" w:hAnsi="Arial"/>
          <w:sz w:val="17"/>
          <w:szCs w:val="17"/>
          <w:b w:val="1"/>
          <w:bCs w:val="1"/>
          <w:color w:val="auto"/>
        </w:rPr>
        <w:t xml:space="preserve">Foreign Currency Exchange Rates. </w:t>
      </w:r>
      <w:r>
        <w:rPr>
          <w:rFonts w:ascii="Arial" w:cs="Arial" w:eastAsia="Arial" w:hAnsi="Arial"/>
          <w:sz w:val="17"/>
          <w:szCs w:val="17"/>
          <w:color w:val="auto"/>
        </w:rPr>
        <w:t>Exchange rates between the U.S. dollar and each of the Canadian dollar and the Australian dollar influence our U.S.</w:t>
      </w:r>
      <w:r>
        <w:rPr>
          <w:rFonts w:ascii="Arial" w:cs="Arial" w:eastAsia="Arial" w:hAnsi="Arial"/>
          <w:sz w:val="17"/>
          <w:szCs w:val="17"/>
          <w:b w:val="1"/>
          <w:bCs w:val="1"/>
          <w:color w:val="auto"/>
        </w:rPr>
        <w:t xml:space="preserve"> </w:t>
      </w:r>
      <w:r>
        <w:rPr>
          <w:rFonts w:ascii="Arial" w:cs="Arial" w:eastAsia="Arial" w:hAnsi="Arial"/>
          <w:sz w:val="17"/>
          <w:szCs w:val="17"/>
          <w:color w:val="auto"/>
        </w:rPr>
        <w:t>dollar reported financial results. Our business has historically derived the vast majority of its revenues and operating income (loss) in Canada and Australia. These revenues and profits/losses are translated into U.S. dollars for U.S. GAAP financial reporting purposes. The following tables summarize the fluctuations in the exchange rates between the U.S. dollar and each of the Canadian dollar and the Australian dollar:</w:t>
      </w:r>
    </w:p>
    <w:p>
      <w:pPr>
        <w:spacing w:after="0" w:line="70"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3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jc w:val="center"/>
              <w:ind w:left="35"/>
              <w:spacing w:after="0"/>
              <w:rPr>
                <w:sz w:val="20"/>
                <w:szCs w:val="20"/>
                <w:color w:val="auto"/>
              </w:rPr>
            </w:pPr>
            <w:r>
              <w:rPr>
                <w:rFonts w:ascii="Arial" w:cs="Arial" w:eastAsia="Arial" w:hAnsi="Arial"/>
                <w:sz w:val="17"/>
                <w:szCs w:val="17"/>
                <w:b w:val="1"/>
                <w:bCs w:val="1"/>
                <w:color w:val="auto"/>
                <w:w w:val="93"/>
              </w:rPr>
              <w:t>Three Months Ended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4"/>
          </w:tcPr>
          <w:p>
            <w:pPr>
              <w:jc w:val="center"/>
              <w:spacing w:after="0"/>
              <w:rPr>
                <w:sz w:val="20"/>
                <w:szCs w:val="20"/>
                <w:color w:val="auto"/>
              </w:rPr>
            </w:pPr>
            <w:r>
              <w:rPr>
                <w:rFonts w:ascii="Arial" w:cs="Arial" w:eastAsia="Arial" w:hAnsi="Arial"/>
                <w:sz w:val="17"/>
                <w:szCs w:val="17"/>
                <w:b w:val="1"/>
                <w:bCs w:val="1"/>
                <w:color w:val="auto"/>
                <w:w w:val="94"/>
              </w:rPr>
              <w:t>Nine Months Ended</w:t>
            </w:r>
          </w:p>
        </w:tc>
        <w:tc>
          <w:tcPr>
            <w:tcW w:w="640" w:type="dxa"/>
            <w:vAlign w:val="bottom"/>
          </w:tcPr>
          <w:p>
            <w:pPr>
              <w:spacing w:after="0"/>
              <w:rPr>
                <w:sz w:val="16"/>
                <w:szCs w:val="16"/>
                <w:color w:val="auto"/>
              </w:rPr>
            </w:pPr>
          </w:p>
        </w:tc>
      </w:tr>
      <w:tr>
        <w:trPr>
          <w:trHeight w:val="231"/>
        </w:trPr>
        <w:tc>
          <w:tcPr>
            <w:tcW w:w="34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7"/>
                <w:szCs w:val="17"/>
                <w:b w:val="1"/>
                <w:bCs w:val="1"/>
                <w:color w:val="auto"/>
                <w:w w:val="91"/>
              </w:rPr>
              <w:t>September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1"/>
              </w:rPr>
              <w:t>September 30,</w:t>
            </w:r>
          </w:p>
        </w:tc>
        <w:tc>
          <w:tcPr>
            <w:tcW w:w="640" w:type="dxa"/>
            <w:vAlign w:val="bottom"/>
            <w:tcBorders>
              <w:bottom w:val="single" w:sz="8" w:color="auto"/>
            </w:tcBorders>
          </w:tcPr>
          <w:p>
            <w:pPr>
              <w:spacing w:after="0"/>
              <w:rPr>
                <w:sz w:val="20"/>
                <w:szCs w:val="20"/>
                <w:color w:val="auto"/>
              </w:rPr>
            </w:pPr>
          </w:p>
        </w:tc>
      </w:tr>
      <w:tr>
        <w:trPr>
          <w:trHeight w:val="203"/>
        </w:trPr>
        <w:tc>
          <w:tcPr>
            <w:tcW w:w="3480" w:type="dxa"/>
            <w:vAlign w:val="bottom"/>
          </w:tcPr>
          <w:p>
            <w:pPr>
              <w:spacing w:after="0"/>
              <w:rPr>
                <w:sz w:val="17"/>
                <w:szCs w:val="17"/>
                <w:color w:val="auto"/>
              </w:rPr>
            </w:pPr>
          </w:p>
        </w:tc>
        <w:tc>
          <w:tcPr>
            <w:tcW w:w="820" w:type="dxa"/>
            <w:vAlign w:val="bottom"/>
          </w:tcPr>
          <w:p>
            <w:pPr>
              <w:jc w:val="right"/>
              <w:ind w:right="176"/>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800" w:type="dxa"/>
            <w:vAlign w:val="bottom"/>
          </w:tcPr>
          <w:p>
            <w:pPr>
              <w:jc w:val="right"/>
              <w:ind w:right="155"/>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120" w:type="dxa"/>
            <w:vAlign w:val="bottom"/>
          </w:tcPr>
          <w:p>
            <w:pPr>
              <w:spacing w:after="0"/>
              <w:rPr>
                <w:sz w:val="17"/>
                <w:szCs w:val="17"/>
                <w:color w:val="auto"/>
              </w:rPr>
            </w:pPr>
          </w:p>
        </w:tc>
        <w:tc>
          <w:tcPr>
            <w:tcW w:w="820" w:type="dxa"/>
            <w:vAlign w:val="bottom"/>
          </w:tcPr>
          <w:p>
            <w:pPr>
              <w:jc w:val="right"/>
              <w:ind w:right="176"/>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820" w:type="dxa"/>
            <w:vAlign w:val="bottom"/>
          </w:tcPr>
          <w:p>
            <w:pPr>
              <w:jc w:val="right"/>
              <w:ind w:right="17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Arial" w:cs="Arial" w:eastAsia="Arial" w:hAnsi="Arial"/>
                <w:sz w:val="16"/>
                <w:szCs w:val="16"/>
                <w:b w:val="1"/>
                <w:bCs w:val="1"/>
                <w:color w:val="auto"/>
              </w:rPr>
              <w:t>Change</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Percent</w:t>
            </w:r>
          </w:p>
        </w:tc>
      </w:tr>
      <w:tr>
        <w:trPr>
          <w:trHeight w:val="218"/>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Average Canadian dollar to U.S. dollar</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$0.746</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$0.766</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(2.6)%</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$0.743</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$0.779</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($0.04)</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22"/>
        </w:trPr>
        <w:tc>
          <w:tcPr>
            <w:tcW w:w="3480" w:type="dxa"/>
            <w:vAlign w:val="bottom"/>
          </w:tcPr>
          <w:p>
            <w:pPr>
              <w:ind w:left="20"/>
              <w:spacing w:after="0"/>
              <w:rPr>
                <w:sz w:val="20"/>
                <w:szCs w:val="20"/>
                <w:color w:val="auto"/>
              </w:rPr>
            </w:pPr>
            <w:r>
              <w:rPr>
                <w:rFonts w:ascii="Arial" w:cs="Arial" w:eastAsia="Arial" w:hAnsi="Arial"/>
                <w:sz w:val="17"/>
                <w:szCs w:val="17"/>
                <w:color w:val="auto"/>
              </w:rPr>
              <w:t>Average Australian dollar to U.S. dollar</w:t>
            </w:r>
          </w:p>
        </w:tc>
        <w:tc>
          <w:tcPr>
            <w:tcW w:w="820" w:type="dxa"/>
            <w:vAlign w:val="bottom"/>
          </w:tcPr>
          <w:p>
            <w:pPr>
              <w:jc w:val="right"/>
              <w:spacing w:after="0"/>
              <w:rPr>
                <w:sz w:val="20"/>
                <w:szCs w:val="20"/>
                <w:color w:val="auto"/>
              </w:rPr>
            </w:pPr>
            <w:r>
              <w:rPr>
                <w:rFonts w:ascii="Arial" w:cs="Arial" w:eastAsia="Arial" w:hAnsi="Arial"/>
                <w:sz w:val="17"/>
                <w:szCs w:val="17"/>
                <w:color w:val="auto"/>
              </w:rPr>
              <w:t>$0.655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$0.683</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5"/>
              </w:rPr>
              <w:t>(4.1)%</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$0.669</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$0.707</w:t>
            </w:r>
          </w:p>
        </w:tc>
        <w:tc>
          <w:tcPr>
            <w:tcW w:w="100" w:type="dxa"/>
            <w:vAlign w:val="bottom"/>
          </w:tcPr>
          <w:p>
            <w:pPr>
              <w:spacing w:after="0"/>
              <w:rPr>
                <w:sz w:val="19"/>
                <w:szCs w:val="19"/>
                <w:color w:val="auto"/>
              </w:rPr>
            </w:pPr>
          </w:p>
        </w:tc>
        <w:tc>
          <w:tcPr>
            <w:tcW w:w="840" w:type="dxa"/>
            <w:vAlign w:val="bottom"/>
          </w:tcPr>
          <w:p>
            <w:pPr>
              <w:ind w:left="160"/>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(5.4)</w:t>
            </w:r>
          </w:p>
        </w:tc>
      </w:tr>
    </w:tbl>
    <w:p>
      <w:pPr>
        <w:spacing w:after="0" w:line="113" w:lineRule="exact"/>
        <w:rPr>
          <w:sz w:val="20"/>
          <w:szCs w:val="20"/>
          <w:color w:val="auto"/>
        </w:rPr>
      </w:pPr>
    </w:p>
    <w:p>
      <w:pPr>
        <w:ind w:left="7220"/>
        <w:spacing w:after="0"/>
        <w:rPr>
          <w:sz w:val="20"/>
          <w:szCs w:val="20"/>
          <w:color w:val="auto"/>
        </w:rPr>
      </w:pPr>
      <w:r>
        <w:rPr>
          <w:rFonts w:ascii="Arial" w:cs="Arial" w:eastAsia="Arial" w:hAnsi="Arial"/>
          <w:sz w:val="17"/>
          <w:szCs w:val="17"/>
          <w:b w:val="1"/>
          <w:bCs w:val="1"/>
          <w:color w:val="auto"/>
        </w:rPr>
        <w:t>As of</w:t>
      </w:r>
    </w:p>
    <w:p>
      <w:pPr>
        <w:spacing w:after="0" w:line="32" w:lineRule="exact"/>
        <w:rPr>
          <w:sz w:val="20"/>
          <w:szCs w:val="20"/>
          <w:color w:val="auto"/>
        </w:rPr>
      </w:pPr>
    </w:p>
    <w:tbl>
      <w:tblPr>
        <w:tblLayout w:type="fixed"/>
        <w:tblInd w:w="1380" w:type="dxa"/>
        <w:tblCellMar>
          <w:top w:w="0" w:type="dxa"/>
          <w:left w:w="0" w:type="dxa"/>
          <w:bottom w:w="0" w:type="dxa"/>
          <w:right w:w="0" w:type="dxa"/>
        </w:tblCellMar>
      </w:tblPr>
      <w:tr>
        <w:trPr>
          <w:trHeight w:val="202"/>
        </w:trPr>
        <w:tc>
          <w:tcPr>
            <w:tcW w:w="3140" w:type="dxa"/>
            <w:vAlign w:val="bottom"/>
          </w:tcPr>
          <w:p>
            <w:pPr>
              <w:spacing w:after="0"/>
              <w:rPr>
                <w:sz w:val="17"/>
                <w:szCs w:val="17"/>
                <w:color w:val="auto"/>
              </w:rPr>
            </w:pPr>
          </w:p>
        </w:tc>
        <w:tc>
          <w:tcPr>
            <w:tcW w:w="182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September 30, 2023</w:t>
            </w:r>
          </w:p>
        </w:tc>
        <w:tc>
          <w:tcPr>
            <w:tcW w:w="15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2022</w:t>
            </w:r>
          </w:p>
        </w:tc>
        <w:tc>
          <w:tcPr>
            <w:tcW w:w="1320" w:type="dxa"/>
            <w:vAlign w:val="bottom"/>
            <w:tcBorders>
              <w:top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Change</w:t>
            </w:r>
          </w:p>
        </w:tc>
        <w:tc>
          <w:tcPr>
            <w:tcW w:w="1180" w:type="dxa"/>
            <w:vAlign w:val="bottom"/>
            <w:tcBorders>
              <w:top w:val="single" w:sz="8" w:color="auto"/>
            </w:tcBorders>
          </w:tcPr>
          <w:p>
            <w:pPr>
              <w:jc w:val="right"/>
              <w:ind w:right="136"/>
              <w:spacing w:after="0"/>
              <w:rPr>
                <w:sz w:val="20"/>
                <w:szCs w:val="20"/>
                <w:color w:val="auto"/>
              </w:rPr>
            </w:pPr>
            <w:r>
              <w:rPr>
                <w:rFonts w:ascii="Arial" w:cs="Arial" w:eastAsia="Arial" w:hAnsi="Arial"/>
                <w:sz w:val="16"/>
                <w:szCs w:val="16"/>
                <w:b w:val="1"/>
                <w:bCs w:val="1"/>
                <w:color w:val="auto"/>
              </w:rPr>
              <w:t>Percentage</w:t>
            </w:r>
          </w:p>
        </w:tc>
      </w:tr>
      <w:tr>
        <w:trPr>
          <w:trHeight w:val="215"/>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Canadian dollar to U.S. dollar</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$0.740</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$0.738</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7"/>
                <w:szCs w:val="17"/>
                <w:color w:val="auto"/>
              </w:rPr>
              <w:t>0.2%</w:t>
            </w:r>
          </w:p>
        </w:tc>
      </w:tr>
      <w:tr>
        <w:trPr>
          <w:trHeight w:val="222"/>
        </w:trPr>
        <w:tc>
          <w:tcPr>
            <w:tcW w:w="3140" w:type="dxa"/>
            <w:vAlign w:val="bottom"/>
          </w:tcPr>
          <w:p>
            <w:pPr>
              <w:ind w:left="20"/>
              <w:spacing w:after="0"/>
              <w:rPr>
                <w:sz w:val="20"/>
                <w:szCs w:val="20"/>
                <w:color w:val="auto"/>
              </w:rPr>
            </w:pPr>
            <w:r>
              <w:rPr>
                <w:rFonts w:ascii="Arial" w:cs="Arial" w:eastAsia="Arial" w:hAnsi="Arial"/>
                <w:sz w:val="17"/>
                <w:szCs w:val="17"/>
                <w:color w:val="auto"/>
              </w:rPr>
              <w:t>Australian dollar to U.S. dollar</w:t>
            </w:r>
          </w:p>
        </w:tc>
        <w:tc>
          <w:tcPr>
            <w:tcW w:w="1660" w:type="dxa"/>
            <w:vAlign w:val="bottom"/>
          </w:tcPr>
          <w:p>
            <w:pPr>
              <w:jc w:val="right"/>
              <w:spacing w:after="0"/>
              <w:rPr>
                <w:sz w:val="20"/>
                <w:szCs w:val="20"/>
                <w:color w:val="auto"/>
              </w:rPr>
            </w:pPr>
            <w:r>
              <w:rPr>
                <w:rFonts w:ascii="Arial" w:cs="Arial" w:eastAsia="Arial" w:hAnsi="Arial"/>
                <w:sz w:val="17"/>
                <w:szCs w:val="17"/>
                <w:color w:val="auto"/>
              </w:rPr>
              <w:t>$0.645</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$0.679</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($0.03)</w:t>
            </w:r>
          </w:p>
        </w:tc>
        <w:tc>
          <w:tcPr>
            <w:tcW w:w="160" w:type="dxa"/>
            <w:vAlign w:val="bottom"/>
          </w:tcPr>
          <w:p>
            <w:pPr>
              <w:spacing w:after="0"/>
              <w:rPr>
                <w:sz w:val="19"/>
                <w:szCs w:val="19"/>
                <w:color w:val="auto"/>
              </w:rPr>
            </w:pPr>
          </w:p>
        </w:tc>
        <w:tc>
          <w:tcPr>
            <w:tcW w:w="1180" w:type="dxa"/>
            <w:vAlign w:val="bottom"/>
          </w:tcPr>
          <w:p>
            <w:pPr>
              <w:jc w:val="right"/>
              <w:ind w:right="276"/>
              <w:spacing w:after="0"/>
              <w:rPr>
                <w:sz w:val="20"/>
                <w:szCs w:val="20"/>
                <w:color w:val="auto"/>
              </w:rPr>
            </w:pPr>
            <w:r>
              <w:rPr>
                <w:rFonts w:ascii="Arial" w:cs="Arial" w:eastAsia="Arial" w:hAnsi="Arial"/>
                <w:sz w:val="17"/>
                <w:szCs w:val="17"/>
                <w:color w:val="auto"/>
              </w:rPr>
              <w:t>(5.0)%</w:t>
            </w:r>
          </w:p>
        </w:tc>
      </w:tr>
    </w:tbl>
    <w:p>
      <w:pPr>
        <w:spacing w:after="0" w:line="197"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65" w:lineRule="exact"/>
        <w:rPr>
          <w:sz w:val="20"/>
          <w:szCs w:val="20"/>
          <w:color w:val="auto"/>
        </w:rPr>
      </w:pPr>
    </w:p>
    <w:p>
      <w:pPr>
        <w:jc w:val="both"/>
        <w:ind w:right="100" w:firstLine="470"/>
        <w:spacing w:after="0" w:line="246" w:lineRule="auto"/>
        <w:rPr>
          <w:sz w:val="20"/>
          <w:szCs w:val="20"/>
          <w:color w:val="auto"/>
        </w:rPr>
      </w:pPr>
      <w:r>
        <w:rPr>
          <w:rFonts w:ascii="Arial" w:cs="Arial" w:eastAsia="Arial" w:hAnsi="Arial"/>
          <w:sz w:val="17"/>
          <w:szCs w:val="17"/>
          <w:b w:val="1"/>
          <w:bCs w:val="1"/>
          <w:color w:val="auto"/>
        </w:rPr>
        <w:t xml:space="preserve">Capital Expenditures. </w:t>
      </w:r>
      <w:r>
        <w:rPr>
          <w:rFonts w:ascii="Arial" w:cs="Arial" w:eastAsia="Arial" w:hAnsi="Arial"/>
          <w:sz w:val="17"/>
          <w:szCs w:val="17"/>
          <w:color w:val="auto"/>
        </w:rPr>
        <w:t>We continue to monitor the global economy, commodity prices, demand for crude oil, met coal, LNG and iron ore, inflation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resultant impact on the capital spending plans of our customers in order to plan our business activities. We currently expect that our 2023 capital expenditures will be in the range of approximately $35 million to $40 million, compared to 2022 capital expenditures of $25.4 million. The 2023 capital expenditures include $10 million related to village enhancements in Australia, for which our customer will reimburse us, resulting in a net negligible cash flow impact in 2023. We may adjust our capital expenditure plans in the future as we continue to monitor customer activity.</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“Liquidity and Capital Resources</w:t>
      </w:r>
      <w:r>
        <w:rPr>
          <w:rFonts w:ascii="Arial" w:cs="Arial" w:eastAsia="Arial" w:hAnsi="Arial"/>
          <w:sz w:val="17"/>
          <w:szCs w:val="17"/>
          <w:i w:val="1"/>
          <w:iCs w:val="1"/>
          <w:color w:val="auto"/>
        </w:rPr>
        <w:t>”</w:t>
      </w:r>
      <w:r>
        <w:rPr>
          <w:rFonts w:ascii="Arial" w:cs="Arial" w:eastAsia="Arial" w:hAnsi="Arial"/>
          <w:sz w:val="17"/>
          <w:szCs w:val="17"/>
          <w:color w:val="auto"/>
        </w:rPr>
        <w:t xml:space="preserve"> below for further discussion of our 2023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2" w:name="page23"/>
    <w:bookmarkEnd w:id="22"/>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6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i w:val="1"/>
          <w:iCs w:val="1"/>
          <w:color w:val="auto"/>
        </w:rPr>
        <w:t>Unless otherwise indicated, discussion of results for the three and nine months ended September 30, 2023, is based on a comparison to the corresponding period of 2022.</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 Three Months Ended September 30, 2023 Compared to Three Months Ended September 30, 2022</w:t>
      </w:r>
    </w:p>
    <w:p>
      <w:pPr>
        <w:spacing w:after="0" w:line="31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Three Months Ended</w:t>
            </w: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7"/>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7"/>
              </w:rPr>
              <w:t>September 30,</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7"/>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0"/>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b w:val="1"/>
                <w:bCs w:val="1"/>
                <w:color w:val="auto"/>
              </w:rPr>
              <w:t>Change</w:t>
            </w:r>
          </w:p>
        </w:tc>
      </w:tr>
      <w:tr>
        <w:trPr>
          <w:trHeight w:val="212"/>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7"/>
        </w:trPr>
        <w:tc>
          <w:tcPr>
            <w:tcW w:w="5020" w:type="dxa"/>
            <w:vAlign w:val="bottom"/>
          </w:tcPr>
          <w:p>
            <w:pPr>
              <w:ind w:left="120"/>
              <w:spacing w:after="0"/>
              <w:rPr>
                <w:sz w:val="20"/>
                <w:szCs w:val="20"/>
                <w:color w:val="auto"/>
              </w:rPr>
            </w:pPr>
            <w:r>
              <w:rPr>
                <w:rFonts w:ascii="Arial" w:cs="Arial" w:eastAsia="Arial" w:hAnsi="Arial"/>
                <w:sz w:val="14"/>
                <w:szCs w:val="14"/>
                <w:color w:val="auto"/>
              </w:rPr>
              <w:t>Canada</w:t>
            </w:r>
          </w:p>
        </w:tc>
        <w:tc>
          <w:tcPr>
            <w:tcW w:w="420" w:type="dxa"/>
            <w:vAlign w:val="bottom"/>
          </w:tcPr>
          <w:p>
            <w:pPr>
              <w:jc w:val="right"/>
              <w:ind w:right="27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95,144</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103,009</w:t>
            </w:r>
          </w:p>
        </w:tc>
        <w:tc>
          <w:tcPr>
            <w:tcW w:w="12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(7,865)</w:t>
            </w:r>
          </w:p>
        </w:tc>
      </w:tr>
      <w:tr>
        <w:trPr>
          <w:trHeight w:val="205"/>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87,885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73,805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14,080</w:t>
            </w:r>
          </w:p>
        </w:tc>
      </w:tr>
      <w:tr>
        <w:trPr>
          <w:trHeight w:val="189"/>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(6,870)</w:t>
            </w:r>
          </w:p>
        </w:tc>
      </w:tr>
      <w:tr>
        <w:trPr>
          <w:trHeight w:val="196"/>
        </w:trPr>
        <w:tc>
          <w:tcPr>
            <w:tcW w:w="5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183,572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184,227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w:t>
            </w:r>
          </w:p>
        </w:tc>
      </w:tr>
      <w:tr>
        <w:trPr>
          <w:trHeight w:val="187"/>
        </w:trPr>
        <w:tc>
          <w:tcPr>
            <w:tcW w:w="5020" w:type="dxa"/>
            <w:vAlign w:val="bottom"/>
          </w:tcPr>
          <w:p>
            <w:pPr>
              <w:spacing w:after="0"/>
              <w:rPr>
                <w:sz w:val="20"/>
                <w:szCs w:val="20"/>
                <w:color w:val="auto"/>
              </w:rPr>
            </w:pPr>
            <w:r>
              <w:rPr>
                <w:rFonts w:ascii="Arial" w:cs="Arial" w:eastAsia="Arial" w:hAnsi="Arial"/>
                <w:sz w:val="14"/>
                <w:szCs w:val="14"/>
                <w:color w:val="auto"/>
              </w:rPr>
              <w:t>Costs and expenses: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5"/>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7"/>
        </w:trPr>
        <w:tc>
          <w:tcPr>
            <w:tcW w:w="5020" w:type="dxa"/>
            <w:vAlign w:val="bottom"/>
          </w:tcPr>
          <w:p>
            <w:pPr>
              <w:ind w:left="320"/>
              <w:spacing w:after="0"/>
              <w:rPr>
                <w:sz w:val="20"/>
                <w:szCs w:val="20"/>
                <w:color w:val="auto"/>
              </w:rPr>
            </w:pPr>
            <w:r>
              <w:rPr>
                <w:rFonts w:ascii="Arial" w:cs="Arial" w:eastAsia="Arial" w:hAnsi="Arial"/>
                <w:sz w:val="14"/>
                <w:szCs w:val="14"/>
                <w:color w:val="auto"/>
              </w:rPr>
              <w:t>Canada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65,972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72,878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(6,906)</w:t>
            </w:r>
          </w:p>
        </w:tc>
      </w:tr>
      <w:tr>
        <w:trPr>
          <w:trHeight w:val="205"/>
        </w:trPr>
        <w:tc>
          <w:tcPr>
            <w:tcW w:w="5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63,595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53,333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10,262</w:t>
            </w:r>
          </w:p>
        </w:tc>
      </w:tr>
      <w:tr>
        <w:trPr>
          <w:trHeight w:val="189"/>
        </w:trPr>
        <w:tc>
          <w:tcPr>
            <w:tcW w:w="50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(6,556)</w:t>
            </w:r>
          </w:p>
        </w:tc>
      </w:tr>
      <w:tr>
        <w:trPr>
          <w:trHeight w:val="196"/>
        </w:trPr>
        <w:tc>
          <w:tcPr>
            <w:tcW w:w="5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130,296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133,496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w:t>
            </w:r>
          </w:p>
        </w:tc>
      </w:tr>
      <w:tr>
        <w:trPr>
          <w:trHeight w:val="187"/>
        </w:trPr>
        <w:tc>
          <w:tcPr>
            <w:tcW w:w="502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20,236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17,677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2,559</w:t>
            </w:r>
          </w:p>
        </w:tc>
      </w:tr>
      <w:tr>
        <w:trPr>
          <w:trHeight w:val="205"/>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 expense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22,608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(5,694)</w:t>
            </w:r>
          </w:p>
        </w:tc>
      </w:tr>
      <w:tr>
        <w:trPr>
          <w:trHeight w:val="189"/>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operating expense (income)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w:t>
            </w:r>
          </w:p>
        </w:tc>
      </w:tr>
      <w:tr>
        <w:trPr>
          <w:trHeight w:val="196"/>
        </w:trPr>
        <w:tc>
          <w:tcPr>
            <w:tcW w:w="5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costs and expenses</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167,533</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173,442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(5,909)</w:t>
            </w:r>
          </w:p>
        </w:tc>
      </w:tr>
      <w:tr>
        <w:trPr>
          <w:trHeight w:val="180"/>
        </w:trPr>
        <w:tc>
          <w:tcPr>
            <w:tcW w:w="5020" w:type="dxa"/>
            <w:vAlign w:val="bottom"/>
          </w:tcPr>
          <w:p>
            <w:pPr>
              <w:spacing w:after="0"/>
              <w:rPr>
                <w:sz w:val="20"/>
                <w:szCs w:val="20"/>
                <w:color w:val="auto"/>
              </w:rPr>
            </w:pPr>
            <w:r>
              <w:rPr>
                <w:rFonts w:ascii="Arial" w:cs="Arial" w:eastAsia="Arial" w:hAnsi="Arial"/>
                <w:sz w:val="14"/>
                <w:szCs w:val="14"/>
                <w:color w:val="auto"/>
              </w:rPr>
              <w:t>Operating income</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16,039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10,785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5,254</w:t>
            </w:r>
          </w:p>
        </w:tc>
      </w:tr>
      <w:tr>
        <w:trPr>
          <w:trHeight w:val="218"/>
        </w:trPr>
        <w:tc>
          <w:tcPr>
            <w:tcW w:w="5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87"/>
        </w:trPr>
        <w:tc>
          <w:tcPr>
            <w:tcW w:w="5020" w:type="dxa"/>
            <w:vAlign w:val="bottom"/>
          </w:tcPr>
          <w:p>
            <w:pPr>
              <w:spacing w:after="0"/>
              <w:rPr>
                <w:sz w:val="20"/>
                <w:szCs w:val="20"/>
                <w:color w:val="auto"/>
              </w:rPr>
            </w:pPr>
            <w:r>
              <w:rPr>
                <w:rFonts w:ascii="Arial" w:cs="Arial" w:eastAsia="Arial" w:hAnsi="Arial"/>
                <w:sz w:val="14"/>
                <w:szCs w:val="14"/>
                <w:color w:val="auto"/>
              </w:rPr>
              <w:t>Interest expense, net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(3,321)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(2,988)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(333)</w:t>
            </w:r>
          </w:p>
        </w:tc>
      </w:tr>
      <w:tr>
        <w:trPr>
          <w:trHeight w:val="205"/>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Other income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(4,709)</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2,179</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(6,888)</w:t>
            </w:r>
          </w:p>
        </w:tc>
      </w:tr>
      <w:tr>
        <w:trPr>
          <w:trHeight w:val="180"/>
        </w:trPr>
        <w:tc>
          <w:tcPr>
            <w:tcW w:w="5020" w:type="dxa"/>
            <w:vAlign w:val="bottom"/>
          </w:tcPr>
          <w:p>
            <w:pPr>
              <w:ind w:left="320"/>
              <w:spacing w:after="0"/>
              <w:rPr>
                <w:sz w:val="20"/>
                <w:szCs w:val="20"/>
                <w:color w:val="auto"/>
              </w:rPr>
            </w:pPr>
            <w:r>
              <w:rPr>
                <w:rFonts w:ascii="Arial" w:cs="Arial" w:eastAsia="Arial" w:hAnsi="Arial"/>
                <w:sz w:val="14"/>
                <w:szCs w:val="14"/>
                <w:color w:val="auto"/>
              </w:rPr>
              <w:t>Income before income taxes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8,009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9,976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(1,967)</w:t>
            </w:r>
          </w:p>
        </w:tc>
      </w:tr>
      <w:tr>
        <w:trPr>
          <w:trHeight w:val="205"/>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Income tax benefit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(3,713)</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4,927</w:t>
            </w:r>
          </w:p>
        </w:tc>
      </w:tr>
      <w:tr>
        <w:trPr>
          <w:trHeight w:val="180"/>
        </w:trPr>
        <w:tc>
          <w:tcPr>
            <w:tcW w:w="5020" w:type="dxa"/>
            <w:vAlign w:val="bottom"/>
          </w:tcPr>
          <w:p>
            <w:pPr>
              <w:ind w:left="320"/>
              <w:spacing w:after="0"/>
              <w:rPr>
                <w:sz w:val="20"/>
                <w:szCs w:val="20"/>
                <w:color w:val="auto"/>
              </w:rPr>
            </w:pPr>
            <w:r>
              <w:rPr>
                <w:rFonts w:ascii="Arial" w:cs="Arial" w:eastAsia="Arial" w:hAnsi="Arial"/>
                <w:sz w:val="14"/>
                <w:szCs w:val="14"/>
                <w:color w:val="auto"/>
              </w:rPr>
              <w:t>Net income</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9,223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6,263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2,960</w:t>
            </w:r>
          </w:p>
        </w:tc>
      </w:tr>
      <w:tr>
        <w:trPr>
          <w:trHeight w:val="205"/>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r>
      <w:tr>
        <w:trPr>
          <w:trHeight w:val="180"/>
        </w:trPr>
        <w:tc>
          <w:tcPr>
            <w:tcW w:w="5020" w:type="dxa"/>
            <w:vAlign w:val="bottom"/>
          </w:tcPr>
          <w:p>
            <w:pPr>
              <w:spacing w:after="0"/>
              <w:rPr>
                <w:sz w:val="20"/>
                <w:szCs w:val="20"/>
                <w:color w:val="auto"/>
              </w:rPr>
            </w:pPr>
            <w:r>
              <w:rPr>
                <w:rFonts w:ascii="Arial" w:cs="Arial" w:eastAsia="Arial" w:hAnsi="Arial"/>
                <w:sz w:val="14"/>
                <w:szCs w:val="14"/>
                <w:color w:val="auto"/>
              </w:rPr>
              <w:t>Net income attributable to Civeo Corporation</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9,022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5,717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3,305</w:t>
            </w:r>
          </w:p>
        </w:tc>
      </w:tr>
      <w:tr>
        <w:trPr>
          <w:trHeight w:val="198"/>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Less: Dividends attributable to preferred shares</w:t>
            </w:r>
          </w:p>
        </w:tc>
        <w:tc>
          <w:tcPr>
            <w:tcW w:w="4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r>
      <w:tr>
        <w:trPr>
          <w:trHeight w:val="196"/>
        </w:trPr>
        <w:tc>
          <w:tcPr>
            <w:tcW w:w="5020" w:type="dxa"/>
            <w:vAlign w:val="bottom"/>
          </w:tcPr>
          <w:p>
            <w:pPr>
              <w:spacing w:after="0"/>
              <w:rPr>
                <w:sz w:val="20"/>
                <w:szCs w:val="20"/>
                <w:color w:val="auto"/>
              </w:rPr>
            </w:pPr>
            <w:r>
              <w:rPr>
                <w:rFonts w:ascii="Arial" w:cs="Arial" w:eastAsia="Arial" w:hAnsi="Arial"/>
                <w:sz w:val="14"/>
                <w:szCs w:val="14"/>
                <w:color w:val="auto"/>
              </w:rPr>
              <w:t>Net income attributable to Civeo common shareholders</w:t>
            </w:r>
          </w:p>
        </w:tc>
        <w:tc>
          <w:tcPr>
            <w:tcW w:w="4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9,022</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5,225</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3,797</w:t>
            </w:r>
          </w:p>
        </w:tc>
      </w:tr>
      <w:tr>
        <w:trPr>
          <w:trHeight w:val="20"/>
        </w:trPr>
        <w:tc>
          <w:tcPr>
            <w:tcW w:w="5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reported net income attributable to Civeo for the quarter ended September 30, 2023 of $9.0 million, or $0.61 per diluted share compared to net income attributable to Civeo for the quarter ended September 30, 2022 of $5.2 million, or $0.32 per diluted share.</w:t>
      </w:r>
    </w:p>
    <w:p>
      <w:pPr>
        <w:spacing w:after="0" w:line="4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Consolidated revenues decreased $0.7 million, or 0%, in the third quarter of 2023 compared to the third quarter of 2022. This decrease was</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due to (i) decreased mobile asset activity from pipeline projects in Canada, (ii) reduced activity in the U.S. operations due to the sale of our wellsite and offshore businesses in the second half of 2022 and (iii) a weaker Australian and Canadian dollar relative to the U.S. dollar in the third quarter of 2023 compared to the third quarter of 2022. These items were partially offset by (i) increased occupancy at our Civeo owned villages in the Australian Bowen and Gunnedah Basins and (ii) increased activity at our integrated services villages in Western Australia. See the discussion of segment results of operations below for further information.</w:t>
      </w:r>
    </w:p>
    <w:p>
      <w:pPr>
        <w:spacing w:after="0" w:line="187"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6"/>
          <w:szCs w:val="16"/>
          <w:b w:val="1"/>
          <w:bCs w:val="1"/>
          <w:color w:val="auto"/>
        </w:rPr>
        <w:t xml:space="preserve">Cost of Sales and Services. </w:t>
      </w:r>
      <w:r>
        <w:rPr>
          <w:rFonts w:ascii="Arial" w:cs="Arial" w:eastAsia="Arial" w:hAnsi="Arial"/>
          <w:sz w:val="16"/>
          <w:szCs w:val="16"/>
          <w:color w:val="auto"/>
        </w:rPr>
        <w:t>Our consolidated cost of sales and services decreased $3.2 million, or 2%, in the third quarter of 2023 compared to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2022. This decrease was primarily due to (i) lower costs related to reduced mobile asset activity in Canada, (ii) lower staff costs at certain lodges in Canada, (iii) reduced activity at our south lodges in Canada, (iv) reduced activity in the U.S. operations due to the sale of our wellsite and offshore businesses in the second half of 2022 and (v) a weaker Australian and Canadian dollar relative to the U.S. dollar in the third quarter of 2023 compared to the third quarter of 2022. These items were partially offset by (i) increased occupancy at our Civeo owned villages in the Australian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Bowen and Gunnedah Basins and (ii) increased activity at our integrated services villages in Western Australia. See the discussion of segment results of operations below for further information.</w:t>
      </w:r>
    </w:p>
    <w:p>
      <w:pPr>
        <w:spacing w:after="0" w:line="100"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SG&amp;A expense increased $2.6 million, or 14%, in the third quarter of 2023 compared to the third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2022. This increase was primarily due to higher incentive compensation costs and higher compensation expense. The increase in compensation expense was primarily due to increased staff and associated recruitment costs. These items were partially offset by a weaker Australian and Canadian dollar relative to the U.S. dollar in the third quarter of 2023 compared to the third quarter of 2022.</w:t>
      </w:r>
    </w:p>
    <w:p>
      <w:pPr>
        <w:spacing w:after="0" w:line="91"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7"/>
          <w:szCs w:val="17"/>
          <w:b w:val="1"/>
          <w:bCs w:val="1"/>
          <w:color w:val="auto"/>
        </w:rPr>
        <w:t xml:space="preserve">Depreciation and Amortization Expense. </w:t>
      </w:r>
      <w:r>
        <w:rPr>
          <w:rFonts w:ascii="Arial" w:cs="Arial" w:eastAsia="Arial" w:hAnsi="Arial"/>
          <w:sz w:val="17"/>
          <w:szCs w:val="17"/>
          <w:color w:val="auto"/>
        </w:rPr>
        <w:t>Depreciation and amortization expense decreased $5.7 million, or 25%, in the third quarter of 2023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third quarter of 2022. The decrease was primarily due to (i) the sale of our wellsite and offshore businesses in the U.S. in the second half of 2022, (ii) certain assets becoming fully depreciated in Canada in the second quarter of 2023 and (iii) lower depreciation and amortization expense due to a weaker Australian and Canadian dollar relative to the U.S. dollar in the third quarter of 2023 compared to the third quarter of 2022.</w:t>
      </w:r>
    </w:p>
    <w:p>
      <w:pPr>
        <w:spacing w:after="0" w:line="104" w:lineRule="exact"/>
        <w:rPr>
          <w:sz w:val="20"/>
          <w:szCs w:val="20"/>
          <w:color w:val="auto"/>
        </w:rPr>
      </w:pPr>
    </w:p>
    <w:p>
      <w:pPr>
        <w:jc w:val="both"/>
        <w:ind w:firstLine="470"/>
        <w:spacing w:after="0" w:line="300" w:lineRule="auto"/>
        <w:rPr>
          <w:sz w:val="20"/>
          <w:szCs w:val="20"/>
          <w:color w:val="auto"/>
        </w:rPr>
      </w:pPr>
      <w:r>
        <w:rPr>
          <w:rFonts w:ascii="Arial" w:cs="Arial" w:eastAsia="Arial" w:hAnsi="Arial"/>
          <w:sz w:val="16"/>
          <w:szCs w:val="16"/>
          <w:b w:val="1"/>
          <w:bCs w:val="1"/>
          <w:color w:val="auto"/>
        </w:rPr>
        <w:t xml:space="preserve">Operating Income. </w:t>
      </w:r>
      <w:r>
        <w:rPr>
          <w:rFonts w:ascii="Arial" w:cs="Arial" w:eastAsia="Arial" w:hAnsi="Arial"/>
          <w:sz w:val="16"/>
          <w:szCs w:val="16"/>
          <w:color w:val="auto"/>
        </w:rPr>
        <w:t>Consolidated operating income increased $5.3 million, or 49%, in the third quarter of 2023 compared to the third quarter of 2022,</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due to increased activity in Australia and lower depreciation and amortization expense. These items were partially offset by reduced mobile asset activity in Canada and increased operating costs due to inflationary pressures in the third quarter of 2023 compared to the third quarter of 2022.</w:t>
      </w:r>
    </w:p>
    <w:p>
      <w:pPr>
        <w:spacing w:after="0" w:line="81" w:lineRule="exact"/>
        <w:rPr>
          <w:sz w:val="20"/>
          <w:szCs w:val="20"/>
          <w:color w:val="auto"/>
        </w:rPr>
      </w:pPr>
    </w:p>
    <w:p>
      <w:pPr>
        <w:jc w:val="both"/>
        <w:ind w:firstLine="470"/>
        <w:spacing w:after="0" w:line="329" w:lineRule="auto"/>
        <w:rPr>
          <w:sz w:val="20"/>
          <w:szCs w:val="20"/>
          <w:color w:val="auto"/>
        </w:rPr>
      </w:pPr>
      <w:r>
        <w:rPr>
          <w:rFonts w:ascii="Arial" w:cs="Arial" w:eastAsia="Arial" w:hAnsi="Arial"/>
          <w:sz w:val="16"/>
          <w:szCs w:val="16"/>
          <w:b w:val="1"/>
          <w:bCs w:val="1"/>
          <w:color w:val="auto"/>
        </w:rPr>
        <w:t xml:space="preserve">Interest Expense, net. </w:t>
      </w:r>
      <w:r>
        <w:rPr>
          <w:rFonts w:ascii="Arial" w:cs="Arial" w:eastAsia="Arial" w:hAnsi="Arial"/>
          <w:sz w:val="16"/>
          <w:szCs w:val="16"/>
          <w:color w:val="auto"/>
        </w:rPr>
        <w:t>Net interest expense increased by $0.3 million, or 11%, in the third quarter of 2023 compared to the third quarter of 2022,</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related to higher interest rates on credit facility borrowings during 2023 compared to 2022, partially offset by lower average debt levels.</w:t>
      </w:r>
    </w:p>
    <w:p>
      <w:pPr>
        <w:spacing w:after="0" w:line="44" w:lineRule="exact"/>
        <w:rPr>
          <w:sz w:val="20"/>
          <w:szCs w:val="20"/>
          <w:color w:val="auto"/>
        </w:rPr>
      </w:pPr>
    </w:p>
    <w:p>
      <w:pPr>
        <w:jc w:val="both"/>
        <w:ind w:firstLine="470"/>
        <w:spacing w:after="0" w:line="286" w:lineRule="auto"/>
        <w:rPr>
          <w:sz w:val="20"/>
          <w:szCs w:val="20"/>
          <w:color w:val="auto"/>
        </w:rPr>
      </w:pPr>
      <w:r>
        <w:rPr>
          <w:rFonts w:ascii="Arial" w:cs="Arial" w:eastAsia="Arial" w:hAnsi="Arial"/>
          <w:sz w:val="16"/>
          <w:szCs w:val="16"/>
          <w:b w:val="1"/>
          <w:bCs w:val="1"/>
          <w:color w:val="auto"/>
        </w:rPr>
        <w:t xml:space="preserve">Other Income. </w:t>
      </w:r>
      <w:r>
        <w:rPr>
          <w:rFonts w:ascii="Arial" w:cs="Arial" w:eastAsia="Arial" w:hAnsi="Arial"/>
          <w:sz w:val="16"/>
          <w:szCs w:val="16"/>
          <w:color w:val="auto"/>
        </w:rPr>
        <w:t>Consolidated other income decreased $6.9 million in the third quarter of 2023 compared to the third quarter of 2022, primarily due to</w:t>
      </w:r>
      <w:r>
        <w:rPr>
          <w:rFonts w:ascii="Arial" w:cs="Arial" w:eastAsia="Arial" w:hAnsi="Arial"/>
          <w:sz w:val="16"/>
          <w:szCs w:val="16"/>
          <w:b w:val="1"/>
          <w:bCs w:val="1"/>
          <w:color w:val="auto"/>
        </w:rPr>
        <w:t xml:space="preserve"> </w:t>
      </w:r>
      <w:r>
        <w:rPr>
          <w:rFonts w:ascii="Arial" w:cs="Arial" w:eastAsia="Arial" w:hAnsi="Arial"/>
          <w:sz w:val="16"/>
          <w:szCs w:val="16"/>
          <w:color w:val="auto"/>
        </w:rPr>
        <w:t>lower net gains on the sale of assets. The third quarter of 2023 included expenses of $4.9 million associated with the demobilization of our McClelland Lake Lodge to prepare the assets for sale. The associated gain related to the sale of the McClelland Lake Lodge assets will be recognized in the fourth quarter of 2023 and first quarter of 2024. The third quarter of 2022 include gains related to the sale of our Kambalda village and an undeveloped land holding in Australia, our wellsite business in the U.S. and various mobile assets and unused corporate office space in Canada.</w:t>
      </w:r>
    </w:p>
    <w:p>
      <w:pPr>
        <w:spacing w:after="0" w:line="93" w:lineRule="exact"/>
        <w:rPr>
          <w:sz w:val="20"/>
          <w:szCs w:val="20"/>
          <w:color w:val="auto"/>
        </w:rPr>
      </w:pPr>
    </w:p>
    <w:p>
      <w:pPr>
        <w:jc w:val="both"/>
        <w:ind w:firstLine="470"/>
        <w:spacing w:after="0" w:line="286" w:lineRule="auto"/>
        <w:rPr>
          <w:sz w:val="20"/>
          <w:szCs w:val="20"/>
          <w:color w:val="auto"/>
        </w:rPr>
      </w:pPr>
      <w:r>
        <w:rPr>
          <w:rFonts w:ascii="Arial" w:cs="Arial" w:eastAsia="Arial" w:hAnsi="Arial"/>
          <w:sz w:val="16"/>
          <w:szCs w:val="16"/>
          <w:b w:val="1"/>
          <w:bCs w:val="1"/>
          <w:color w:val="auto"/>
        </w:rPr>
        <w:t xml:space="preserve">Income Tax (Expense) Benefit. </w:t>
      </w:r>
      <w:r>
        <w:rPr>
          <w:rFonts w:ascii="Arial" w:cs="Arial" w:eastAsia="Arial" w:hAnsi="Arial"/>
          <w:sz w:val="16"/>
          <w:szCs w:val="16"/>
          <w:color w:val="auto"/>
        </w:rPr>
        <w:t>Our income tax benefit for the three months ended September 30, 2023 totaled $1.2 million, or (15.2)% of pretax</w:t>
      </w:r>
      <w:r>
        <w:rPr>
          <w:rFonts w:ascii="Arial" w:cs="Arial" w:eastAsia="Arial" w:hAnsi="Arial"/>
          <w:sz w:val="16"/>
          <w:szCs w:val="16"/>
          <w:b w:val="1"/>
          <w:bCs w:val="1"/>
          <w:color w:val="auto"/>
        </w:rPr>
        <w:t xml:space="preserve"> </w:t>
      </w:r>
      <w:r>
        <w:rPr>
          <w:rFonts w:ascii="Arial" w:cs="Arial" w:eastAsia="Arial" w:hAnsi="Arial"/>
          <w:sz w:val="16"/>
          <w:szCs w:val="16"/>
          <w:color w:val="auto"/>
        </w:rPr>
        <w:t>income, compared to an income tax expense of $3.7 million, or 37.2% of pretax income, for the three months ended September 30, 2022. Our effective tax rate for the three months ended September 30, 2023 and 2022 was impacted by considering the U.S. a loss jurisdiction that was removed from the annual effective tax rate computation for purposes of computing the interim tax provision. Additionally, under Accounting Standards Codification 740-270, “Accounting for Income Taxes,” the quarterly tax provision is based on our current estimate of the annual effective tax rate less the prior quarter’s year to date provision.</w:t>
      </w:r>
    </w:p>
    <w:p>
      <w:pPr>
        <w:spacing w:after="0" w:line="93"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b w:val="1"/>
          <w:bCs w:val="1"/>
          <w:color w:val="auto"/>
        </w:rPr>
        <w:t xml:space="preserve">Other Comprehensive (Loss) Income. </w:t>
      </w:r>
      <w:r>
        <w:rPr>
          <w:rFonts w:ascii="Arial" w:cs="Arial" w:eastAsia="Arial" w:hAnsi="Arial"/>
          <w:sz w:val="17"/>
          <w:szCs w:val="17"/>
          <w:color w:val="auto"/>
        </w:rPr>
        <w:t>Other comprehensive income increased $14.0 million in the third quarter of 2023 compared to the third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2022, primarily as a result of foreign currency translation adjustments due to changes in the Canadian and Australian dollar exchange rates compared to the U.S. dollar. The Canadian dollar exchange rate compared to the U.S. dollar decreased 2% in the third quarter of 2023 compared to a 6% decrease in the third quarter of 2022. The Australian dollar exchange rate compared to the U.S. dollar decreased 3% in the third quarter of 2023 compared to a 6% decrease in the third quarter of 2022.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Canadian Segment</w:t>
      </w:r>
    </w:p>
    <w:p>
      <w:pPr>
        <w:spacing w:after="0" w:line="2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Three Months Ended</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7"/>
        </w:trPr>
        <w:tc>
          <w:tcPr>
            <w:tcW w:w="48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7"/>
        </w:trPr>
        <w:tc>
          <w:tcPr>
            <w:tcW w:w="48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Change</w:t>
            </w:r>
          </w:p>
        </w:tc>
      </w:tr>
      <w:tr>
        <w:trPr>
          <w:trHeight w:val="176"/>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Revenues ($ in thousands)</w:t>
            </w:r>
          </w:p>
        </w:tc>
        <w:tc>
          <w:tcPr>
            <w:tcW w:w="1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187"/>
        </w:trPr>
        <w:tc>
          <w:tcPr>
            <w:tcW w:w="4820" w:type="dxa"/>
            <w:vAlign w:val="bottom"/>
          </w:tcPr>
          <w:p>
            <w:pPr>
              <w:ind w:left="120"/>
              <w:spacing w:after="0"/>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9"/>
                <w:szCs w:val="9"/>
                <w:color w:val="auto"/>
              </w:rPr>
              <w:t>(1)</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71,417</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72,724</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(1,307)</w:t>
            </w:r>
          </w:p>
        </w:tc>
      </w:tr>
      <w:tr>
        <w:trPr>
          <w:trHeight w:val="205"/>
        </w:trPr>
        <w:tc>
          <w:tcPr>
            <w:tcW w:w="4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Mobile facility rental revenue </w:t>
            </w:r>
            <w:r>
              <w:rPr>
                <w:rFonts w:ascii="Arial" w:cs="Arial" w:eastAsia="Arial" w:hAnsi="Arial"/>
                <w:sz w:val="9"/>
                <w:szCs w:val="9"/>
                <w:color w:val="auto"/>
              </w:rPr>
              <w:t>(2)</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17,314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25,283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(7,969)</w:t>
            </w:r>
          </w:p>
        </w:tc>
      </w:tr>
      <w:tr>
        <w:trPr>
          <w:trHeight w:val="189"/>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9"/>
                <w:szCs w:val="9"/>
                <w:color w:val="auto"/>
              </w:rPr>
              <w:t>(3)</w:t>
            </w: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6,413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5,002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1,411</w:t>
            </w:r>
          </w:p>
        </w:tc>
      </w:tr>
      <w:tr>
        <w:trPr>
          <w:trHeight w:val="196"/>
        </w:trPr>
        <w:tc>
          <w:tcPr>
            <w:tcW w:w="48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revenues</w:t>
            </w:r>
          </w:p>
        </w:tc>
        <w:tc>
          <w:tcPr>
            <w:tcW w:w="1120" w:type="dxa"/>
            <w:vAlign w:val="bottom"/>
            <w:shd w:val="clear" w:color="auto" w:fill="CCEEFF"/>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95,144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103,009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(7,865)</w:t>
            </w:r>
          </w:p>
        </w:tc>
      </w:tr>
      <w:tr>
        <w:trPr>
          <w:trHeight w:val="144"/>
        </w:trPr>
        <w:tc>
          <w:tcPr>
            <w:tcW w:w="4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96"/>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Cost of sales and services ($ in thousands)</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7"/>
        </w:trPr>
        <w:tc>
          <w:tcPr>
            <w:tcW w:w="4820" w:type="dxa"/>
            <w:vAlign w:val="bottom"/>
          </w:tcPr>
          <w:p>
            <w:pPr>
              <w:ind w:left="120"/>
              <w:spacing w:after="0"/>
              <w:rPr>
                <w:sz w:val="20"/>
                <w:szCs w:val="20"/>
                <w:color w:val="auto"/>
              </w:rPr>
            </w:pPr>
            <w:r>
              <w:rPr>
                <w:rFonts w:ascii="Arial" w:cs="Arial" w:eastAsia="Arial" w:hAnsi="Arial"/>
                <w:sz w:val="14"/>
                <w:szCs w:val="14"/>
                <w:color w:val="auto"/>
              </w:rPr>
              <w:t>Accommodation cost</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46,063</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50,308</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(4,245)</w:t>
            </w:r>
          </w:p>
        </w:tc>
      </w:tr>
      <w:tr>
        <w:trPr>
          <w:trHeight w:val="205"/>
        </w:trPr>
        <w:tc>
          <w:tcPr>
            <w:tcW w:w="4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Mobile facility rental cost</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11,636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15,597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(3,961)</w:t>
            </w:r>
          </w:p>
        </w:tc>
      </w:tr>
      <w:tr>
        <w:trPr>
          <w:trHeight w:val="187"/>
        </w:trPr>
        <w:tc>
          <w:tcPr>
            <w:tcW w:w="4820" w:type="dxa"/>
            <w:vAlign w:val="bottom"/>
          </w:tcPr>
          <w:p>
            <w:pPr>
              <w:ind w:left="120"/>
              <w:spacing w:after="0"/>
              <w:rPr>
                <w:sz w:val="20"/>
                <w:szCs w:val="20"/>
                <w:color w:val="auto"/>
              </w:rPr>
            </w:pPr>
            <w:r>
              <w:rPr>
                <w:rFonts w:ascii="Arial" w:cs="Arial" w:eastAsia="Arial" w:hAnsi="Arial"/>
                <w:sz w:val="14"/>
                <w:szCs w:val="14"/>
                <w:color w:val="auto"/>
              </w:rPr>
              <w:t>Food service and other services cost</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5,867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4,447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1,420</w:t>
            </w:r>
          </w:p>
        </w:tc>
      </w:tr>
      <w:tr>
        <w:trPr>
          <w:trHeight w:val="205"/>
        </w:trPr>
        <w:tc>
          <w:tcPr>
            <w:tcW w:w="4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Indirect other costs</w:t>
            </w: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2,406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2,526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(120)</w:t>
            </w:r>
          </w:p>
        </w:tc>
      </w:tr>
      <w:tr>
        <w:trPr>
          <w:trHeight w:val="180"/>
        </w:trPr>
        <w:tc>
          <w:tcPr>
            <w:tcW w:w="4820" w:type="dxa"/>
            <w:vAlign w:val="bottom"/>
          </w:tcPr>
          <w:p>
            <w:pPr>
              <w:ind w:left="320"/>
              <w:spacing w:after="0"/>
              <w:rPr>
                <w:sz w:val="20"/>
                <w:szCs w:val="20"/>
                <w:color w:val="auto"/>
              </w:rPr>
            </w:pPr>
            <w:r>
              <w:rPr>
                <w:rFonts w:ascii="Arial" w:cs="Arial" w:eastAsia="Arial" w:hAnsi="Arial"/>
                <w:sz w:val="14"/>
                <w:szCs w:val="14"/>
                <w:color w:val="auto"/>
              </w:rPr>
              <w:t>Total cost of sales and services</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65,972</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72,878</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(6,906)</w:t>
            </w:r>
          </w:p>
        </w:tc>
      </w:tr>
      <w:tr>
        <w:trPr>
          <w:trHeight w:val="153"/>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7"/>
        </w:trPr>
        <w:tc>
          <w:tcPr>
            <w:tcW w:w="4820" w:type="dxa"/>
            <w:vAlign w:val="bottom"/>
          </w:tcPr>
          <w:p>
            <w:pPr>
              <w:spacing w:after="0"/>
              <w:rPr>
                <w:sz w:val="20"/>
                <w:szCs w:val="20"/>
                <w:color w:val="auto"/>
              </w:rPr>
            </w:pPr>
            <w:r>
              <w:rPr>
                <w:rFonts w:ascii="Arial" w:cs="Arial" w:eastAsia="Arial" w:hAnsi="Arial"/>
                <w:sz w:val="14"/>
                <w:szCs w:val="14"/>
                <w:color w:val="auto"/>
              </w:rPr>
              <w:t>Gross margin as a % of revenues</w:t>
            </w:r>
          </w:p>
        </w:tc>
        <w:tc>
          <w:tcPr>
            <w:tcW w:w="1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29.3 %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1.4 %</w:t>
            </w:r>
          </w:p>
        </w:tc>
      </w:tr>
      <w:tr>
        <w:trPr>
          <w:trHeight w:val="153"/>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7"/>
        </w:trPr>
        <w:tc>
          <w:tcPr>
            <w:tcW w:w="4820" w:type="dxa"/>
            <w:vAlign w:val="bottom"/>
          </w:tcPr>
          <w:p>
            <w:pPr>
              <w:spacing w:after="0"/>
              <w:rPr>
                <w:sz w:val="20"/>
                <w:szCs w:val="20"/>
                <w:color w:val="auto"/>
              </w:rPr>
            </w:pPr>
            <w:r>
              <w:rPr>
                <w:rFonts w:ascii="Arial" w:cs="Arial" w:eastAsia="Arial" w:hAnsi="Arial"/>
                <w:sz w:val="14"/>
                <w:szCs w:val="14"/>
                <w:color w:val="auto"/>
              </w:rPr>
              <w:t xml:space="preserve">Average daily rate for lodges </w:t>
            </w:r>
            <w:r>
              <w:rPr>
                <w:rFonts w:ascii="Arial" w:cs="Arial" w:eastAsia="Arial" w:hAnsi="Arial"/>
                <w:sz w:val="9"/>
                <w:szCs w:val="9"/>
                <w:color w:val="auto"/>
              </w:rPr>
              <w:t>(4)</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(1)</w:t>
            </w:r>
          </w:p>
        </w:tc>
      </w:tr>
      <w:tr>
        <w:trPr>
          <w:trHeight w:val="153"/>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7"/>
        </w:trPr>
        <w:tc>
          <w:tcPr>
            <w:tcW w:w="4820" w:type="dxa"/>
            <w:vAlign w:val="bottom"/>
          </w:tcPr>
          <w:p>
            <w:pPr>
              <w:spacing w:after="0"/>
              <w:rPr>
                <w:sz w:val="20"/>
                <w:szCs w:val="20"/>
                <w:color w:val="auto"/>
              </w:rPr>
            </w:pPr>
            <w:r>
              <w:rPr>
                <w:rFonts w:ascii="Arial" w:cs="Arial" w:eastAsia="Arial" w:hAnsi="Arial"/>
                <w:sz w:val="14"/>
                <w:szCs w:val="14"/>
                <w:color w:val="auto"/>
              </w:rPr>
              <w:t xml:space="preserve">Total billed rooms for lodges </w:t>
            </w:r>
            <w:r>
              <w:rPr>
                <w:rFonts w:ascii="Arial" w:cs="Arial" w:eastAsia="Arial" w:hAnsi="Arial"/>
                <w:sz w:val="9"/>
                <w:szCs w:val="9"/>
                <w:color w:val="auto"/>
              </w:rPr>
              <w:t>(5)</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w w:val="98"/>
              </w:rPr>
              <w:t>726,364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730,708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(4,344)</w:t>
            </w:r>
          </w:p>
        </w:tc>
      </w:tr>
      <w:tr>
        <w:trPr>
          <w:trHeight w:val="153"/>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78"/>
        </w:trPr>
        <w:tc>
          <w:tcPr>
            <w:tcW w:w="4820" w:type="dxa"/>
            <w:vAlign w:val="bottom"/>
          </w:tcPr>
          <w:p>
            <w:pPr>
              <w:spacing w:after="0"/>
              <w:rPr>
                <w:sz w:val="20"/>
                <w:szCs w:val="20"/>
                <w:color w:val="auto"/>
              </w:rPr>
            </w:pPr>
            <w:r>
              <w:rPr>
                <w:rFonts w:ascii="Arial" w:cs="Arial" w:eastAsia="Arial" w:hAnsi="Arial"/>
                <w:sz w:val="14"/>
                <w:szCs w:val="14"/>
                <w:color w:val="auto"/>
              </w:rPr>
              <w:t>Average Canadian dollar to U.S. dollar</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0.746</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0.766</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(0.020)</w:t>
            </w:r>
          </w:p>
        </w:tc>
      </w:tr>
    </w:tbl>
    <w:p>
      <w:pPr>
        <w:spacing w:after="0" w:line="289" w:lineRule="exact"/>
        <w:rPr>
          <w:sz w:val="20"/>
          <w:szCs w:val="20"/>
          <w:color w:val="auto"/>
        </w:rPr>
      </w:pPr>
    </w:p>
    <w:p>
      <w:pPr>
        <w:ind w:left="300" w:hanging="295"/>
        <w:spacing w:after="0"/>
        <w:tabs>
          <w:tab w:leader="none" w:pos="30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lodge rooms and hospitality services for owned rooms for the periods presented.</w:t>
      </w:r>
    </w:p>
    <w:p>
      <w:pPr>
        <w:spacing w:after="0" w:line="1"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mobile assets for the periods presented.</w:t>
      </w:r>
    </w:p>
    <w:p>
      <w:pPr>
        <w:spacing w:after="0" w:line="1"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laundry and water and wastewater treatment services for the periods presented.</w:t>
      </w:r>
    </w:p>
    <w:p>
      <w:pPr>
        <w:spacing w:after="0" w:line="1"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1"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Billed rooms represents total billed days for owned assets for the periods presented.</w:t>
      </w:r>
    </w:p>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Canadian segment reported revenues in the third quarter of 2023 that were $7.9 million, or 8%, lower than the third quarter of 2022. The weakening of the average exchange rate for the Canadian dollar relative to the U.S. dollar by 2.6% in the third quarter of 2023 compared to the third quarter of 2022 resulted in a $2.6 million period-over-period decrease in revenues. Excluding the impact of the weaker Canadian exchange rate, the revenue decrease was driven by reduced mobile asset activity from pipeline projects.</w:t>
      </w:r>
    </w:p>
    <w:p>
      <w:pPr>
        <w:spacing w:after="0" w:line="202"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Our Canadian segment cost of sales and services decreased $6.9 million, or 9%, in the third quarter of 2023 compared to the third quarter of 2022. The weakening of the average exchange rate for the Canadian dollar relative to the U.S. dollar by 2.6% in the third quarter of 2023 compared to the third quarter of 2022 resulted in a $1.8 million period-over-period decrease in cost of sales and services. Excluding the impact of the weaker Canadian exchange rate, the decrease in cost of sales and services was driven by (i) lower costs related to the reduced mobile asset activity, (ii) lower staff costs at certain lodges and (iii) reduced activity at our south lodges. These decreases were partially offset by increased operating costs at our lodges due to inflationary pressures.</w:t>
      </w:r>
    </w:p>
    <w:p>
      <w:pPr>
        <w:spacing w:after="0" w:line="192"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Canadian segment gross margin as a percentage of revenues increased from 29.3% in the third quarter of 2022 to 30.7% in the third quarter of 2023. This was primarily driven by improved margins at our lodges due to improved efficiencies, partially offset by reduced margins at our lodges due to inflationary pressures and reduced margins from our mobile asset activity as certain higher margin components were recognized over the initial contract terms through late 2022, with 2023 representing continuing operations.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Australian Segment</w:t>
      </w:r>
    </w:p>
    <w:p>
      <w:pPr>
        <w:spacing w:after="0" w:line="2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Three Months Ended</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7"/>
        </w:trPr>
        <w:tc>
          <w:tcPr>
            <w:tcW w:w="47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7"/>
        </w:trPr>
        <w:tc>
          <w:tcPr>
            <w:tcW w:w="47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Change</w:t>
            </w:r>
          </w:p>
        </w:tc>
      </w:tr>
      <w:tr>
        <w:trPr>
          <w:trHeight w:val="183"/>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7"/>
        </w:trPr>
        <w:tc>
          <w:tcPr>
            <w:tcW w:w="4720" w:type="dxa"/>
            <w:vAlign w:val="bottom"/>
          </w:tcPr>
          <w:p>
            <w:pPr>
              <w:ind w:left="140"/>
              <w:spacing w:after="0"/>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9"/>
                <w:szCs w:val="9"/>
                <w:color w:val="auto"/>
              </w:rPr>
              <w:t>(1)</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46,012</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38,316</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7,696</w:t>
            </w:r>
          </w:p>
        </w:tc>
      </w:tr>
      <w:tr>
        <w:trPr>
          <w:trHeight w:val="205"/>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9"/>
                <w:szCs w:val="9"/>
                <w:color w:val="auto"/>
              </w:rPr>
              <w:t>(2)</w:t>
            </w: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41,873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35,489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6,384</w:t>
            </w:r>
          </w:p>
        </w:tc>
      </w:tr>
      <w:tr>
        <w:trPr>
          <w:trHeight w:val="180"/>
        </w:trPr>
        <w:tc>
          <w:tcPr>
            <w:tcW w:w="4720" w:type="dxa"/>
            <w:vAlign w:val="bottom"/>
          </w:tcPr>
          <w:p>
            <w:pPr>
              <w:ind w:left="320"/>
              <w:spacing w:after="0"/>
              <w:rPr>
                <w:sz w:val="20"/>
                <w:szCs w:val="20"/>
                <w:color w:val="auto"/>
              </w:rPr>
            </w:pPr>
            <w:r>
              <w:rPr>
                <w:rFonts w:ascii="Arial" w:cs="Arial" w:eastAsia="Arial" w:hAnsi="Arial"/>
                <w:sz w:val="14"/>
                <w:szCs w:val="14"/>
                <w:color w:val="auto"/>
              </w:rPr>
              <w:t>Total revenues</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87,885</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73,805</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14,080</w:t>
            </w:r>
          </w:p>
        </w:tc>
      </w:tr>
      <w:tr>
        <w:trPr>
          <w:trHeight w:val="218"/>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7"/>
        </w:trPr>
        <w:tc>
          <w:tcPr>
            <w:tcW w:w="4720" w:type="dxa"/>
            <w:vAlign w:val="bottom"/>
          </w:tcPr>
          <w:p>
            <w:pPr>
              <w:ind w:left="20"/>
              <w:spacing w:after="0"/>
              <w:rPr>
                <w:sz w:val="20"/>
                <w:szCs w:val="20"/>
                <w:color w:val="auto"/>
              </w:rPr>
            </w:pPr>
            <w:r>
              <w:rPr>
                <w:rFonts w:ascii="Arial" w:cs="Arial" w:eastAsia="Arial" w:hAnsi="Arial"/>
                <w:sz w:val="14"/>
                <w:szCs w:val="14"/>
                <w:color w:val="auto"/>
              </w:rPr>
              <w:t>Cost of sales and services ($ in thousands)</w:t>
            </w: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5"/>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Accommodation cost</w:t>
            </w:r>
          </w:p>
        </w:tc>
        <w:tc>
          <w:tcPr>
            <w:tcW w:w="1120" w:type="dxa"/>
            <w:vAlign w:val="bottom"/>
            <w:shd w:val="clear" w:color="auto" w:fill="CCEEFF"/>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22,404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17,818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4,586</w:t>
            </w:r>
          </w:p>
        </w:tc>
      </w:tr>
      <w:tr>
        <w:trPr>
          <w:trHeight w:val="187"/>
        </w:trPr>
        <w:tc>
          <w:tcPr>
            <w:tcW w:w="4720" w:type="dxa"/>
            <w:vAlign w:val="bottom"/>
          </w:tcPr>
          <w:p>
            <w:pPr>
              <w:ind w:left="140"/>
              <w:spacing w:after="0"/>
              <w:rPr>
                <w:sz w:val="20"/>
                <w:szCs w:val="20"/>
                <w:color w:val="auto"/>
              </w:rPr>
            </w:pPr>
            <w:r>
              <w:rPr>
                <w:rFonts w:ascii="Arial" w:cs="Arial" w:eastAsia="Arial" w:hAnsi="Arial"/>
                <w:sz w:val="14"/>
                <w:szCs w:val="14"/>
                <w:color w:val="auto"/>
              </w:rPr>
              <w:t>Food service and other services cost</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38,898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33,465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5,433</w:t>
            </w:r>
          </w:p>
        </w:tc>
      </w:tr>
      <w:tr>
        <w:trPr>
          <w:trHeight w:val="205"/>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w:t>
            </w: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2,293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2,050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243</w:t>
            </w:r>
          </w:p>
        </w:tc>
      </w:tr>
      <w:tr>
        <w:trPr>
          <w:trHeight w:val="180"/>
        </w:trPr>
        <w:tc>
          <w:tcPr>
            <w:tcW w:w="4720" w:type="dxa"/>
            <w:vAlign w:val="bottom"/>
          </w:tcPr>
          <w:p>
            <w:pPr>
              <w:ind w:left="320"/>
              <w:spacing w:after="0"/>
              <w:rPr>
                <w:sz w:val="20"/>
                <w:szCs w:val="20"/>
                <w:color w:val="auto"/>
              </w:rPr>
            </w:pPr>
            <w:r>
              <w:rPr>
                <w:rFonts w:ascii="Arial" w:cs="Arial" w:eastAsia="Arial" w:hAnsi="Arial"/>
                <w:sz w:val="14"/>
                <w:szCs w:val="14"/>
                <w:color w:val="auto"/>
              </w:rPr>
              <w:t>Total cost of sales and services</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63,595</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53,333</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10,262</w:t>
            </w:r>
          </w:p>
        </w:tc>
      </w:tr>
      <w:tr>
        <w:trPr>
          <w:trHeight w:val="218"/>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7"/>
        </w:trPr>
        <w:tc>
          <w:tcPr>
            <w:tcW w:w="472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27.6 %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27.7 %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8"/>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7"/>
        </w:trPr>
        <w:tc>
          <w:tcPr>
            <w:tcW w:w="4720" w:type="dxa"/>
            <w:vAlign w:val="bottom"/>
          </w:tcPr>
          <w:p>
            <w:pPr>
              <w:ind w:left="20"/>
              <w:spacing w:after="0"/>
              <w:rPr>
                <w:sz w:val="20"/>
                <w:szCs w:val="20"/>
                <w:color w:val="auto"/>
              </w:rPr>
            </w:pPr>
            <w:r>
              <w:rPr>
                <w:rFonts w:ascii="Arial" w:cs="Arial" w:eastAsia="Arial" w:hAnsi="Arial"/>
                <w:sz w:val="14"/>
                <w:szCs w:val="14"/>
                <w:color w:val="auto"/>
              </w:rPr>
              <w:t xml:space="preserve">Average daily rate for villages </w:t>
            </w:r>
            <w:r>
              <w:rPr>
                <w:rFonts w:ascii="Arial" w:cs="Arial" w:eastAsia="Arial" w:hAnsi="Arial"/>
                <w:sz w:val="9"/>
                <w:szCs w:val="9"/>
                <w:color w:val="auto"/>
              </w:rPr>
              <w:t>(3)</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w:t>
            </w:r>
          </w:p>
        </w:tc>
      </w:tr>
      <w:tr>
        <w:trPr>
          <w:trHeight w:val="218"/>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7"/>
        </w:trPr>
        <w:tc>
          <w:tcPr>
            <w:tcW w:w="4720" w:type="dxa"/>
            <w:vAlign w:val="bottom"/>
          </w:tcPr>
          <w:p>
            <w:pPr>
              <w:ind w:left="20"/>
              <w:spacing w:after="0"/>
              <w:rPr>
                <w:sz w:val="20"/>
                <w:szCs w:val="20"/>
                <w:color w:val="auto"/>
              </w:rPr>
            </w:pPr>
            <w:r>
              <w:rPr>
                <w:rFonts w:ascii="Arial" w:cs="Arial" w:eastAsia="Arial" w:hAnsi="Arial"/>
                <w:sz w:val="14"/>
                <w:szCs w:val="14"/>
                <w:color w:val="auto"/>
              </w:rPr>
              <w:t xml:space="preserve">Total billed rooms for villages </w:t>
            </w:r>
            <w:r>
              <w:rPr>
                <w:rFonts w:ascii="Arial" w:cs="Arial" w:eastAsia="Arial" w:hAnsi="Arial"/>
                <w:sz w:val="9"/>
                <w:szCs w:val="9"/>
                <w:color w:val="auto"/>
              </w:rPr>
              <w:t>(4)</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w w:val="98"/>
              </w:rPr>
              <w:t>623,436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525,359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98,077</w:t>
            </w:r>
          </w:p>
        </w:tc>
      </w:tr>
      <w:tr>
        <w:trPr>
          <w:trHeight w:val="218"/>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8"/>
        </w:trPr>
        <w:tc>
          <w:tcPr>
            <w:tcW w:w="4720" w:type="dxa"/>
            <w:vAlign w:val="bottom"/>
          </w:tcPr>
          <w:p>
            <w:pPr>
              <w:ind w:left="20"/>
              <w:spacing w:after="0"/>
              <w:rPr>
                <w:sz w:val="20"/>
                <w:szCs w:val="20"/>
                <w:color w:val="auto"/>
              </w:rPr>
            </w:pPr>
            <w:r>
              <w:rPr>
                <w:rFonts w:ascii="Arial" w:cs="Arial" w:eastAsia="Arial" w:hAnsi="Arial"/>
                <w:sz w:val="14"/>
                <w:szCs w:val="14"/>
                <w:color w:val="auto"/>
              </w:rPr>
              <w:t>Australian dollar to U.S. dollar</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0.655</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0.683</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90"/>
              <w:spacing w:after="0"/>
              <w:rPr>
                <w:sz w:val="20"/>
                <w:szCs w:val="20"/>
                <w:color w:val="auto"/>
              </w:rPr>
            </w:pPr>
            <w:r>
              <w:rPr>
                <w:rFonts w:ascii="Arial" w:cs="Arial" w:eastAsia="Arial" w:hAnsi="Arial"/>
                <w:sz w:val="14"/>
                <w:szCs w:val="14"/>
                <w:color w:val="auto"/>
              </w:rPr>
              <w:t>(0.028)</w:t>
            </w:r>
          </w:p>
        </w:tc>
      </w:tr>
    </w:tbl>
    <w:p>
      <w:pPr>
        <w:spacing w:after="0" w:line="200" w:lineRule="exact"/>
        <w:rPr>
          <w:sz w:val="20"/>
          <w:szCs w:val="20"/>
          <w:color w:val="auto"/>
        </w:rPr>
      </w:pPr>
    </w:p>
    <w:p>
      <w:pPr>
        <w:spacing w:after="0" w:line="324" w:lineRule="exact"/>
        <w:rPr>
          <w:sz w:val="20"/>
          <w:szCs w:val="20"/>
          <w:color w:val="auto"/>
        </w:rPr>
      </w:pPr>
    </w:p>
    <w:p>
      <w:pPr>
        <w:ind w:left="300" w:hanging="295"/>
        <w:spacing w:after="0"/>
        <w:tabs>
          <w:tab w:leader="none" w:pos="30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village rooms and hospitality services for owned rooms for the periods presented.</w:t>
      </w:r>
    </w:p>
    <w:p>
      <w:pPr>
        <w:spacing w:after="0" w:line="1"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and other services, including facilities management for the periods presented.</w:t>
      </w:r>
    </w:p>
    <w:p>
      <w:pPr>
        <w:spacing w:after="0" w:line="1"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1"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Billed rooms represent total billed days for owned assets for the periods presented.</w:t>
      </w:r>
    </w:p>
    <w:p>
      <w:pPr>
        <w:spacing w:after="0" w:line="223"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Our Australian segment reported revenues in the third quarter of 2023 that were $14.1 million, or 19%, higher than the third quarter of 2022. The weakening of the average exchange rate for Australian dollars relative to the U.S. dollar by 4.1% in the third quarter of 2023 compared to the third quarter of 2022 resulted in a $3.8 million period-over-period decrease in revenues. On a constant currency basis, the Australian segment experienced a 24% period-over-period increase in revenues. Excluding the impact of the weaker Australian exchange rate, the increase in the Australian segment was driven by increased activity at our Civeo owned villages in the Bowen Basin and Gunnedah Basin and our integrated services villages in Western Australia.</w:t>
      </w:r>
    </w:p>
    <w:p>
      <w:pPr>
        <w:spacing w:after="0" w:line="192"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Our Australian segment cost of sales and services increased $10.3 million, or 19%, in the third quarter of 2023 compared to the third quarter of 2022. The weakening of the average exchange rate for Australian dollars relative to the U.S. dollar by 4.1% in the third quarter of 2023 compared to the third quarter of 2022 resulted in a $2.8 million period-over-period decrease in cost of sales and services. Excluding the impact of the weaker Australian exchange rate, the increase in cost of sales and services was largely driven by increased occupancy at our Civeo owned villages in the Bowen Basin and Gunnedah Basin and our integrated services villages in Western Australia.</w:t>
      </w:r>
    </w:p>
    <w:p>
      <w:pPr>
        <w:spacing w:after="0" w:line="2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Our Australian segment gross margin as a percentage of revenues decreased to 27.6% in the third quarter of 2023 from 27.7% in the third quarter of 2022. This was primarily driven by an increased relative revenue contribution from our integrated services business, which has a service-only business model, and therefore generates lower overall gross margins than our accommodation business and increased operating costs due to inflationary pressures, partially offset by improved margins at Civeo owned villages in the Bowen Basin and Gunnedah Basin due to improved efficiencies as a result of increased activity.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1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Results of Operations – Nine Months Ended September 30, 2023 Compared to Nine Months Ended September 30, 2022</w:t>
      </w:r>
    </w:p>
    <w:p>
      <w:pPr>
        <w:spacing w:after="0" w:line="326"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Nine Months Ended</w:t>
            </w: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2"/>
        </w:trPr>
        <w:tc>
          <w:tcPr>
            <w:tcW w:w="5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September 30,</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3"/>
        </w:trPr>
        <w:tc>
          <w:tcPr>
            <w:tcW w:w="5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7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center"/>
              <w:ind w:right="450"/>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ind w:right="590"/>
              <w:spacing w:after="0"/>
              <w:rPr>
                <w:sz w:val="20"/>
                <w:szCs w:val="20"/>
                <w:color w:val="auto"/>
              </w:rPr>
            </w:pPr>
            <w:r>
              <w:rPr>
                <w:rFonts w:ascii="Arial" w:cs="Arial" w:eastAsia="Arial" w:hAnsi="Arial"/>
                <w:sz w:val="14"/>
                <w:szCs w:val="14"/>
                <w:b w:val="1"/>
                <w:bCs w:val="1"/>
                <w:color w:val="auto"/>
              </w:rPr>
              <w:t>Change</w:t>
            </w:r>
          </w:p>
        </w:tc>
      </w:tr>
      <w:tr>
        <w:trPr>
          <w:trHeight w:val="23"/>
        </w:trPr>
        <w:tc>
          <w:tcPr>
            <w:tcW w:w="5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5"/>
        </w:trPr>
        <w:tc>
          <w:tcPr>
            <w:tcW w:w="5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7"/>
        </w:trPr>
        <w:tc>
          <w:tcPr>
            <w:tcW w:w="5020" w:type="dxa"/>
            <w:vAlign w:val="bottom"/>
          </w:tcPr>
          <w:p>
            <w:pPr>
              <w:ind w:left="120"/>
              <w:spacing w:after="0"/>
              <w:rPr>
                <w:sz w:val="20"/>
                <w:szCs w:val="20"/>
                <w:color w:val="auto"/>
              </w:rPr>
            </w:pPr>
            <w:r>
              <w:rPr>
                <w:rFonts w:ascii="Arial" w:cs="Arial" w:eastAsia="Arial" w:hAnsi="Arial"/>
                <w:sz w:val="14"/>
                <w:szCs w:val="14"/>
                <w:color w:val="auto"/>
              </w:rPr>
              <w:t>Canada</w:t>
            </w:r>
          </w:p>
        </w:tc>
        <w:tc>
          <w:tcPr>
            <w:tcW w:w="420" w:type="dxa"/>
            <w:vAlign w:val="bottom"/>
          </w:tcPr>
          <w:p>
            <w:pPr>
              <w:jc w:val="right"/>
              <w:ind w:right="27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280,067</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307,984</w:t>
            </w:r>
          </w:p>
        </w:tc>
        <w:tc>
          <w:tcPr>
            <w:tcW w:w="12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(27,917)</w:t>
            </w:r>
          </w:p>
        </w:tc>
      </w:tr>
      <w:tr>
        <w:trPr>
          <w:trHeight w:val="205"/>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247,418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205,154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42,264</w:t>
            </w:r>
          </w:p>
        </w:tc>
      </w:tr>
      <w:tr>
        <w:trPr>
          <w:trHeight w:val="189"/>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(19,200)</w:t>
            </w:r>
          </w:p>
        </w:tc>
      </w:tr>
      <w:tr>
        <w:trPr>
          <w:trHeight w:val="196"/>
        </w:trPr>
        <w:tc>
          <w:tcPr>
            <w:tcW w:w="5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530,006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534,859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(4,853)</w:t>
            </w:r>
          </w:p>
        </w:tc>
      </w:tr>
      <w:tr>
        <w:trPr>
          <w:trHeight w:val="187"/>
        </w:trPr>
        <w:tc>
          <w:tcPr>
            <w:tcW w:w="5020" w:type="dxa"/>
            <w:vAlign w:val="bottom"/>
          </w:tcPr>
          <w:p>
            <w:pPr>
              <w:spacing w:after="0"/>
              <w:rPr>
                <w:sz w:val="20"/>
                <w:szCs w:val="20"/>
                <w:color w:val="auto"/>
              </w:rPr>
            </w:pPr>
            <w:r>
              <w:rPr>
                <w:rFonts w:ascii="Arial" w:cs="Arial" w:eastAsia="Arial" w:hAnsi="Arial"/>
                <w:sz w:val="14"/>
                <w:szCs w:val="14"/>
                <w:color w:val="auto"/>
              </w:rPr>
              <w:t>Costs and expenses: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5"/>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7"/>
        </w:trPr>
        <w:tc>
          <w:tcPr>
            <w:tcW w:w="5020" w:type="dxa"/>
            <w:vAlign w:val="bottom"/>
          </w:tcPr>
          <w:p>
            <w:pPr>
              <w:ind w:left="320"/>
              <w:spacing w:after="0"/>
              <w:rPr>
                <w:sz w:val="20"/>
                <w:szCs w:val="20"/>
                <w:color w:val="auto"/>
              </w:rPr>
            </w:pPr>
            <w:r>
              <w:rPr>
                <w:rFonts w:ascii="Arial" w:cs="Arial" w:eastAsia="Arial" w:hAnsi="Arial"/>
                <w:sz w:val="14"/>
                <w:szCs w:val="14"/>
                <w:color w:val="auto"/>
              </w:rPr>
              <w:t>Canada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211,722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223,093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(11,371)</w:t>
            </w:r>
          </w:p>
        </w:tc>
      </w:tr>
      <w:tr>
        <w:trPr>
          <w:trHeight w:val="205"/>
        </w:trPr>
        <w:tc>
          <w:tcPr>
            <w:tcW w:w="5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180,448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145,539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34,909</w:t>
            </w:r>
          </w:p>
        </w:tc>
      </w:tr>
      <w:tr>
        <w:trPr>
          <w:trHeight w:val="189"/>
        </w:trPr>
        <w:tc>
          <w:tcPr>
            <w:tcW w:w="50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20,760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(17,695)</w:t>
            </w:r>
          </w:p>
        </w:tc>
      </w:tr>
      <w:tr>
        <w:trPr>
          <w:trHeight w:val="196"/>
        </w:trPr>
        <w:tc>
          <w:tcPr>
            <w:tcW w:w="5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395,235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389,392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5,843</w:t>
            </w:r>
          </w:p>
        </w:tc>
      </w:tr>
      <w:tr>
        <w:trPr>
          <w:trHeight w:val="187"/>
        </w:trPr>
        <w:tc>
          <w:tcPr>
            <w:tcW w:w="502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52,885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50,572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2,313</w:t>
            </w:r>
          </w:p>
        </w:tc>
      </w:tr>
      <w:tr>
        <w:trPr>
          <w:trHeight w:val="205"/>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 expense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59,277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65,818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(6,541)</w:t>
            </w:r>
          </w:p>
        </w:tc>
      </w:tr>
      <w:tr>
        <w:trPr>
          <w:trHeight w:val="189"/>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operating expense (income)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r>
      <w:tr>
        <w:trPr>
          <w:trHeight w:val="196"/>
        </w:trPr>
        <w:tc>
          <w:tcPr>
            <w:tcW w:w="5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costs and expenses</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507,699</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505,595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2,104</w:t>
            </w:r>
          </w:p>
        </w:tc>
      </w:tr>
      <w:tr>
        <w:trPr>
          <w:trHeight w:val="180"/>
        </w:trPr>
        <w:tc>
          <w:tcPr>
            <w:tcW w:w="5020" w:type="dxa"/>
            <w:vAlign w:val="bottom"/>
          </w:tcPr>
          <w:p>
            <w:pPr>
              <w:spacing w:after="0"/>
              <w:rPr>
                <w:sz w:val="20"/>
                <w:szCs w:val="20"/>
                <w:color w:val="auto"/>
              </w:rPr>
            </w:pPr>
            <w:r>
              <w:rPr>
                <w:rFonts w:ascii="Arial" w:cs="Arial" w:eastAsia="Arial" w:hAnsi="Arial"/>
                <w:sz w:val="14"/>
                <w:szCs w:val="14"/>
                <w:color w:val="auto"/>
              </w:rPr>
              <w:t>Operating income</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22,307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29,264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(6,957)</w:t>
            </w:r>
          </w:p>
        </w:tc>
      </w:tr>
      <w:tr>
        <w:trPr>
          <w:trHeight w:val="218"/>
        </w:trPr>
        <w:tc>
          <w:tcPr>
            <w:tcW w:w="5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87"/>
        </w:trPr>
        <w:tc>
          <w:tcPr>
            <w:tcW w:w="5020" w:type="dxa"/>
            <w:vAlign w:val="bottom"/>
          </w:tcPr>
          <w:p>
            <w:pPr>
              <w:spacing w:after="0"/>
              <w:rPr>
                <w:sz w:val="20"/>
                <w:szCs w:val="20"/>
                <w:color w:val="auto"/>
              </w:rPr>
            </w:pPr>
            <w:r>
              <w:rPr>
                <w:rFonts w:ascii="Arial" w:cs="Arial" w:eastAsia="Arial" w:hAnsi="Arial"/>
                <w:sz w:val="14"/>
                <w:szCs w:val="14"/>
                <w:color w:val="auto"/>
              </w:rPr>
              <w:t>Interest expense, net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(10,499)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(8,062)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(2,437)</w:t>
            </w:r>
          </w:p>
        </w:tc>
      </w:tr>
      <w:tr>
        <w:trPr>
          <w:trHeight w:val="205"/>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Other income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(6,122)</w:t>
            </w:r>
          </w:p>
        </w:tc>
      </w:tr>
      <w:tr>
        <w:trPr>
          <w:trHeight w:val="180"/>
        </w:trPr>
        <w:tc>
          <w:tcPr>
            <w:tcW w:w="5020" w:type="dxa"/>
            <w:vAlign w:val="bottom"/>
          </w:tcPr>
          <w:p>
            <w:pPr>
              <w:ind w:left="320"/>
              <w:spacing w:after="0"/>
              <w:rPr>
                <w:sz w:val="20"/>
                <w:szCs w:val="20"/>
                <w:color w:val="auto"/>
              </w:rPr>
            </w:pPr>
            <w:r>
              <w:rPr>
                <w:rFonts w:ascii="Arial" w:cs="Arial" w:eastAsia="Arial" w:hAnsi="Arial"/>
                <w:sz w:val="14"/>
                <w:szCs w:val="14"/>
                <w:color w:val="auto"/>
              </w:rPr>
              <w:t>Income before income taxes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9,976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25,492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(15,516)</w:t>
            </w:r>
          </w:p>
        </w:tc>
      </w:tr>
      <w:tr>
        <w:trPr>
          <w:trHeight w:val="205"/>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(2,897)</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4,194</w:t>
            </w:r>
          </w:p>
        </w:tc>
      </w:tr>
      <w:tr>
        <w:trPr>
          <w:trHeight w:val="180"/>
        </w:trPr>
        <w:tc>
          <w:tcPr>
            <w:tcW w:w="5020" w:type="dxa"/>
            <w:vAlign w:val="bottom"/>
          </w:tcPr>
          <w:p>
            <w:pPr>
              <w:ind w:left="320"/>
              <w:spacing w:after="0"/>
              <w:rPr>
                <w:sz w:val="20"/>
                <w:szCs w:val="20"/>
                <w:color w:val="auto"/>
              </w:rPr>
            </w:pPr>
            <w:r>
              <w:rPr>
                <w:rFonts w:ascii="Arial" w:cs="Arial" w:eastAsia="Arial" w:hAnsi="Arial"/>
                <w:sz w:val="14"/>
                <w:szCs w:val="14"/>
                <w:color w:val="auto"/>
              </w:rPr>
              <w:t>Net income</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7,079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18,401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(11,322)</w:t>
            </w:r>
          </w:p>
        </w:tc>
      </w:tr>
      <w:tr>
        <w:trPr>
          <w:trHeight w:val="205"/>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Less: Net income (loss) attributable to noncontrolling interest</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(1,759)</w:t>
            </w:r>
          </w:p>
        </w:tc>
      </w:tr>
      <w:tr>
        <w:trPr>
          <w:trHeight w:val="180"/>
        </w:trPr>
        <w:tc>
          <w:tcPr>
            <w:tcW w:w="5020" w:type="dxa"/>
            <w:vAlign w:val="bottom"/>
          </w:tcPr>
          <w:p>
            <w:pPr>
              <w:spacing w:after="0"/>
              <w:rPr>
                <w:sz w:val="20"/>
                <w:szCs w:val="20"/>
                <w:color w:val="auto"/>
              </w:rPr>
            </w:pPr>
            <w:r>
              <w:rPr>
                <w:rFonts w:ascii="Arial" w:cs="Arial" w:eastAsia="Arial" w:hAnsi="Arial"/>
                <w:sz w:val="14"/>
                <w:szCs w:val="14"/>
                <w:color w:val="auto"/>
              </w:rPr>
              <w:t>Net income attributable to Civeo Corporation</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7,132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16,695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(9,563)</w:t>
            </w:r>
          </w:p>
        </w:tc>
      </w:tr>
      <w:tr>
        <w:trPr>
          <w:trHeight w:val="198"/>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Less: Dividends attributable to preferred shares</w:t>
            </w:r>
          </w:p>
        </w:tc>
        <w:tc>
          <w:tcPr>
            <w:tcW w:w="4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w:t>
            </w:r>
          </w:p>
        </w:tc>
      </w:tr>
      <w:tr>
        <w:trPr>
          <w:trHeight w:val="196"/>
        </w:trPr>
        <w:tc>
          <w:tcPr>
            <w:tcW w:w="5020" w:type="dxa"/>
            <w:vAlign w:val="bottom"/>
          </w:tcPr>
          <w:p>
            <w:pPr>
              <w:spacing w:after="0"/>
              <w:rPr>
                <w:sz w:val="20"/>
                <w:szCs w:val="20"/>
                <w:color w:val="auto"/>
              </w:rPr>
            </w:pPr>
            <w:r>
              <w:rPr>
                <w:rFonts w:ascii="Arial" w:cs="Arial" w:eastAsia="Arial" w:hAnsi="Arial"/>
                <w:sz w:val="14"/>
                <w:szCs w:val="14"/>
                <w:color w:val="auto"/>
              </w:rPr>
              <w:t>Net income attributable to Civeo common shareholders</w:t>
            </w:r>
          </w:p>
        </w:tc>
        <w:tc>
          <w:tcPr>
            <w:tcW w:w="4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7,132</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15,226</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(8,094)</w:t>
            </w:r>
          </w:p>
        </w:tc>
      </w:tr>
      <w:tr>
        <w:trPr>
          <w:trHeight w:val="20"/>
        </w:trPr>
        <w:tc>
          <w:tcPr>
            <w:tcW w:w="5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reported net income attributable to Civeo for the nine months ended September 30, 2023 of $7.1 million, or $0.47 per diluted share compared to net income attributable to Civeo for the nine months ended September 30, 2022 of $15.2 million, or $0.91 per diluted share.</w:t>
      </w:r>
    </w:p>
    <w:p>
      <w:pPr>
        <w:spacing w:after="0" w:line="48" w:lineRule="exact"/>
        <w:rPr>
          <w:sz w:val="20"/>
          <w:szCs w:val="20"/>
          <w:color w:val="auto"/>
        </w:rPr>
      </w:pPr>
    </w:p>
    <w:p>
      <w:pPr>
        <w:jc w:val="both"/>
        <w:ind w:firstLine="470"/>
        <w:spacing w:after="0" w:line="306" w:lineRule="auto"/>
        <w:rPr>
          <w:sz w:val="20"/>
          <w:szCs w:val="20"/>
          <w:color w:val="auto"/>
        </w:rPr>
      </w:pPr>
      <w:r>
        <w:rPr>
          <w:rFonts w:ascii="Arial" w:cs="Arial" w:eastAsia="Arial" w:hAnsi="Arial"/>
          <w:sz w:val="15"/>
          <w:szCs w:val="15"/>
          <w:b w:val="1"/>
          <w:bCs w:val="1"/>
          <w:color w:val="auto"/>
        </w:rPr>
        <w:t xml:space="preserve">Revenues. </w:t>
      </w:r>
      <w:r>
        <w:rPr>
          <w:rFonts w:ascii="Arial" w:cs="Arial" w:eastAsia="Arial" w:hAnsi="Arial"/>
          <w:sz w:val="15"/>
          <w:szCs w:val="15"/>
          <w:color w:val="auto"/>
        </w:rPr>
        <w:t>Consolidated revenues decreased $4.9 million, or 1%, in the nine months ended September 30, 2023 compared to the nine months ended</w:t>
      </w:r>
      <w:r>
        <w:rPr>
          <w:rFonts w:ascii="Arial" w:cs="Arial" w:eastAsia="Arial" w:hAnsi="Arial"/>
          <w:sz w:val="15"/>
          <w:szCs w:val="15"/>
          <w:b w:val="1"/>
          <w:bCs w:val="1"/>
          <w:color w:val="auto"/>
        </w:rPr>
        <w:t xml:space="preserve"> </w:t>
      </w:r>
      <w:r>
        <w:rPr>
          <w:rFonts w:ascii="Arial" w:cs="Arial" w:eastAsia="Arial" w:hAnsi="Arial"/>
          <w:sz w:val="15"/>
          <w:szCs w:val="15"/>
          <w:color w:val="auto"/>
        </w:rPr>
        <w:t>September 30, 2022. This decrease was primarily due to (i) decreased mobile asset activity from pipeline projects in Canada, (ii) lower billed rooms at our Canadian lodges, (iii) reduced activity in the U.S. operations due to the sale of our wellsite and offshore businesses in the second half of 2022 and (iv) a weaker Australian and Canadian dollar relative to the U.S. dollar in the nine months ended September 30, 2023 compared to the nine months ended September 30, 2022. These items were partially offset by (i) increased occupancy at our Civeo owned villages in the Australian Bowen and Gunnedah Basins and (ii) increased activity at our integrated services villages in Western Australia. See the discussion of segment results of operations below for further information.</w:t>
      </w:r>
    </w:p>
    <w:p>
      <w:pPr>
        <w:spacing w:after="0" w:line="17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b w:val="1"/>
          <w:bCs w:val="1"/>
          <w:color w:val="auto"/>
        </w:rPr>
        <w:t xml:space="preserve">Cost of Sales and Services. </w:t>
      </w:r>
      <w:r>
        <w:rPr>
          <w:rFonts w:ascii="Arial" w:cs="Arial" w:eastAsia="Arial" w:hAnsi="Arial"/>
          <w:sz w:val="17"/>
          <w:szCs w:val="17"/>
          <w:color w:val="auto"/>
        </w:rPr>
        <w:t>Our consolidated cost of sales and services increased $5.8 million, or 2%, in the nine months ended September 30, 2023</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nine months ended September 30, 2022. This increase was primarily due to (i) increased occupancy at our Civeo owned villages in the Australian Bowen and Gunnedah Basins, (ii) increased activity at our integrated services villages in Western Australia and (iii) increased operating costs due to inflationary pressures in Australia. These items were partially offset by (i) reduced activity in the U.S. operations due to the sale of our wellsite and offshore businesses in the second half of 2022, (ii) lower costs related to reduced mobile asset activity in Canada and (iii) a weaker Australian and Canadian dollar relative to the U.S. dollar in the nine months ended September 30, 2023 compared to the nine months ended September 30, 2022. See the discussion of segment results of operations below for further information.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11" w:lineRule="exact"/>
        <w:rPr>
          <w:sz w:val="20"/>
          <w:szCs w:val="20"/>
          <w:color w:val="auto"/>
        </w:rPr>
      </w:pPr>
    </w:p>
    <w:p>
      <w:pPr>
        <w:jc w:val="both"/>
        <w:ind w:firstLine="470"/>
        <w:spacing w:after="0" w:line="262"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SG&amp;A expense increased $2.3 million, or 5%, in the nine months ended September 30, 2023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nine months ended September 30, 2022. This increase was primarily due to higher compensation expense, higher information technology expense and higher incentive compensation costs. The increase in compensation expense was primarily due to increased staff and recruitment costs. The increase in information technology expense was related to ongoing investment in our newly implemented HCM system and set-up costs incurred in a cloud computing arrangement for the HCM system, which are being amortized through SG&amp;A expense instead of depreciation and amortization expense. These items were partially offset by lower share-based compensation expense and a weaker Australian and Canadian dollar relative to the U.S. dollar in the nine months ended September 30, 2023 compared to the nine months ended September 30, 2022. The decrease in share-based compensation expense was due to a relative decrease in our stock price during 2023 compared to 2022.</w:t>
      </w:r>
    </w:p>
    <w:p>
      <w:pPr>
        <w:spacing w:after="0" w:line="10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b w:val="1"/>
          <w:bCs w:val="1"/>
          <w:color w:val="auto"/>
        </w:rPr>
        <w:t xml:space="preserve">Depreciation and Amortization Expense. </w:t>
      </w:r>
      <w:r>
        <w:rPr>
          <w:rFonts w:ascii="Arial" w:cs="Arial" w:eastAsia="Arial" w:hAnsi="Arial"/>
          <w:sz w:val="17"/>
          <w:szCs w:val="17"/>
          <w:color w:val="auto"/>
        </w:rPr>
        <w:t>Depreciation and amortization expense decreased $6.5 million, or 10%, in the nine months ended September</w:t>
      </w:r>
      <w:r>
        <w:rPr>
          <w:rFonts w:ascii="Arial" w:cs="Arial" w:eastAsia="Arial" w:hAnsi="Arial"/>
          <w:sz w:val="17"/>
          <w:szCs w:val="17"/>
          <w:b w:val="1"/>
          <w:bCs w:val="1"/>
          <w:color w:val="auto"/>
        </w:rPr>
        <w:t xml:space="preserve"> </w:t>
      </w:r>
      <w:r>
        <w:rPr>
          <w:rFonts w:ascii="Arial" w:cs="Arial" w:eastAsia="Arial" w:hAnsi="Arial"/>
          <w:sz w:val="17"/>
          <w:szCs w:val="17"/>
          <w:color w:val="auto"/>
        </w:rPr>
        <w:t>30, 2023 compared to the nine months ended September 30, 2022. The decrease was primarily due to (i) the sale of our wellsite and offshore businesses in the U.S. in the second half of 2022, (ii) certain assets becoming fully depreciated in Canada in the second quarter of 2023 and (iii) lower depreciation and amortization expense due to a weaker Australian and Canadian dollar relative to the U.S. dollar in the nine months ended September 30, 2023 compared to the nine months ended September 30, 2022. This was partially offset by the shortening of the useful lives on certain assets in Canada, including the McClelland Lake Lodge.</w:t>
      </w:r>
    </w:p>
    <w:p>
      <w:pPr>
        <w:spacing w:after="0" w:line="108"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7"/>
          <w:szCs w:val="17"/>
          <w:b w:val="1"/>
          <w:bCs w:val="1"/>
          <w:color w:val="auto"/>
        </w:rPr>
        <w:t xml:space="preserve">Operating Income. </w:t>
      </w:r>
      <w:r>
        <w:rPr>
          <w:rFonts w:ascii="Arial" w:cs="Arial" w:eastAsia="Arial" w:hAnsi="Arial"/>
          <w:sz w:val="17"/>
          <w:szCs w:val="17"/>
          <w:color w:val="auto"/>
        </w:rPr>
        <w:t>Consolidated operating income decreased $7.0 million, or 24%, in the nine months ended September 30, 2023 compared to the nine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ended September 30, 2022, primarily due to reduced mobile asset activity in Canada and increased operating costs due to inflationary pressures in the nine months ended September 30, 2023 compared to the nine months ended September 30, 2022.</w:t>
      </w:r>
    </w:p>
    <w:p>
      <w:pPr>
        <w:spacing w:after="0" w:line="84"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7"/>
          <w:szCs w:val="17"/>
          <w:b w:val="1"/>
          <w:bCs w:val="1"/>
          <w:color w:val="auto"/>
        </w:rPr>
        <w:t xml:space="preserve">Interest Expense, net. </w:t>
      </w:r>
      <w:r>
        <w:rPr>
          <w:rFonts w:ascii="Arial" w:cs="Arial" w:eastAsia="Arial" w:hAnsi="Arial"/>
          <w:sz w:val="17"/>
          <w:szCs w:val="17"/>
          <w:color w:val="auto"/>
        </w:rPr>
        <w:t>Net interest expense increased by $2.4 million, or 30%, in the nine months ended September 30, 2023 compared to the nine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ended September 30, 2022, primarily related to higher interest rates on credit facility borrowings during 2023 compared to 2022, partially offset by lower average debt levels.</w:t>
      </w:r>
    </w:p>
    <w:p>
      <w:pPr>
        <w:spacing w:after="0" w:line="188"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b w:val="1"/>
          <w:bCs w:val="1"/>
          <w:color w:val="auto"/>
        </w:rPr>
        <w:t xml:space="preserve">Other Income. </w:t>
      </w:r>
      <w:r>
        <w:rPr>
          <w:rFonts w:ascii="Arial" w:cs="Arial" w:eastAsia="Arial" w:hAnsi="Arial"/>
          <w:sz w:val="16"/>
          <w:szCs w:val="16"/>
          <w:color w:val="auto"/>
        </w:rPr>
        <w:t>Consolidated other income decreased $6.1 million in the nine months ended September 30, 2023 compared to the nine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2022, primarily due to lower gain on the sale of assets. The nine months ended September 30, 2023 included expenses of $4.9 million associated with the demobilization of our McClelland Lake Lodge to prepare the assets for sale, partially offset by gains related to the sale of our Acadian Acres accommodation assets in the U.S. The associated gain related to the sale of the McClelland Lake Lodge assets will be recognized in the fourth quarter of 2023 and first quarter of 2024. The nine months ended September 30, 2022 included gains on the sale of assets primarily related to our Kambalda village and undeveloped land holdings in Australia, our wellsite business in the U.S. and various mobile assets across Canada, Australia and the U.S.</w:t>
      </w:r>
    </w:p>
    <w:p>
      <w:pPr>
        <w:spacing w:after="0" w:line="157"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7"/>
          <w:szCs w:val="17"/>
          <w:b w:val="1"/>
          <w:bCs w:val="1"/>
          <w:color w:val="auto"/>
        </w:rPr>
        <w:t xml:space="preserve">Income Tax (Expense) Benefit. </w:t>
      </w:r>
      <w:r>
        <w:rPr>
          <w:rFonts w:ascii="Arial" w:cs="Arial" w:eastAsia="Arial" w:hAnsi="Arial"/>
          <w:sz w:val="17"/>
          <w:szCs w:val="17"/>
          <w:color w:val="auto"/>
        </w:rPr>
        <w:t>Our income tax expense for the nine months ended September 30, 2023 totaled $2.9 million, or 29% of pretax income,</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an income tax expense of $7.1 million, or 28% of pretax income, for the nine months ended September 30, 2022. Our effective tax rate for the nine months ended September 30, 2023 and 2022 was impacted by considering the U.S. a loss jurisdiction that was removed from the annual effective tax rate computation for purposes of computing the interim tax provision.</w:t>
      </w:r>
    </w:p>
    <w:p>
      <w:pPr>
        <w:spacing w:after="0" w:line="195" w:lineRule="exact"/>
        <w:rPr>
          <w:sz w:val="20"/>
          <w:szCs w:val="20"/>
          <w:color w:val="auto"/>
        </w:rPr>
      </w:pPr>
    </w:p>
    <w:p>
      <w:pPr>
        <w:jc w:val="both"/>
        <w:ind w:firstLine="470"/>
        <w:spacing w:after="0" w:line="286" w:lineRule="auto"/>
        <w:rPr>
          <w:sz w:val="20"/>
          <w:szCs w:val="20"/>
          <w:color w:val="auto"/>
        </w:rPr>
      </w:pPr>
      <w:r>
        <w:rPr>
          <w:rFonts w:ascii="Arial" w:cs="Arial" w:eastAsia="Arial" w:hAnsi="Arial"/>
          <w:sz w:val="16"/>
          <w:szCs w:val="16"/>
          <w:b w:val="1"/>
          <w:bCs w:val="1"/>
          <w:color w:val="auto"/>
        </w:rPr>
        <w:t xml:space="preserve">Other Comprehensive (Loss) Income. </w:t>
      </w:r>
      <w:r>
        <w:rPr>
          <w:rFonts w:ascii="Arial" w:cs="Arial" w:eastAsia="Arial" w:hAnsi="Arial"/>
          <w:sz w:val="16"/>
          <w:szCs w:val="16"/>
          <w:color w:val="auto"/>
        </w:rPr>
        <w:t>Other comprehensive income increased $25.9 million in the nine months ended September 30, 2023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nine months ended September 30, 2022, primarily as a result of foreign currency translation adjustments due to changes in the Canadian and Australian dollar exchange rates compared to the U.S. dollar. The Canadian dollar exchange rate compared to the U.S. dollar increased 0.2% in the nine months ended September 30, 2023 compared to a 8% decrease in the nine months ended September 30, 2022. The Australian dollar exchange rate compared to the U.S. dollar decreased 5% in the nine months ended September 30, 2023 compared to a 11% decrease in the nine months ended September 30, 2022.</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Canadian Segment</w:t>
      </w:r>
    </w:p>
    <w:p>
      <w:pPr>
        <w:spacing w:after="0" w:line="2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Nine Months Ended</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7"/>
        </w:trPr>
        <w:tc>
          <w:tcPr>
            <w:tcW w:w="48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7"/>
        </w:trPr>
        <w:tc>
          <w:tcPr>
            <w:tcW w:w="48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Change</w:t>
            </w:r>
          </w:p>
        </w:tc>
      </w:tr>
      <w:tr>
        <w:trPr>
          <w:trHeight w:val="176"/>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Revenues ($ in thousands)</w:t>
            </w:r>
          </w:p>
        </w:tc>
        <w:tc>
          <w:tcPr>
            <w:tcW w:w="10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187"/>
        </w:trPr>
        <w:tc>
          <w:tcPr>
            <w:tcW w:w="4820" w:type="dxa"/>
            <w:vAlign w:val="bottom"/>
          </w:tcPr>
          <w:p>
            <w:pPr>
              <w:ind w:left="120"/>
              <w:spacing w:after="0"/>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9"/>
                <w:szCs w:val="9"/>
                <w:color w:val="auto"/>
              </w:rPr>
              <w:t>(1)</w:t>
            </w: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208,000</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219,349</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(11,349)</w:t>
            </w:r>
          </w:p>
        </w:tc>
      </w:tr>
      <w:tr>
        <w:trPr>
          <w:trHeight w:val="205"/>
        </w:trPr>
        <w:tc>
          <w:tcPr>
            <w:tcW w:w="4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Mobile facility rental revenue </w:t>
            </w:r>
            <w:r>
              <w:rPr>
                <w:rFonts w:ascii="Arial" w:cs="Arial" w:eastAsia="Arial" w:hAnsi="Arial"/>
                <w:sz w:val="9"/>
                <w:szCs w:val="9"/>
                <w:color w:val="auto"/>
              </w:rPr>
              <w:t>(2)</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54,752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73,359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(18,607)</w:t>
            </w:r>
          </w:p>
        </w:tc>
      </w:tr>
      <w:tr>
        <w:trPr>
          <w:trHeight w:val="189"/>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9"/>
                <w:szCs w:val="9"/>
                <w:color w:val="auto"/>
              </w:rPr>
              <w:t>(3)</w:t>
            </w:r>
          </w:p>
        </w:tc>
        <w:tc>
          <w:tcPr>
            <w:tcW w:w="1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17,315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15,276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2,039</w:t>
            </w:r>
          </w:p>
        </w:tc>
      </w:tr>
      <w:tr>
        <w:trPr>
          <w:trHeight w:val="196"/>
        </w:trPr>
        <w:tc>
          <w:tcPr>
            <w:tcW w:w="48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revenues</w:t>
            </w:r>
          </w:p>
        </w:tc>
        <w:tc>
          <w:tcPr>
            <w:tcW w:w="1080" w:type="dxa"/>
            <w:vAlign w:val="bottom"/>
            <w:shd w:val="clear" w:color="auto" w:fill="CCEEFF"/>
          </w:tcPr>
          <w:p>
            <w:pPr>
              <w:jc w:val="right"/>
              <w:ind w:right="91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280,067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307,984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(27,917)</w:t>
            </w:r>
          </w:p>
        </w:tc>
      </w:tr>
      <w:tr>
        <w:trPr>
          <w:trHeight w:val="144"/>
        </w:trPr>
        <w:tc>
          <w:tcPr>
            <w:tcW w:w="4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96"/>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Cost of sales and services ($ in thousands)</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7"/>
        </w:trPr>
        <w:tc>
          <w:tcPr>
            <w:tcW w:w="4820" w:type="dxa"/>
            <w:vAlign w:val="bottom"/>
          </w:tcPr>
          <w:p>
            <w:pPr>
              <w:ind w:left="120"/>
              <w:spacing w:after="0"/>
              <w:rPr>
                <w:sz w:val="20"/>
                <w:szCs w:val="20"/>
                <w:color w:val="auto"/>
              </w:rPr>
            </w:pPr>
            <w:r>
              <w:rPr>
                <w:rFonts w:ascii="Arial" w:cs="Arial" w:eastAsia="Arial" w:hAnsi="Arial"/>
                <w:sz w:val="14"/>
                <w:szCs w:val="14"/>
                <w:color w:val="auto"/>
              </w:rPr>
              <w:t>Accommodation cost</w:t>
            </w: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150,592</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156,543</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(5,951)</w:t>
            </w:r>
          </w:p>
        </w:tc>
      </w:tr>
      <w:tr>
        <w:trPr>
          <w:trHeight w:val="205"/>
        </w:trPr>
        <w:tc>
          <w:tcPr>
            <w:tcW w:w="4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Mobile facility rental cost</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37,736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44,939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(7,203)</w:t>
            </w:r>
          </w:p>
        </w:tc>
      </w:tr>
      <w:tr>
        <w:trPr>
          <w:trHeight w:val="187"/>
        </w:trPr>
        <w:tc>
          <w:tcPr>
            <w:tcW w:w="4820" w:type="dxa"/>
            <w:vAlign w:val="bottom"/>
          </w:tcPr>
          <w:p>
            <w:pPr>
              <w:ind w:left="120"/>
              <w:spacing w:after="0"/>
              <w:rPr>
                <w:sz w:val="20"/>
                <w:szCs w:val="20"/>
                <w:color w:val="auto"/>
              </w:rPr>
            </w:pPr>
            <w:r>
              <w:rPr>
                <w:rFonts w:ascii="Arial" w:cs="Arial" w:eastAsia="Arial" w:hAnsi="Arial"/>
                <w:sz w:val="14"/>
                <w:szCs w:val="14"/>
                <w:color w:val="auto"/>
              </w:rPr>
              <w:t>Food service and other services cost</w:t>
            </w:r>
          </w:p>
        </w:tc>
        <w:tc>
          <w:tcPr>
            <w:tcW w:w="108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15,701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13,782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1,919</w:t>
            </w:r>
          </w:p>
        </w:tc>
      </w:tr>
      <w:tr>
        <w:trPr>
          <w:trHeight w:val="205"/>
        </w:trPr>
        <w:tc>
          <w:tcPr>
            <w:tcW w:w="4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Indirect other costs</w:t>
            </w:r>
          </w:p>
        </w:tc>
        <w:tc>
          <w:tcPr>
            <w:tcW w:w="10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7,693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7,829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(136)</w:t>
            </w:r>
          </w:p>
        </w:tc>
      </w:tr>
      <w:tr>
        <w:trPr>
          <w:trHeight w:val="180"/>
        </w:trPr>
        <w:tc>
          <w:tcPr>
            <w:tcW w:w="4820" w:type="dxa"/>
            <w:vAlign w:val="bottom"/>
          </w:tcPr>
          <w:p>
            <w:pPr>
              <w:ind w:left="320"/>
              <w:spacing w:after="0"/>
              <w:rPr>
                <w:sz w:val="20"/>
                <w:szCs w:val="20"/>
                <w:color w:val="auto"/>
              </w:rPr>
            </w:pPr>
            <w:r>
              <w:rPr>
                <w:rFonts w:ascii="Arial" w:cs="Arial" w:eastAsia="Arial" w:hAnsi="Arial"/>
                <w:sz w:val="14"/>
                <w:szCs w:val="14"/>
                <w:color w:val="auto"/>
              </w:rPr>
              <w:t>Total cost of sales and services</w:t>
            </w: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211,722</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223,093</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(11,371)</w:t>
            </w:r>
          </w:p>
        </w:tc>
      </w:tr>
      <w:tr>
        <w:trPr>
          <w:trHeight w:val="153"/>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7"/>
        </w:trPr>
        <w:tc>
          <w:tcPr>
            <w:tcW w:w="4820" w:type="dxa"/>
            <w:vAlign w:val="bottom"/>
          </w:tcPr>
          <w:p>
            <w:pPr>
              <w:spacing w:after="0"/>
              <w:rPr>
                <w:sz w:val="20"/>
                <w:szCs w:val="20"/>
                <w:color w:val="auto"/>
              </w:rPr>
            </w:pPr>
            <w:r>
              <w:rPr>
                <w:rFonts w:ascii="Arial" w:cs="Arial" w:eastAsia="Arial" w:hAnsi="Arial"/>
                <w:sz w:val="14"/>
                <w:szCs w:val="14"/>
                <w:color w:val="auto"/>
              </w:rPr>
              <w:t>Gross margin as a % of revenues</w:t>
            </w:r>
          </w:p>
        </w:tc>
        <w:tc>
          <w:tcPr>
            <w:tcW w:w="10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27.6 %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53"/>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7"/>
        </w:trPr>
        <w:tc>
          <w:tcPr>
            <w:tcW w:w="4820" w:type="dxa"/>
            <w:vAlign w:val="bottom"/>
          </w:tcPr>
          <w:p>
            <w:pPr>
              <w:spacing w:after="0"/>
              <w:rPr>
                <w:sz w:val="20"/>
                <w:szCs w:val="20"/>
                <w:color w:val="auto"/>
              </w:rPr>
            </w:pPr>
            <w:r>
              <w:rPr>
                <w:rFonts w:ascii="Arial" w:cs="Arial" w:eastAsia="Arial" w:hAnsi="Arial"/>
                <w:sz w:val="14"/>
                <w:szCs w:val="14"/>
                <w:color w:val="auto"/>
              </w:rPr>
              <w:t xml:space="preserve">Average daily rate for lodges </w:t>
            </w:r>
            <w:r>
              <w:rPr>
                <w:rFonts w:ascii="Arial" w:cs="Arial" w:eastAsia="Arial" w:hAnsi="Arial"/>
                <w:sz w:val="9"/>
                <w:szCs w:val="9"/>
                <w:color w:val="auto"/>
              </w:rPr>
              <w:t>(4)</w:t>
            </w: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(4)</w:t>
            </w:r>
          </w:p>
        </w:tc>
      </w:tr>
      <w:tr>
        <w:trPr>
          <w:trHeight w:val="153"/>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7"/>
        </w:trPr>
        <w:tc>
          <w:tcPr>
            <w:tcW w:w="4820" w:type="dxa"/>
            <w:vAlign w:val="bottom"/>
          </w:tcPr>
          <w:p>
            <w:pPr>
              <w:spacing w:after="0"/>
              <w:rPr>
                <w:sz w:val="20"/>
                <w:szCs w:val="20"/>
                <w:color w:val="auto"/>
              </w:rPr>
            </w:pPr>
            <w:r>
              <w:rPr>
                <w:rFonts w:ascii="Arial" w:cs="Arial" w:eastAsia="Arial" w:hAnsi="Arial"/>
                <w:sz w:val="14"/>
                <w:szCs w:val="14"/>
                <w:color w:val="auto"/>
              </w:rPr>
              <w:t xml:space="preserve">Total billed rooms for lodges </w:t>
            </w:r>
            <w:r>
              <w:rPr>
                <w:rFonts w:ascii="Arial" w:cs="Arial" w:eastAsia="Arial" w:hAnsi="Arial"/>
                <w:sz w:val="9"/>
                <w:szCs w:val="9"/>
                <w:color w:val="auto"/>
              </w:rPr>
              <w:t>(5)</w:t>
            </w:r>
          </w:p>
        </w:tc>
        <w:tc>
          <w:tcPr>
            <w:tcW w:w="108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Arial" w:cs="Arial" w:eastAsia="Arial" w:hAnsi="Arial"/>
                <w:sz w:val="14"/>
                <w:szCs w:val="14"/>
                <w:color w:val="auto"/>
                <w:w w:val="86"/>
              </w:rPr>
              <w:t>2,093,459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2,137,530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(44,071)</w:t>
            </w:r>
          </w:p>
        </w:tc>
      </w:tr>
      <w:tr>
        <w:trPr>
          <w:trHeight w:val="153"/>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78"/>
        </w:trPr>
        <w:tc>
          <w:tcPr>
            <w:tcW w:w="4820" w:type="dxa"/>
            <w:vAlign w:val="bottom"/>
          </w:tcPr>
          <w:p>
            <w:pPr>
              <w:spacing w:after="0"/>
              <w:rPr>
                <w:sz w:val="20"/>
                <w:szCs w:val="20"/>
                <w:color w:val="auto"/>
              </w:rPr>
            </w:pPr>
            <w:r>
              <w:rPr>
                <w:rFonts w:ascii="Arial" w:cs="Arial" w:eastAsia="Arial" w:hAnsi="Arial"/>
                <w:sz w:val="14"/>
                <w:szCs w:val="14"/>
                <w:color w:val="auto"/>
              </w:rPr>
              <w:t>Average Canadian dollar to U.S. dollar</w:t>
            </w: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0.743</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0.779</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(0.036)</w:t>
            </w:r>
          </w:p>
        </w:tc>
      </w:tr>
    </w:tbl>
    <w:p>
      <w:pPr>
        <w:spacing w:after="0" w:line="289" w:lineRule="exact"/>
        <w:rPr>
          <w:sz w:val="20"/>
          <w:szCs w:val="20"/>
          <w:color w:val="auto"/>
        </w:rPr>
      </w:pPr>
    </w:p>
    <w:p>
      <w:pPr>
        <w:ind w:left="300" w:hanging="295"/>
        <w:spacing w:after="0"/>
        <w:tabs>
          <w:tab w:leader="none" w:pos="30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lodge rooms and hospitality services for owned rooms for the periods presented.</w:t>
      </w:r>
    </w:p>
    <w:p>
      <w:pPr>
        <w:spacing w:after="0" w:line="1"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mobile assets for the periods presented.</w:t>
      </w:r>
    </w:p>
    <w:p>
      <w:pPr>
        <w:spacing w:after="0" w:line="1"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laundry and water and wastewater treatment services for the periods presented.</w:t>
      </w:r>
    </w:p>
    <w:p>
      <w:pPr>
        <w:spacing w:after="0" w:line="1"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1"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Billed rooms represents total billed days for owned assets for the periods presented.</w:t>
      </w:r>
    </w:p>
    <w:p>
      <w:pPr>
        <w:spacing w:after="0" w:line="2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Our Canadian segment reported revenues in the nine months ended September 30, 2023 that were $27.9 million, or 9%, lower than the nine months ended September 30, 2022. The weakening of the average exchange rate for the Canadian dollar relative to the U.S. dollar by 4.6% in the nine months ended September 30, 2023 compared to the nine months ended September 30, 2022 resulted in a $13.7 million period-over-period decrease in revenues. Excluding the impact of the weaker Canadian exchange rate, the revenue decrease was driven by (i) reduced mobile asset activity from pipeline projects and (ii) lower billed rooms at our lodges.</w:t>
      </w:r>
    </w:p>
    <w:p>
      <w:pPr>
        <w:spacing w:after="0" w:line="206"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Our Canadian segment cost of sales and services decreased $11.4 million, or 5%, in the nine months ended September 30, 2023 compared to the nine months ended September 30, 2022. The weakening of the average exchange rate for the Canadian dollar relative to the U.S. dollar by 4.6% in the nine months ended September 30, 2023 compared to the nine months ended September 30, 2022 resulted in a $10.6 million period-over-period decrease in cost of sales and services. Excluding the impact of the weaker Canadian exchange rate, the decrease in cost of sales and services was driven by lower costs related to the reduced mobile asset activity. This decrease was partially offset by increased operating costs at our lodges due to inflationary pressures.</w:t>
      </w:r>
    </w:p>
    <w:p>
      <w:pPr>
        <w:spacing w:after="0" w:line="192"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Canadian segment gross margin as a percentage of revenues decreased from 27.6% in the nine months ended September 30, 2022 to 24.4% in the nine months ended September 30, 2023. This was primarily driven by reduced margins at our lodges due to inflationary pressures and reduced margins from our mobile asset activity as certain higher margin components were recognized over the initial contract terms through late 2022, with 2023 representing continuing operations.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Australian Segment</w:t>
      </w:r>
    </w:p>
    <w:p>
      <w:pPr>
        <w:spacing w:after="0" w:line="2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Nine Months Ended</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7"/>
        </w:trPr>
        <w:tc>
          <w:tcPr>
            <w:tcW w:w="47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7"/>
        </w:trPr>
        <w:tc>
          <w:tcPr>
            <w:tcW w:w="47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Change</w:t>
            </w:r>
          </w:p>
        </w:tc>
      </w:tr>
      <w:tr>
        <w:trPr>
          <w:trHeight w:val="183"/>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7"/>
        </w:trPr>
        <w:tc>
          <w:tcPr>
            <w:tcW w:w="4720" w:type="dxa"/>
            <w:vAlign w:val="bottom"/>
          </w:tcPr>
          <w:p>
            <w:pPr>
              <w:ind w:left="140"/>
              <w:spacing w:after="0"/>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9"/>
                <w:szCs w:val="9"/>
                <w:color w:val="auto"/>
              </w:rPr>
              <w:t>(1)</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130,953</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114,967</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15,986</w:t>
            </w:r>
          </w:p>
        </w:tc>
      </w:tr>
      <w:tr>
        <w:trPr>
          <w:trHeight w:val="205"/>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9"/>
                <w:szCs w:val="9"/>
                <w:color w:val="auto"/>
              </w:rPr>
              <w:t>(2)</w:t>
            </w:r>
          </w:p>
        </w:tc>
        <w:tc>
          <w:tcPr>
            <w:tcW w:w="10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116,465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90,187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26,278</w:t>
            </w:r>
          </w:p>
        </w:tc>
      </w:tr>
      <w:tr>
        <w:trPr>
          <w:trHeight w:val="180"/>
        </w:trPr>
        <w:tc>
          <w:tcPr>
            <w:tcW w:w="4720" w:type="dxa"/>
            <w:vAlign w:val="bottom"/>
          </w:tcPr>
          <w:p>
            <w:pPr>
              <w:ind w:left="320"/>
              <w:spacing w:after="0"/>
              <w:rPr>
                <w:sz w:val="20"/>
                <w:szCs w:val="20"/>
                <w:color w:val="auto"/>
              </w:rPr>
            </w:pPr>
            <w:r>
              <w:rPr>
                <w:rFonts w:ascii="Arial" w:cs="Arial" w:eastAsia="Arial" w:hAnsi="Arial"/>
                <w:sz w:val="14"/>
                <w:szCs w:val="14"/>
                <w:color w:val="auto"/>
              </w:rPr>
              <w:t>Total revenues</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247,418</w:t>
            </w:r>
          </w:p>
        </w:tc>
        <w:tc>
          <w:tcPr>
            <w:tcW w:w="10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205,154</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42,264</w:t>
            </w:r>
          </w:p>
        </w:tc>
      </w:tr>
      <w:tr>
        <w:trPr>
          <w:trHeight w:val="218"/>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7"/>
        </w:trPr>
        <w:tc>
          <w:tcPr>
            <w:tcW w:w="4720" w:type="dxa"/>
            <w:vAlign w:val="bottom"/>
          </w:tcPr>
          <w:p>
            <w:pPr>
              <w:ind w:left="20"/>
              <w:spacing w:after="0"/>
              <w:rPr>
                <w:sz w:val="20"/>
                <w:szCs w:val="20"/>
                <w:color w:val="auto"/>
              </w:rPr>
            </w:pPr>
            <w:r>
              <w:rPr>
                <w:rFonts w:ascii="Arial" w:cs="Arial" w:eastAsia="Arial" w:hAnsi="Arial"/>
                <w:sz w:val="14"/>
                <w:szCs w:val="14"/>
                <w:color w:val="auto"/>
              </w:rPr>
              <w:t>Cost of sales and services ($ in thousands)</w:t>
            </w: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5"/>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Accommodation cost</w:t>
            </w:r>
          </w:p>
        </w:tc>
        <w:tc>
          <w:tcPr>
            <w:tcW w:w="1060" w:type="dxa"/>
            <w:vAlign w:val="bottom"/>
            <w:shd w:val="clear" w:color="auto" w:fill="CCEEFF"/>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63,670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55,065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8,605</w:t>
            </w:r>
          </w:p>
        </w:tc>
      </w:tr>
      <w:tr>
        <w:trPr>
          <w:trHeight w:val="187"/>
        </w:trPr>
        <w:tc>
          <w:tcPr>
            <w:tcW w:w="4720" w:type="dxa"/>
            <w:vAlign w:val="bottom"/>
          </w:tcPr>
          <w:p>
            <w:pPr>
              <w:ind w:left="140"/>
              <w:spacing w:after="0"/>
              <w:rPr>
                <w:sz w:val="20"/>
                <w:szCs w:val="20"/>
                <w:color w:val="auto"/>
              </w:rPr>
            </w:pPr>
            <w:r>
              <w:rPr>
                <w:rFonts w:ascii="Arial" w:cs="Arial" w:eastAsia="Arial" w:hAnsi="Arial"/>
                <w:sz w:val="14"/>
                <w:szCs w:val="14"/>
                <w:color w:val="auto"/>
              </w:rPr>
              <w:t>Food service and other services cost</w:t>
            </w:r>
          </w:p>
        </w:tc>
        <w:tc>
          <w:tcPr>
            <w:tcW w:w="10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110,132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84,836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25,296</w:t>
            </w:r>
          </w:p>
        </w:tc>
      </w:tr>
      <w:tr>
        <w:trPr>
          <w:trHeight w:val="205"/>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w:t>
            </w:r>
          </w:p>
        </w:tc>
        <w:tc>
          <w:tcPr>
            <w:tcW w:w="10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6,646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5,638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1,008</w:t>
            </w:r>
          </w:p>
        </w:tc>
      </w:tr>
      <w:tr>
        <w:trPr>
          <w:trHeight w:val="180"/>
        </w:trPr>
        <w:tc>
          <w:tcPr>
            <w:tcW w:w="4720" w:type="dxa"/>
            <w:vAlign w:val="bottom"/>
          </w:tcPr>
          <w:p>
            <w:pPr>
              <w:ind w:left="320"/>
              <w:spacing w:after="0"/>
              <w:rPr>
                <w:sz w:val="20"/>
                <w:szCs w:val="20"/>
                <w:color w:val="auto"/>
              </w:rPr>
            </w:pPr>
            <w:r>
              <w:rPr>
                <w:rFonts w:ascii="Arial" w:cs="Arial" w:eastAsia="Arial" w:hAnsi="Arial"/>
                <w:sz w:val="14"/>
                <w:szCs w:val="14"/>
                <w:color w:val="auto"/>
              </w:rPr>
              <w:t>Total cost of sales and services</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180,448</w:t>
            </w:r>
          </w:p>
        </w:tc>
        <w:tc>
          <w:tcPr>
            <w:tcW w:w="10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145,539</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34,909</w:t>
            </w:r>
          </w:p>
        </w:tc>
      </w:tr>
      <w:tr>
        <w:trPr>
          <w:trHeight w:val="218"/>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7"/>
        </w:trPr>
        <w:tc>
          <w:tcPr>
            <w:tcW w:w="472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0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29.1 %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18"/>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7"/>
        </w:trPr>
        <w:tc>
          <w:tcPr>
            <w:tcW w:w="4720" w:type="dxa"/>
            <w:vAlign w:val="bottom"/>
          </w:tcPr>
          <w:p>
            <w:pPr>
              <w:ind w:left="20"/>
              <w:spacing w:after="0"/>
              <w:rPr>
                <w:sz w:val="20"/>
                <w:szCs w:val="20"/>
                <w:color w:val="auto"/>
              </w:rPr>
            </w:pPr>
            <w:r>
              <w:rPr>
                <w:rFonts w:ascii="Arial" w:cs="Arial" w:eastAsia="Arial" w:hAnsi="Arial"/>
                <w:sz w:val="14"/>
                <w:szCs w:val="14"/>
                <w:color w:val="auto"/>
              </w:rPr>
              <w:t xml:space="preserve">Average daily rate for villages </w:t>
            </w:r>
            <w:r>
              <w:rPr>
                <w:rFonts w:ascii="Arial" w:cs="Arial" w:eastAsia="Arial" w:hAnsi="Arial"/>
                <w:sz w:val="9"/>
                <w:szCs w:val="9"/>
                <w:color w:val="auto"/>
              </w:rPr>
              <w:t>(3)</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w:t>
            </w:r>
          </w:p>
        </w:tc>
      </w:tr>
      <w:tr>
        <w:trPr>
          <w:trHeight w:val="218"/>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7"/>
        </w:trPr>
        <w:tc>
          <w:tcPr>
            <w:tcW w:w="4720" w:type="dxa"/>
            <w:vAlign w:val="bottom"/>
          </w:tcPr>
          <w:p>
            <w:pPr>
              <w:ind w:left="20"/>
              <w:spacing w:after="0"/>
              <w:rPr>
                <w:sz w:val="20"/>
                <w:szCs w:val="20"/>
                <w:color w:val="auto"/>
              </w:rPr>
            </w:pPr>
            <w:r>
              <w:rPr>
                <w:rFonts w:ascii="Arial" w:cs="Arial" w:eastAsia="Arial" w:hAnsi="Arial"/>
                <w:sz w:val="14"/>
                <w:szCs w:val="14"/>
                <w:color w:val="auto"/>
              </w:rPr>
              <w:t xml:space="preserve">Total billed rooms for villages </w:t>
            </w:r>
            <w:r>
              <w:rPr>
                <w:rFonts w:ascii="Arial" w:cs="Arial" w:eastAsia="Arial" w:hAnsi="Arial"/>
                <w:sz w:val="9"/>
                <w:szCs w:val="9"/>
                <w:color w:val="auto"/>
              </w:rPr>
              <w:t>(4)</w:t>
            </w:r>
          </w:p>
        </w:tc>
        <w:tc>
          <w:tcPr>
            <w:tcW w:w="10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w w:val="89"/>
              </w:rPr>
              <w:t>1,734,004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1,505,143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228,861</w:t>
            </w:r>
          </w:p>
        </w:tc>
      </w:tr>
      <w:tr>
        <w:trPr>
          <w:trHeight w:val="218"/>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8"/>
        </w:trPr>
        <w:tc>
          <w:tcPr>
            <w:tcW w:w="4720" w:type="dxa"/>
            <w:vAlign w:val="bottom"/>
          </w:tcPr>
          <w:p>
            <w:pPr>
              <w:ind w:left="20"/>
              <w:spacing w:after="0"/>
              <w:rPr>
                <w:sz w:val="20"/>
                <w:szCs w:val="20"/>
                <w:color w:val="auto"/>
              </w:rPr>
            </w:pPr>
            <w:r>
              <w:rPr>
                <w:rFonts w:ascii="Arial" w:cs="Arial" w:eastAsia="Arial" w:hAnsi="Arial"/>
                <w:sz w:val="14"/>
                <w:szCs w:val="14"/>
                <w:color w:val="auto"/>
              </w:rPr>
              <w:t>Australian dollar to U.S. dollar</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0.669</w:t>
            </w:r>
          </w:p>
        </w:tc>
        <w:tc>
          <w:tcPr>
            <w:tcW w:w="10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0.707</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90"/>
              <w:spacing w:after="0"/>
              <w:rPr>
                <w:sz w:val="20"/>
                <w:szCs w:val="20"/>
                <w:color w:val="auto"/>
              </w:rPr>
            </w:pPr>
            <w:r>
              <w:rPr>
                <w:rFonts w:ascii="Arial" w:cs="Arial" w:eastAsia="Arial" w:hAnsi="Arial"/>
                <w:sz w:val="14"/>
                <w:szCs w:val="14"/>
                <w:color w:val="auto"/>
              </w:rPr>
              <w:t>(0.038)</w:t>
            </w:r>
          </w:p>
        </w:tc>
      </w:tr>
    </w:tbl>
    <w:p>
      <w:pPr>
        <w:spacing w:after="0" w:line="289" w:lineRule="exact"/>
        <w:rPr>
          <w:sz w:val="20"/>
          <w:szCs w:val="20"/>
          <w:color w:val="auto"/>
        </w:rPr>
      </w:pPr>
    </w:p>
    <w:p>
      <w:pPr>
        <w:ind w:left="300" w:hanging="295"/>
        <w:spacing w:after="0"/>
        <w:tabs>
          <w:tab w:leader="none" w:pos="30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village rooms and hospitality services for owned rooms for the periods presented.</w:t>
      </w:r>
    </w:p>
    <w:p>
      <w:pPr>
        <w:spacing w:after="0" w:line="1"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and other services, including facilities management for the periods presented.</w:t>
      </w:r>
    </w:p>
    <w:p>
      <w:pPr>
        <w:spacing w:after="0" w:line="1"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1"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Billed rooms represent total billed days for owned assets for the periods presented.</w:t>
      </w:r>
    </w:p>
    <w:p>
      <w:pPr>
        <w:spacing w:after="0" w:line="223"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Our Australian segment reported revenues in the nine months ended September 30, 2023 that were $42.3 million, or 21%, higher than the nine months ended September 30, 2022. The weakening of the average exchange rate for Australian dollars relative to the U.S. dollar by 5.4% in the nine months ended September 30, 2023 compared to the nine months ended September 30, 2022 resulted in a $14.1 million period-over-period decrease in revenues. On a constant currency basis, the Australian segment experienced a 27% period-over-period increase in revenues. Excluding the impact of the weaker Australian exchange rate, the increase in the Australian segment was driven by increased activity at our Civeo owned villages in the Bowen Basin and Gunnedah Basin and our integrated services villages in Western Australia.</w:t>
      </w:r>
    </w:p>
    <w:p>
      <w:pPr>
        <w:spacing w:after="0" w:line="205"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Our Australian segment cost of sales and services increased $34.9 million, or 24%, in the nine months ended September 30, 2023 compared to the nine months ended September 30, 2022. The weakening of the average exchange rate for Australian dollars relative to the U.S. dollar by 5.4% in the nine months ended September 30, 2023 compared to the nine months ended September 30, 2022 resulted in a $10.3 million period-over-period decrease in cost of sales and services. Excluding the impact of the weaker Australian exchange rate, the increase in cost of sales and services was largely driven by increased occupancy at our Civeo owned villages in the Bowen Basin and Gunnedah Basin and our integrated services villages in Western Australia and increased operating costs due to inflationary pressures.</w:t>
      </w:r>
    </w:p>
    <w:p>
      <w:pPr>
        <w:spacing w:after="0" w:line="20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Our Australian segment gross margin as a percentage of revenues decreased to 27.1% in the nine months ended September 30, 2023 from 29.1% in the nine months ended September 30, 2022. This was primarily driven by an increased relative revenue contribution from our integrated services business, which has a service-only business model, and therefore generates lower overall gross margins than our accommodation business and increased operating costs due to inflationary pressures, partially offset by improved margins at Civeo owned villages in the Bowen Basin and Gunnedah Basin due to improved efficiencies as a result of increased activity.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5"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hospitality services, developing new lodges and villages and purchasing or leasing land, to pay dividends, to repurchase common shares and for general working capital needs. In addition, capital has been used to repay debt and fund strategic business acquisitions. In the future, capital may be required to move lodges from one site to another. Historically, our primary sources of funds have been available cash, cash flow from operations, borrowings under our Credit Agreement and proceeds from equity issuances. In the future, we may seek to access the debt and equity capital markets from time to time to raise additional capital, increase liquidity, fund acquisitions or refinance debt.</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consolidated liquidity position as of September 30, 2023 and December 31, 2022 (in thousands):</w:t>
      </w:r>
    </w:p>
    <w:p>
      <w:pPr>
        <w:spacing w:after="0" w:line="43"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7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5"/>
                <w:szCs w:val="15"/>
                <w:color w:val="auto"/>
              </w:rPr>
            </w:pPr>
          </w:p>
        </w:tc>
        <w:tc>
          <w:tcPr>
            <w:tcW w:w="1560" w:type="dxa"/>
            <w:vAlign w:val="bottom"/>
          </w:tcPr>
          <w:p>
            <w:pPr>
              <w:jc w:val="right"/>
              <w:ind w:right="250"/>
              <w:spacing w:after="0"/>
              <w:rPr>
                <w:sz w:val="20"/>
                <w:szCs w:val="20"/>
                <w:color w:val="auto"/>
              </w:rPr>
            </w:pPr>
            <w:r>
              <w:rPr>
                <w:rFonts w:ascii="Arial" w:cs="Arial" w:eastAsia="Arial" w:hAnsi="Arial"/>
                <w:sz w:val="14"/>
                <w:szCs w:val="14"/>
                <w:b w:val="1"/>
                <w:bCs w:val="1"/>
                <w:color w:val="auto"/>
                <w:w w:val="96"/>
              </w:rPr>
              <w:t>December 31, 2022</w:t>
            </w:r>
          </w:p>
        </w:tc>
      </w:tr>
      <w:tr>
        <w:trPr>
          <w:trHeight w:val="23"/>
        </w:trPr>
        <w:tc>
          <w:tcPr>
            <w:tcW w:w="7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Lender commitments</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r>
      <w:tr>
        <w:trPr>
          <w:trHeight w:val="187"/>
        </w:trPr>
        <w:tc>
          <w:tcPr>
            <w:tcW w:w="7140" w:type="dxa"/>
            <w:vAlign w:val="bottom"/>
          </w:tcPr>
          <w:p>
            <w:pPr>
              <w:ind w:left="140"/>
              <w:spacing w:after="0"/>
              <w:rPr>
                <w:sz w:val="20"/>
                <w:szCs w:val="20"/>
                <w:color w:val="auto"/>
              </w:rPr>
            </w:pPr>
            <w:r>
              <w:rPr>
                <w:rFonts w:ascii="Arial" w:cs="Arial" w:eastAsia="Arial" w:hAnsi="Arial"/>
                <w:sz w:val="14"/>
                <w:szCs w:val="14"/>
                <w:color w:val="auto"/>
              </w:rPr>
              <w:t>Borrowings against revolving credit capacity</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(95,852)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(102,505)</w:t>
            </w:r>
          </w:p>
        </w:tc>
      </w:tr>
      <w:tr>
        <w:trPr>
          <w:trHeight w:val="205"/>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Outstanding letters of credit</w:t>
            </w: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(1,365)</w:t>
            </w:r>
          </w:p>
        </w:tc>
      </w:tr>
      <w:tr>
        <w:trPr>
          <w:trHeight w:val="180"/>
        </w:trPr>
        <w:tc>
          <w:tcPr>
            <w:tcW w:w="7140" w:type="dxa"/>
            <w:vAlign w:val="bottom"/>
          </w:tcPr>
          <w:p>
            <w:pPr>
              <w:ind w:left="20"/>
              <w:spacing w:after="0"/>
              <w:rPr>
                <w:sz w:val="20"/>
                <w:szCs w:val="20"/>
                <w:color w:val="auto"/>
              </w:rPr>
            </w:pPr>
            <w:r>
              <w:rPr>
                <w:rFonts w:ascii="Arial" w:cs="Arial" w:eastAsia="Arial" w:hAnsi="Arial"/>
                <w:sz w:val="14"/>
                <w:szCs w:val="14"/>
                <w:color w:val="auto"/>
              </w:rPr>
              <w:t>Unused availability</w:t>
            </w:r>
          </w:p>
        </w:tc>
        <w:tc>
          <w:tcPr>
            <w:tcW w:w="180" w:type="dxa"/>
            <w:vAlign w:val="bottom"/>
          </w:tcPr>
          <w:p>
            <w:pPr>
              <w:spacing w:after="0"/>
              <w:rPr>
                <w:sz w:val="15"/>
                <w:szCs w:val="15"/>
                <w:color w:val="auto"/>
              </w:rPr>
            </w:pPr>
          </w:p>
        </w:tc>
        <w:tc>
          <w:tcPr>
            <w:tcW w:w="1580" w:type="dxa"/>
            <w:vAlign w:val="bottom"/>
          </w:tcPr>
          <w:p>
            <w:pPr>
              <w:jc w:val="right"/>
              <w:ind w:right="10"/>
              <w:spacing w:after="0"/>
              <w:rPr>
                <w:sz w:val="20"/>
                <w:szCs w:val="20"/>
                <w:color w:val="auto"/>
              </w:rPr>
            </w:pPr>
            <w:r>
              <w:rPr>
                <w:rFonts w:ascii="Arial" w:cs="Arial" w:eastAsia="Arial" w:hAnsi="Arial"/>
                <w:sz w:val="14"/>
                <w:szCs w:val="14"/>
                <w:color w:val="auto"/>
              </w:rPr>
              <w:t>102,781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96,130</w:t>
            </w:r>
          </w:p>
        </w:tc>
      </w:tr>
      <w:tr>
        <w:trPr>
          <w:trHeight w:val="198"/>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7,817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7,954</w:t>
            </w:r>
          </w:p>
        </w:tc>
      </w:tr>
      <w:tr>
        <w:trPr>
          <w:trHeight w:val="196"/>
        </w:trPr>
        <w:tc>
          <w:tcPr>
            <w:tcW w:w="7140" w:type="dxa"/>
            <w:vAlign w:val="bottom"/>
          </w:tcPr>
          <w:p>
            <w:pPr>
              <w:ind w:left="20"/>
              <w:spacing w:after="0"/>
              <w:rPr>
                <w:sz w:val="20"/>
                <w:szCs w:val="20"/>
                <w:color w:val="auto"/>
              </w:rPr>
            </w:pPr>
            <w:r>
              <w:rPr>
                <w:rFonts w:ascii="Arial" w:cs="Arial" w:eastAsia="Arial" w:hAnsi="Arial"/>
                <w:sz w:val="14"/>
                <w:szCs w:val="14"/>
                <w:color w:val="auto"/>
              </w:rPr>
              <w:t>Total available liquidity</w:t>
            </w: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110,598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104,084</w:t>
            </w:r>
          </w:p>
        </w:tc>
      </w:tr>
      <w:tr>
        <w:trPr>
          <w:trHeight w:val="20"/>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Cash totaling $56.6 million was provided by operations during the nine months ended September 30, 2023, compared to $62.4 million provided by operations during the nine months ended September 30, 2022. During the nine months ended September 30, 2023 and 2022, $20.0 million and $29.9 million was used in working capital, respectively. The year-over-over decrease in cash used in working capital in 2023 compared to 2022 is largely due to payments received from a customer for village enhancements in Australia and a payment received from a customer related to an asset transportation contract, partially offset by the timing of payments during the nine months ended September 30, 2023 compared to the nine months ended September 30, 2022.</w:t>
      </w:r>
    </w:p>
    <w:p>
      <w:pPr>
        <w:spacing w:after="0" w:line="192"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Cash was used in investing activities during the nine months ended September 30, 2023 in the amount of $14.1 million, compared to cash used in investing activities during the nine months ended September 30, 2022 in the amount of $5.3 million. The increase in cash used in investing activities was primarily due to higher capital expenditures and lower proceeds from the sale of property, plant and equipment. Capital expenditures totaled $21.2 million and $17.5 million during the nine months ended September 30, 2023 and 2022, respectively. Capital expenditures in both periods were primarily related to maintenance. We received proceeds from the sale of property, plant and equipment of $7.1 million during the nine months ended September 30, 2023 primarily related to the sale of our McClelland Lake Lodge accommodation assets in Canada and Acadian Acres accommodation assets in the U.S., compared to $12.0 million during the nine months ended September 30, 2022 primarily related to the sale of our Kambalda village and undeveloped land holdings in Australia, unused corporate office space and various mobile assets in Canada and our wellsite business in the U.S.</w:t>
      </w:r>
    </w:p>
    <w:p>
      <w:pPr>
        <w:spacing w:after="0" w:line="197"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We expect our capital expenditures for 2023 to be in the range of $35 million to $40 million, which excludes any unannounced and uncommitted projects, the spending for which is contingent on obtaining customer contracts or commitments. Whether planned expenditures will actually be spent in 2023 depends on industry 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 pursue should the transaction economics be attractive enough to us compared to the current capital allocation priorities of debt reduction and return of capital to shareholders. We continue to monitor the global economy, commodity prices, demand for crude oil, met coal, LNG and iron ore, inflation and the resultant impact on the capital spending plans of our customers in order to plan our business activities, and we may adjust our capital expenditure plans in the future.</w:t>
      </w:r>
    </w:p>
    <w:p>
      <w:pPr>
        <w:spacing w:after="0" w:line="17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Net cash of $42.0 million was used in financing activities during the nine months ended September 30, 2023 primarily due to term loan repayments of $22.3 million, repurchases of our common shares of $9.2 million, net repayments under our revolving credit facilities of $6.7 million and dividend payments of $3.7 million. Net cash of $53.1 million was used in financing activities during the nine months ended September 30, 2022 primarily due to net repayments under our revolving</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1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credit facilities of $14.8 million, term loan repayments of $23.1 million, repurchases of our common shares of $14.2 million and payments to settle tax obligations on vested shares under our share-based compensation plans of $1.0 million.</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changes in debt outstanding during the nine months ended September 30, 2023 (in thousands):</w:t>
      </w:r>
    </w:p>
    <w:p>
      <w:pPr>
        <w:spacing w:after="0" w:line="340" w:lineRule="exact"/>
        <w:rPr>
          <w:sz w:val="20"/>
          <w:szCs w:val="20"/>
          <w:color w:val="auto"/>
        </w:rPr>
      </w:pPr>
    </w:p>
    <w:tbl>
      <w:tblPr>
        <w:tblLayout w:type="fixed"/>
        <w:tblInd w:w="2460" w:type="dxa"/>
        <w:tblCellMar>
          <w:top w:w="0" w:type="dxa"/>
          <w:left w:w="0" w:type="dxa"/>
          <w:bottom w:w="0" w:type="dxa"/>
          <w:right w:w="0" w:type="dxa"/>
        </w:tblCellMar>
      </w:tblPr>
      <w:tr>
        <w:trPr>
          <w:trHeight w:val="196"/>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44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132,037</w:t>
            </w:r>
          </w:p>
        </w:tc>
      </w:tr>
      <w:tr>
        <w:trPr>
          <w:trHeight w:val="187"/>
        </w:trPr>
        <w:tc>
          <w:tcPr>
            <w:tcW w:w="4960" w:type="dxa"/>
            <w:vAlign w:val="bottom"/>
          </w:tcPr>
          <w:p>
            <w:pPr>
              <w:ind w:left="120"/>
              <w:spacing w:after="0"/>
              <w:rPr>
                <w:sz w:val="20"/>
                <w:szCs w:val="20"/>
                <w:color w:val="auto"/>
              </w:rPr>
            </w:pPr>
            <w:r>
              <w:rPr>
                <w:rFonts w:ascii="Arial" w:cs="Arial" w:eastAsia="Arial" w:hAnsi="Arial"/>
                <w:sz w:val="14"/>
                <w:szCs w:val="14"/>
                <w:color w:val="auto"/>
              </w:rPr>
              <w:t>Borrowings under revolving credit facilities</w:t>
            </w: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172,867</w:t>
            </w:r>
          </w:p>
        </w:tc>
      </w:tr>
      <w:tr>
        <w:trPr>
          <w:trHeight w:val="205"/>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Repayments of borrowings under revolving credit facilities</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(179,599)</w:t>
            </w:r>
          </w:p>
        </w:tc>
      </w:tr>
      <w:tr>
        <w:trPr>
          <w:trHeight w:val="187"/>
        </w:trPr>
        <w:tc>
          <w:tcPr>
            <w:tcW w:w="4960" w:type="dxa"/>
            <w:vAlign w:val="bottom"/>
          </w:tcPr>
          <w:p>
            <w:pPr>
              <w:ind w:left="120"/>
              <w:spacing w:after="0"/>
              <w:rPr>
                <w:sz w:val="20"/>
                <w:szCs w:val="20"/>
                <w:color w:val="auto"/>
              </w:rPr>
            </w:pPr>
            <w:r>
              <w:rPr>
                <w:rFonts w:ascii="Arial" w:cs="Arial" w:eastAsia="Arial" w:hAnsi="Arial"/>
                <w:sz w:val="14"/>
                <w:szCs w:val="14"/>
                <w:color w:val="auto"/>
              </w:rPr>
              <w:t>Repayments of term loans</w:t>
            </w: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(22,338)</w:t>
            </w:r>
          </w:p>
        </w:tc>
      </w:tr>
      <w:tr>
        <w:trPr>
          <w:trHeight w:val="198"/>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Translation</w:t>
            </w: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r>
      <w:tr>
        <w:trPr>
          <w:trHeight w:val="196"/>
        </w:trPr>
        <w:tc>
          <w:tcPr>
            <w:tcW w:w="4960" w:type="dxa"/>
            <w:vAlign w:val="bottom"/>
          </w:tcPr>
          <w:p>
            <w:pPr>
              <w:ind w:left="20"/>
              <w:spacing w:after="0"/>
              <w:rPr>
                <w:sz w:val="20"/>
                <w:szCs w:val="20"/>
                <w:color w:val="auto"/>
              </w:rPr>
            </w:pPr>
            <w:r>
              <w:rPr>
                <w:rFonts w:ascii="Arial" w:cs="Arial" w:eastAsia="Arial" w:hAnsi="Arial"/>
                <w:sz w:val="14"/>
                <w:szCs w:val="14"/>
                <w:color w:val="auto"/>
              </w:rPr>
              <w:t>Balance at September 30, 2023</w:t>
            </w:r>
          </w:p>
        </w:tc>
        <w:tc>
          <w:tcPr>
            <w:tcW w:w="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103,248</w:t>
            </w:r>
          </w:p>
        </w:tc>
      </w:tr>
      <w:tr>
        <w:trPr>
          <w:trHeight w:val="20"/>
        </w:trPr>
        <w:tc>
          <w:tcPr>
            <w:tcW w:w="4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We believe that cash on hand and cash flow from operations will be sufficient to meet our anticipated liquidity needs for the next 12 months. If our plans or assumptions change, including as a result of changes in our customers' capital spending or changes in the price of and demand for natural resources, or are inaccurate, or if we make acquisitions, we may need to raise 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195"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In August 2023, our Board authorized a common share repurchase program to repurchase up to 5.0% of our total common shares which are issued and outstanding, or 742,134 common shares, over a twelve month period. In addition, on September 5, 2023, our Board declared a quarterly dividend of $0.25 per common share to shareholders of record as of close of business on September 15, 2023. The total cash payment of $3.7 million was paid on September 29, 2023. The dividend is an eligible dividend pursuant to the Income Tax Act (Canada). See Note 11 – Share Repurchase Programs and Dividends to the notes to the unaudited consolidated financial statements included in Item 1 of this quarterly report for further discussion.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Agreement</w:t>
      </w:r>
    </w:p>
    <w:p>
      <w:pPr>
        <w:spacing w:after="0" w:line="25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As of September 30, 2023, our Credit Agreement (as then amended to date, the Credit Agreement) provided for: (i)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and (ii) a C$100.0 million term loan facility scheduled to be fully repaid on December 31, 2023 in favor of Civeo.</w:t>
      </w:r>
    </w:p>
    <w:p>
      <w:pPr>
        <w:spacing w:after="0" w:line="2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September 30, 2023, we had outstanding letters of credit of $0.3 million under the U.S. facility, zero under the Australian facility and $1.1 million under the Canadian facility. We also had outstanding bank guarantees of A$0.8 million under the Australian facility.</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See Note 7 – Debt to the notes to the unaudited consolidated financial statements included in Item 1 of this quarterly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55"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We intend to pay regular quarterly dividends on our common shares, with all future dividend payments subject to quarterly review and approval by our Board. 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Credit Agreement. Future agreements may also limit our ability to pay dividends, and we may incur incremental taxes if we are required to repatriate foreign earnings to pay such dividends. The amount per share of our dividend payments may be changed, or dividends may be suspended, without advance notice. The likelihood that dividends will be reduced or suspended is increased during periods of market weakness. There can be no assurance that we will continue to pay a dividend in the future.</w:t>
      </w:r>
    </w:p>
    <w:p>
      <w:pPr>
        <w:spacing w:after="0" w:line="197"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The preferred shares we issued in the Noralta acquisition were entitled to receive a 2% annual dividend on the liquidation preference (initially $10,000 per share), paid quarterly in cash or, at our option, by increasing the preferred shares’ liquidation preference, or any combination thereof. Following the repurchase and conversion of our outstanding preferred shares in the fourth quarter of 2022, no further dividends on the preferred shares will be paid.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2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2022. These estimates require significant judgments, assumptions and estimates. We have discussed the development, selection and disclosure of these critical accounting policies and estimates with the audit committee of our Board.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principal market risks are our exposure to changes in interest rates and foreign currency exchange rates.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have credit facilities that are subject to the risk of higher interest charges associated with increases in interest rates. As of September 30, 2023, we had $103.2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$1.0 million annually, based on our floating-rate debt obligations and interest rates in effect as of September 30, 2023.</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29"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C$198 million and A$211 million, respectively, at September 30, 2023. We use a sensitivity analysis model to measure the impact of a 10% adverse movement of foreign currency exchange rates against the U.S. dollar. A hypothetical 10% adverse change in the value of the Canadian dollar and Australian dollar relative to the U.S. dollar as of September 30, 2023 would result in translation adjustments of approximately $20 million and $21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9" w:lineRule="exact"/>
        <w:rPr>
          <w:sz w:val="20"/>
          <w:szCs w:val="20"/>
          <w:color w:val="auto"/>
        </w:rPr>
      </w:pPr>
    </w:p>
    <w:p>
      <w:pPr>
        <w:jc w:val="both"/>
        <w:ind w:firstLine="470"/>
        <w:spacing w:after="0" w:line="302" w:lineRule="auto"/>
        <w:rPr>
          <w:sz w:val="20"/>
          <w:szCs w:val="20"/>
          <w:color w:val="auto"/>
        </w:rPr>
      </w:pPr>
      <w:r>
        <w:rPr>
          <w:rFonts w:ascii="Arial" w:cs="Arial" w:eastAsia="Arial" w:hAnsi="Arial"/>
          <w:sz w:val="15"/>
          <w:szCs w:val="15"/>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September 30, 2023, at the reasonable assurance level.</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9"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During the three months ended September 30, 2023,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11"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PART II --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jc w:val="both"/>
        <w:ind w:right="100" w:firstLine="314"/>
        <w:spacing w:after="0" w:line="280"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29"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For additional information about our risk factors, you should carefully read the section entitled "Risk Factors” included in our Annual Report on Form 10-K for the year ended December 31,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Unregistered Sales of Equity Securities and Use of Proceeds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about purchases of our common shares during the three months ended September 30, 2023.</w:t>
      </w:r>
    </w:p>
    <w:p>
      <w:pPr>
        <w:spacing w:after="0" w:line="260"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20" w:type="dxa"/>
            <w:vAlign w:val="bottom"/>
          </w:tcPr>
          <w:p>
            <w:pPr>
              <w:jc w:val="center"/>
              <w:ind w:left="82"/>
              <w:spacing w:after="0"/>
              <w:rPr>
                <w:sz w:val="20"/>
                <w:szCs w:val="20"/>
                <w:color w:val="auto"/>
              </w:rPr>
            </w:pPr>
            <w:r>
              <w:rPr>
                <w:rFonts w:ascii="Arial" w:cs="Arial" w:eastAsia="Arial" w:hAnsi="Arial"/>
                <w:sz w:val="16"/>
                <w:szCs w:val="16"/>
                <w:b w:val="1"/>
                <w:bCs w:val="1"/>
                <w:color w:val="auto"/>
                <w:w w:val="87"/>
              </w:rPr>
              <w:t>Total number of shares</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0"/>
              </w:rPr>
              <w:t>Maximum number of</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74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Total Number of</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w w:val="88"/>
              </w:rPr>
              <w:t>Average Price Paid</w:t>
            </w:r>
          </w:p>
        </w:tc>
        <w:tc>
          <w:tcPr>
            <w:tcW w:w="2020" w:type="dxa"/>
            <w:vAlign w:val="bottom"/>
          </w:tcPr>
          <w:p>
            <w:pPr>
              <w:jc w:val="center"/>
              <w:ind w:left="82"/>
              <w:spacing w:after="0" w:line="157" w:lineRule="exact"/>
              <w:rPr>
                <w:sz w:val="20"/>
                <w:szCs w:val="20"/>
                <w:color w:val="auto"/>
              </w:rPr>
            </w:pPr>
            <w:r>
              <w:rPr>
                <w:rFonts w:ascii="Arial" w:cs="Arial" w:eastAsia="Arial" w:hAnsi="Arial"/>
                <w:sz w:val="16"/>
                <w:szCs w:val="16"/>
                <w:b w:val="1"/>
                <w:bCs w:val="1"/>
                <w:color w:val="auto"/>
                <w:w w:val="87"/>
              </w:rPr>
              <w:t>purchased as part of</w:t>
            </w:r>
          </w:p>
        </w:tc>
        <w:tc>
          <w:tcPr>
            <w:tcW w:w="164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6"/>
              </w:rPr>
              <w:t>shares that may be</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020" w:type="dxa"/>
            <w:vAlign w:val="bottom"/>
          </w:tcPr>
          <w:p>
            <w:pPr>
              <w:jc w:val="center"/>
              <w:ind w:left="82"/>
              <w:spacing w:after="0" w:line="157" w:lineRule="exact"/>
              <w:rPr>
                <w:sz w:val="20"/>
                <w:szCs w:val="20"/>
                <w:color w:val="auto"/>
              </w:rPr>
            </w:pPr>
            <w:r>
              <w:rPr>
                <w:rFonts w:ascii="Arial" w:cs="Arial" w:eastAsia="Arial" w:hAnsi="Arial"/>
                <w:sz w:val="16"/>
                <w:szCs w:val="16"/>
                <w:b w:val="1"/>
                <w:bCs w:val="1"/>
                <w:color w:val="auto"/>
                <w:w w:val="86"/>
              </w:rPr>
              <w:t>publicly announced plans</w:t>
            </w:r>
          </w:p>
        </w:tc>
        <w:tc>
          <w:tcPr>
            <w:tcW w:w="164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7"/>
              </w:rPr>
              <w:t>purchased under the</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Shares Purchased</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502"/>
              <w:spacing w:after="0"/>
              <w:rPr>
                <w:sz w:val="20"/>
                <w:szCs w:val="20"/>
                <w:color w:val="auto"/>
              </w:rPr>
            </w:pPr>
            <w:r>
              <w:rPr>
                <w:rFonts w:ascii="Arial" w:cs="Arial" w:eastAsia="Arial" w:hAnsi="Arial"/>
                <w:sz w:val="16"/>
                <w:szCs w:val="16"/>
                <w:b w:val="1"/>
                <w:bCs w:val="1"/>
                <w:color w:val="auto"/>
              </w:rPr>
              <w:t>per Share</w:t>
            </w:r>
          </w:p>
        </w:tc>
        <w:tc>
          <w:tcPr>
            <w:tcW w:w="2020" w:type="dxa"/>
            <w:vAlign w:val="bottom"/>
          </w:tcPr>
          <w:p>
            <w:pPr>
              <w:jc w:val="center"/>
              <w:ind w:left="62"/>
              <w:spacing w:after="0"/>
              <w:rPr>
                <w:sz w:val="20"/>
                <w:szCs w:val="20"/>
                <w:color w:val="auto"/>
              </w:rPr>
            </w:pPr>
            <w:r>
              <w:rPr>
                <w:rFonts w:ascii="Arial" w:cs="Arial" w:eastAsia="Arial" w:hAnsi="Arial"/>
                <w:sz w:val="16"/>
                <w:szCs w:val="16"/>
                <w:b w:val="1"/>
                <w:bCs w:val="1"/>
                <w:color w:val="auto"/>
                <w:w w:val="89"/>
              </w:rPr>
              <w:t>or programs</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6"/>
              </w:rPr>
              <w:t>plans or programs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1, 2023 - July 31, 2023</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19.66</w:t>
            </w:r>
          </w:p>
        </w:tc>
        <w:tc>
          <w:tcPr>
            <w:tcW w:w="2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20,500</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284,236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20"/>
              <w:spacing w:after="0"/>
              <w:rPr>
                <w:sz w:val="20"/>
                <w:szCs w:val="20"/>
                <w:color w:val="auto"/>
              </w:rPr>
            </w:pPr>
            <w:r>
              <w:rPr>
                <w:rFonts w:ascii="Arial" w:cs="Arial" w:eastAsia="Arial" w:hAnsi="Arial"/>
                <w:sz w:val="16"/>
                <w:szCs w:val="16"/>
                <w:color w:val="auto"/>
              </w:rPr>
              <w:t>August 1, 2023 - August 31, 2023</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742,134</w:t>
            </w:r>
          </w:p>
        </w:tc>
        <w:tc>
          <w:tcPr>
            <w:tcW w:w="30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1, 2023 - September 30, 2023</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41,844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20.24</w:t>
            </w:r>
          </w:p>
        </w:tc>
        <w:tc>
          <w:tcPr>
            <w:tcW w:w="2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41,844</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700,290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rPr>
                <w:sz w:val="20"/>
                <w:szCs w:val="20"/>
                <w:color w:val="auto"/>
              </w:rPr>
            </w:pPr>
            <w:r>
              <w:rPr>
                <w:rFonts w:ascii="Arial" w:cs="Arial" w:eastAsia="Arial" w:hAnsi="Arial"/>
                <w:sz w:val="16"/>
                <w:szCs w:val="16"/>
                <w:color w:val="auto"/>
              </w:rPr>
              <w:t>Total</w:t>
            </w:r>
          </w:p>
        </w:tc>
        <w:tc>
          <w:tcPr>
            <w:tcW w:w="1740" w:type="dxa"/>
            <w:vAlign w:val="bottom"/>
          </w:tcPr>
          <w:p>
            <w:pPr>
              <w:jc w:val="right"/>
              <w:spacing w:after="0"/>
              <w:rPr>
                <w:sz w:val="20"/>
                <w:szCs w:val="20"/>
                <w:color w:val="auto"/>
              </w:rPr>
            </w:pPr>
            <w:r>
              <w:rPr>
                <w:rFonts w:ascii="Arial" w:cs="Arial" w:eastAsia="Arial" w:hAnsi="Arial"/>
                <w:sz w:val="16"/>
                <w:szCs w:val="16"/>
                <w:color w:val="auto"/>
              </w:rPr>
              <w:t>62,344</w:t>
            </w:r>
          </w:p>
        </w:tc>
        <w:tc>
          <w:tcPr>
            <w:tcW w:w="3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42"/>
              <w:spacing w:after="0"/>
              <w:rPr>
                <w:sz w:val="20"/>
                <w:szCs w:val="20"/>
                <w:color w:val="auto"/>
              </w:rPr>
            </w:pPr>
            <w:r>
              <w:rPr>
                <w:rFonts w:ascii="Arial" w:cs="Arial" w:eastAsia="Arial" w:hAnsi="Arial"/>
                <w:sz w:val="16"/>
                <w:szCs w:val="16"/>
                <w:color w:val="auto"/>
              </w:rPr>
              <w:t>20.05</w:t>
            </w:r>
          </w:p>
        </w:tc>
        <w:tc>
          <w:tcPr>
            <w:tcW w:w="2020" w:type="dxa"/>
            <w:vAlign w:val="bottom"/>
          </w:tcPr>
          <w:p>
            <w:pPr>
              <w:jc w:val="right"/>
              <w:ind w:right="42"/>
              <w:spacing w:after="0"/>
              <w:rPr>
                <w:sz w:val="20"/>
                <w:szCs w:val="20"/>
                <w:color w:val="auto"/>
              </w:rPr>
            </w:pPr>
            <w:r>
              <w:rPr>
                <w:rFonts w:ascii="Arial" w:cs="Arial" w:eastAsia="Arial" w:hAnsi="Arial"/>
                <w:sz w:val="16"/>
                <w:szCs w:val="16"/>
                <w:color w:val="auto"/>
              </w:rPr>
              <w:t>62,344</w:t>
            </w:r>
          </w:p>
        </w:tc>
        <w:tc>
          <w:tcPr>
            <w:tcW w:w="1640" w:type="dxa"/>
            <w:vAlign w:val="bottom"/>
          </w:tcPr>
          <w:p>
            <w:pPr>
              <w:jc w:val="right"/>
              <w:spacing w:after="0"/>
              <w:rPr>
                <w:sz w:val="20"/>
                <w:szCs w:val="20"/>
                <w:color w:val="auto"/>
              </w:rPr>
            </w:pPr>
            <w:r>
              <w:rPr>
                <w:rFonts w:ascii="Arial" w:cs="Arial" w:eastAsia="Arial" w:hAnsi="Arial"/>
                <w:sz w:val="16"/>
                <w:szCs w:val="16"/>
                <w:color w:val="auto"/>
              </w:rPr>
              <w:t>700,290</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ind w:left="320" w:right="100" w:hanging="315"/>
        <w:spacing w:after="0" w:line="239" w:lineRule="auto"/>
        <w:tabs>
          <w:tab w:leader="none" w:pos="308"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In August 2022, our Board authorized a common share repurchase program (the 2022 Share Repurchase Program), which expired in August 2023, to repurchase up to 5.0% of our total common shares which are issued and outstanding, or 685,614 common shares, over a twelve month period. We repurchased an aggregate of 20,500 of our common shares outstanding for approximately $0.4 million under the 2022 Share Repurchase Program during the three months ended September 30, 2023.</w:t>
      </w:r>
    </w:p>
    <w:p>
      <w:pPr>
        <w:spacing w:after="0" w:line="1" w:lineRule="exact"/>
        <w:rPr>
          <w:rFonts w:ascii="Arial" w:cs="Arial" w:eastAsia="Arial" w:hAnsi="Arial"/>
          <w:sz w:val="23"/>
          <w:szCs w:val="23"/>
          <w:color w:val="auto"/>
          <w:vertAlign w:val="superscript"/>
        </w:rPr>
      </w:pPr>
    </w:p>
    <w:p>
      <w:pPr>
        <w:jc w:val="both"/>
        <w:ind w:left="320" w:right="100" w:hanging="315"/>
        <w:spacing w:after="0" w:line="235" w:lineRule="auto"/>
        <w:tabs>
          <w:tab w:leader="none" w:pos="308"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In August 2023, our Board authorized a new common share repurchase program, (the 2023 Share Repurchase Program), which expires August 2024, to repurchase up to 5.0% of our total common shares which are issued and outstanding, or 742,134 common shares over a twelve month period. We repurchased an aggregate of 41,844 of our common shares outstanding for approximately $0.8 million under the 2023 Share Repurchase Program during the three months ended September 30, 2023.</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8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255" w:lineRule="exact"/>
        <w:rPr>
          <w:sz w:val="20"/>
          <w:szCs w:val="20"/>
          <w:color w:val="auto"/>
        </w:rPr>
      </w:pPr>
    </w:p>
    <w:p>
      <w:pPr>
        <w:ind w:left="620" w:hanging="459"/>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INDEX OF EXHIBITS</w:t>
      </w:r>
    </w:p>
    <w:p>
      <w:pPr>
        <w:spacing w:after="0" w:line="47" w:lineRule="exact"/>
        <w:rPr>
          <w:sz w:val="20"/>
          <w:szCs w:val="20"/>
          <w:color w:val="auto"/>
        </w:rPr>
      </w:pPr>
    </w:p>
    <w:p>
      <w:pPr>
        <w:ind w:left="460"/>
        <w:spacing w:after="0"/>
        <w:tabs>
          <w:tab w:leader="none" w:pos="5460" w:val="left"/>
        </w:tabs>
        <w:rPr>
          <w:sz w:val="20"/>
          <w:szCs w:val="20"/>
          <w:color w:val="auto"/>
        </w:rPr>
      </w:pPr>
      <w:r>
        <w:rPr>
          <w:rFonts w:ascii="Arial" w:cs="Arial" w:eastAsia="Arial" w:hAnsi="Arial"/>
          <w:sz w:val="17"/>
          <w:szCs w:val="17"/>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00" w:lineRule="exact"/>
        <w:rPr>
          <w:sz w:val="20"/>
          <w:szCs w:val="20"/>
          <w:color w:val="auto"/>
        </w:rPr>
      </w:pP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940" w:type="dxa"/>
            <w:vAlign w:val="bottom"/>
          </w:tcPr>
          <w:p>
            <w:pPr>
              <w:spacing w:after="0"/>
              <w:rPr>
                <w:sz w:val="20"/>
                <w:szCs w:val="20"/>
                <w:color w:val="auto"/>
              </w:rPr>
            </w:pPr>
            <w:r>
              <w:rPr>
                <w:rFonts w:ascii="Arial" w:cs="Arial" w:eastAsia="Arial" w:hAnsi="Arial"/>
                <w:sz w:val="17"/>
                <w:szCs w:val="17"/>
                <w:color w:val="auto"/>
              </w:rPr>
              <w:t>31.1*</w:t>
            </w:r>
          </w:p>
        </w:tc>
        <w:tc>
          <w:tcPr>
            <w:tcW w:w="8780" w:type="dxa"/>
            <w:vAlign w:val="bottom"/>
            <w:gridSpan w:val="9"/>
          </w:tcPr>
          <w:p>
            <w:pPr>
              <w:ind w:left="200"/>
              <w:spacing w:after="0"/>
              <w:rPr>
                <w:sz w:val="20"/>
                <w:szCs w:val="20"/>
                <w:color w:val="auto"/>
              </w:rPr>
            </w:pPr>
            <w:r>
              <w:rPr>
                <w:rFonts w:ascii="Arial" w:cs="Arial" w:eastAsia="Arial" w:hAnsi="Arial"/>
                <w:sz w:val="17"/>
                <w:szCs w:val="17"/>
                <w:color w:val="auto"/>
                <w:w w:val="99"/>
              </w:rPr>
              <w:t xml:space="preserve">—  </w:t>
            </w:r>
            <w:r>
              <w:rPr>
                <w:rFonts w:ascii="Arial" w:cs="Arial" w:eastAsia="Arial" w:hAnsi="Arial"/>
                <w:sz w:val="17"/>
                <w:szCs w:val="17"/>
                <w:color w:val="0000FF"/>
                <w:w w:val="99"/>
              </w:rPr>
              <w:t>Certification of Chief Executive Officer of Civeo Corporation pursuant to Rules 13a-14(a) or 15d-14(a) under the</w:t>
            </w:r>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60" w:type="dxa"/>
            <w:vAlign w:val="bottom"/>
            <w:tcBorders>
              <w:top w:val="single" w:sz="8" w:color="0000FF"/>
              <w:bottom w:val="single" w:sz="8" w:color="0000FF"/>
            </w:tcBorders>
            <w:gridSpan w:val="2"/>
          </w:tcPr>
          <w:p>
            <w:pPr>
              <w:spacing w:after="0" w:line="163" w:lineRule="exact"/>
              <w:rPr>
                <w:sz w:val="20"/>
                <w:szCs w:val="20"/>
                <w:color w:val="auto"/>
              </w:rPr>
            </w:pPr>
            <w:r>
              <w:rPr>
                <w:rFonts w:ascii="Arial" w:cs="Arial" w:eastAsia="Arial" w:hAnsi="Arial"/>
                <w:sz w:val="17"/>
                <w:szCs w:val="17"/>
                <w:color w:val="0000FF"/>
                <w:w w:val="93"/>
              </w:rPr>
              <w:t>Securities Exchange Act of 1934.</w:t>
            </w:r>
          </w:p>
        </w:tc>
        <w:tc>
          <w:tcPr>
            <w:tcW w:w="582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24"/>
        </w:trPr>
        <w:tc>
          <w:tcPr>
            <w:tcW w:w="940" w:type="dxa"/>
            <w:vAlign w:val="bottom"/>
          </w:tcPr>
          <w:p>
            <w:pPr>
              <w:spacing w:after="0"/>
              <w:rPr>
                <w:sz w:val="20"/>
                <w:szCs w:val="20"/>
                <w:color w:val="auto"/>
              </w:rPr>
            </w:pPr>
            <w:r>
              <w:rPr>
                <w:rFonts w:ascii="Arial" w:cs="Arial" w:eastAsia="Arial" w:hAnsi="Arial"/>
                <w:sz w:val="17"/>
                <w:szCs w:val="17"/>
                <w:color w:val="auto"/>
              </w:rPr>
              <w:t>31.2*</w:t>
            </w:r>
          </w:p>
        </w:tc>
        <w:tc>
          <w:tcPr>
            <w:tcW w:w="8780" w:type="dxa"/>
            <w:vAlign w:val="bottom"/>
            <w:gridSpan w:val="9"/>
          </w:tcPr>
          <w:p>
            <w:pPr>
              <w:ind w:left="200"/>
              <w:spacing w:after="0"/>
              <w:rPr>
                <w:sz w:val="20"/>
                <w:szCs w:val="20"/>
                <w:color w:val="auto"/>
              </w:rPr>
            </w:pPr>
            <w:r>
              <w:rPr>
                <w:rFonts w:ascii="Arial" w:cs="Arial" w:eastAsia="Arial" w:hAnsi="Arial"/>
                <w:sz w:val="17"/>
                <w:szCs w:val="17"/>
                <w:color w:val="auto"/>
                <w:w w:val="99"/>
              </w:rPr>
              <w:t xml:space="preserve">—  </w:t>
            </w:r>
            <w:r>
              <w:rPr>
                <w:rFonts w:ascii="Arial" w:cs="Arial" w:eastAsia="Arial" w:hAnsi="Arial"/>
                <w:sz w:val="17"/>
                <w:szCs w:val="17"/>
                <w:color w:val="0000FF"/>
                <w:w w:val="99"/>
              </w:rPr>
              <w:t>Certification of Chief Financial Officer of Civeo Corporation pursuant to Rules 13a-14(a) or 15d-14(a) under the</w:t>
            </w:r>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0" w:type="dxa"/>
            <w:vAlign w:val="bottom"/>
            <w:tcBorders>
              <w:top w:val="single" w:sz="8" w:color="0000FF"/>
            </w:tcBorders>
            <w:gridSpan w:val="6"/>
          </w:tcPr>
          <w:p>
            <w:pPr>
              <w:spacing w:after="0" w:line="163" w:lineRule="exact"/>
              <w:rPr>
                <w:sz w:val="20"/>
                <w:szCs w:val="20"/>
                <w:color w:val="auto"/>
              </w:rPr>
            </w:pPr>
            <w:r>
              <w:rPr>
                <w:rFonts w:ascii="Arial" w:cs="Arial" w:eastAsia="Arial" w:hAnsi="Arial"/>
                <w:sz w:val="17"/>
                <w:szCs w:val="17"/>
                <w:color w:val="0000FF"/>
              </w:rPr>
              <w:t>Securities Exchange Act of 1934.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4"/>
        </w:trPr>
        <w:tc>
          <w:tcPr>
            <w:tcW w:w="940" w:type="dxa"/>
            <w:vAlign w:val="bottom"/>
          </w:tcPr>
          <w:p>
            <w:pPr>
              <w:spacing w:after="0"/>
              <w:rPr>
                <w:sz w:val="20"/>
                <w:szCs w:val="20"/>
                <w:color w:val="auto"/>
              </w:rPr>
            </w:pPr>
            <w:r>
              <w:rPr>
                <w:rFonts w:ascii="Arial" w:cs="Arial" w:eastAsia="Arial" w:hAnsi="Arial"/>
                <w:sz w:val="17"/>
                <w:szCs w:val="17"/>
                <w:color w:val="auto"/>
              </w:rPr>
              <w:t>32.1**</w:t>
            </w:r>
          </w:p>
        </w:tc>
        <w:tc>
          <w:tcPr>
            <w:tcW w:w="8780" w:type="dxa"/>
            <w:vAlign w:val="bottom"/>
            <w:gridSpan w:val="9"/>
          </w:tcPr>
          <w:p>
            <w:pPr>
              <w:ind w:left="200"/>
              <w:spacing w:after="0"/>
              <w:rPr>
                <w:sz w:val="20"/>
                <w:szCs w:val="20"/>
                <w:color w:val="auto"/>
              </w:rPr>
            </w:pPr>
            <w:r>
              <w:rPr>
                <w:rFonts w:ascii="Arial" w:cs="Arial" w:eastAsia="Arial" w:hAnsi="Arial"/>
                <w:sz w:val="17"/>
                <w:szCs w:val="17"/>
                <w:color w:val="auto"/>
                <w:w w:val="99"/>
              </w:rPr>
              <w:t xml:space="preserve">—  </w:t>
            </w:r>
            <w:r>
              <w:rPr>
                <w:rFonts w:ascii="Arial" w:cs="Arial" w:eastAsia="Arial" w:hAnsi="Arial"/>
                <w:sz w:val="17"/>
                <w:szCs w:val="17"/>
                <w:color w:val="0000FF"/>
                <w:w w:val="99"/>
              </w:rPr>
              <w:t>Certification of Chief Executive Officer of Civeo Corporation pursuant to Rules 13a-14(b) or 15d-14(b) under the</w:t>
            </w:r>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20" w:type="dxa"/>
            <w:vAlign w:val="bottom"/>
            <w:tcBorders>
              <w:top w:val="single" w:sz="8" w:color="0000FF"/>
            </w:tcBorders>
            <w:gridSpan w:val="7"/>
          </w:tcPr>
          <w:p>
            <w:pPr>
              <w:spacing w:after="0" w:line="163" w:lineRule="exact"/>
              <w:rPr>
                <w:sz w:val="20"/>
                <w:szCs w:val="20"/>
                <w:color w:val="auto"/>
              </w:rPr>
            </w:pPr>
            <w:r>
              <w:rPr>
                <w:rFonts w:ascii="Arial" w:cs="Arial" w:eastAsia="Arial" w:hAnsi="Arial"/>
                <w:sz w:val="17"/>
                <w:szCs w:val="17"/>
                <w:color w:val="0000FF"/>
              </w:rPr>
              <w:t>Securities Exchange Act of 1934 and 18 U.S.C. Section 1350.</w:t>
            </w:r>
          </w:p>
        </w:tc>
        <w:tc>
          <w:tcPr>
            <w:tcW w:w="2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20" w:type="dxa"/>
            <w:vAlign w:val="bottom"/>
            <w:gridSpan w:val="3"/>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24"/>
        </w:trPr>
        <w:tc>
          <w:tcPr>
            <w:tcW w:w="940" w:type="dxa"/>
            <w:vAlign w:val="bottom"/>
          </w:tcPr>
          <w:p>
            <w:pPr>
              <w:spacing w:after="0"/>
              <w:rPr>
                <w:sz w:val="20"/>
                <w:szCs w:val="20"/>
                <w:color w:val="auto"/>
              </w:rPr>
            </w:pPr>
            <w:r>
              <w:rPr>
                <w:rFonts w:ascii="Arial" w:cs="Arial" w:eastAsia="Arial" w:hAnsi="Arial"/>
                <w:sz w:val="17"/>
                <w:szCs w:val="17"/>
                <w:color w:val="auto"/>
              </w:rPr>
              <w:t>32.2**</w:t>
            </w:r>
          </w:p>
        </w:tc>
        <w:tc>
          <w:tcPr>
            <w:tcW w:w="8780" w:type="dxa"/>
            <w:vAlign w:val="bottom"/>
            <w:gridSpan w:val="9"/>
          </w:tcPr>
          <w:p>
            <w:pPr>
              <w:ind w:left="200"/>
              <w:spacing w:after="0"/>
              <w:rPr>
                <w:sz w:val="20"/>
                <w:szCs w:val="20"/>
                <w:color w:val="auto"/>
              </w:rPr>
            </w:pPr>
            <w:r>
              <w:rPr>
                <w:rFonts w:ascii="Arial" w:cs="Arial" w:eastAsia="Arial" w:hAnsi="Arial"/>
                <w:sz w:val="17"/>
                <w:szCs w:val="17"/>
                <w:color w:val="auto"/>
                <w:w w:val="99"/>
              </w:rPr>
              <w:t xml:space="preserve">—  </w:t>
            </w:r>
            <w:r>
              <w:rPr>
                <w:rFonts w:ascii="Arial" w:cs="Arial" w:eastAsia="Arial" w:hAnsi="Arial"/>
                <w:sz w:val="17"/>
                <w:szCs w:val="17"/>
                <w:color w:val="0000FF"/>
                <w:w w:val="99"/>
              </w:rPr>
              <w:t>Certification of Chief Financial Officer of Civeo Corporation pursuant to Rules 13a-14(b) or 15d-14(b) under the</w:t>
            </w:r>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160" w:type="dxa"/>
            <w:vAlign w:val="bottom"/>
            <w:tcBorders>
              <w:top w:val="single" w:sz="8" w:color="0000FF"/>
            </w:tcBorders>
            <w:gridSpan w:val="4"/>
          </w:tcPr>
          <w:p>
            <w:pPr>
              <w:spacing w:after="0" w:line="163" w:lineRule="exact"/>
              <w:rPr>
                <w:sz w:val="20"/>
                <w:szCs w:val="20"/>
                <w:color w:val="auto"/>
              </w:rPr>
            </w:pPr>
            <w:r>
              <w:rPr>
                <w:rFonts w:ascii="Arial" w:cs="Arial" w:eastAsia="Arial" w:hAnsi="Arial"/>
                <w:sz w:val="17"/>
                <w:szCs w:val="17"/>
                <w:color w:val="0000FF"/>
              </w:rPr>
              <w:t>Securities Exchange Act of 1934 and 18 U.S.C. Section 1350.</w:t>
            </w:r>
          </w:p>
        </w:tc>
        <w:tc>
          <w:tcPr>
            <w:tcW w:w="80" w:type="dxa"/>
            <w:vAlign w:val="bottom"/>
            <w:gridSpan w:val="4"/>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20" w:type="dxa"/>
            <w:vAlign w:val="bottom"/>
            <w:gridSpan w:val="3"/>
            <w:shd w:val="clear" w:color="auto" w:fill="0000FF"/>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r>
      <w:tr>
        <w:trPr>
          <w:trHeight w:val="425"/>
        </w:trPr>
        <w:tc>
          <w:tcPr>
            <w:tcW w:w="940" w:type="dxa"/>
            <w:vAlign w:val="bottom"/>
          </w:tcPr>
          <w:p>
            <w:pPr>
              <w:spacing w:after="0"/>
              <w:rPr>
                <w:sz w:val="20"/>
                <w:szCs w:val="20"/>
                <w:color w:val="auto"/>
              </w:rPr>
            </w:pPr>
            <w:r>
              <w:rPr>
                <w:rFonts w:ascii="Arial" w:cs="Arial" w:eastAsia="Arial" w:hAnsi="Arial"/>
                <w:sz w:val="17"/>
                <w:szCs w:val="17"/>
                <w:color w:val="auto"/>
              </w:rPr>
              <w:t>101.INS*</w:t>
            </w:r>
          </w:p>
        </w:tc>
        <w:tc>
          <w:tcPr>
            <w:tcW w:w="8780" w:type="dxa"/>
            <w:vAlign w:val="bottom"/>
            <w:gridSpan w:val="9"/>
          </w:tcPr>
          <w:p>
            <w:pPr>
              <w:ind w:left="200"/>
              <w:spacing w:after="0"/>
              <w:rPr>
                <w:sz w:val="20"/>
                <w:szCs w:val="20"/>
                <w:color w:val="auto"/>
              </w:rPr>
            </w:pPr>
            <w:r>
              <w:rPr>
                <w:rFonts w:ascii="Arial" w:cs="Arial" w:eastAsia="Arial" w:hAnsi="Arial"/>
                <w:sz w:val="17"/>
                <w:szCs w:val="17"/>
                <w:color w:val="auto"/>
                <w:w w:val="97"/>
              </w:rPr>
              <w:t>—  Inline XBRL Instance Document - the instance document does not appear in the Interactive Data File because its</w:t>
            </w:r>
          </w:p>
        </w:tc>
      </w:tr>
      <w:tr>
        <w:trPr>
          <w:trHeight w:val="221"/>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40" w:type="dxa"/>
            <w:vAlign w:val="bottom"/>
            <w:gridSpan w:val="8"/>
          </w:tcPr>
          <w:p>
            <w:pPr>
              <w:spacing w:after="0"/>
              <w:rPr>
                <w:sz w:val="20"/>
                <w:szCs w:val="20"/>
                <w:color w:val="auto"/>
              </w:rPr>
            </w:pPr>
            <w:r>
              <w:rPr>
                <w:rFonts w:ascii="Arial" w:cs="Arial" w:eastAsia="Arial" w:hAnsi="Arial"/>
                <w:sz w:val="17"/>
                <w:szCs w:val="17"/>
                <w:color w:val="auto"/>
              </w:rPr>
              <w:t>XBRL tags are embedded within the Inline XBRL document</w:t>
            </w:r>
          </w:p>
        </w:tc>
      </w:tr>
      <w:tr>
        <w:trPr>
          <w:trHeight w:val="444"/>
        </w:trPr>
        <w:tc>
          <w:tcPr>
            <w:tcW w:w="940" w:type="dxa"/>
            <w:vAlign w:val="bottom"/>
          </w:tcPr>
          <w:p>
            <w:pPr>
              <w:spacing w:after="0"/>
              <w:rPr>
                <w:sz w:val="20"/>
                <w:szCs w:val="20"/>
                <w:color w:val="auto"/>
              </w:rPr>
            </w:pPr>
            <w:r>
              <w:rPr>
                <w:rFonts w:ascii="Arial" w:cs="Arial" w:eastAsia="Arial" w:hAnsi="Arial"/>
                <w:sz w:val="17"/>
                <w:szCs w:val="17"/>
                <w:color w:val="auto"/>
              </w:rPr>
              <w:t>101.SCH*</w:t>
            </w:r>
          </w:p>
        </w:tc>
        <w:tc>
          <w:tcPr>
            <w:tcW w:w="8780" w:type="dxa"/>
            <w:vAlign w:val="bottom"/>
            <w:gridSpan w:val="9"/>
          </w:tcPr>
          <w:p>
            <w:pPr>
              <w:ind w:left="200"/>
              <w:spacing w:after="0"/>
              <w:rPr>
                <w:sz w:val="20"/>
                <w:szCs w:val="20"/>
                <w:color w:val="auto"/>
              </w:rPr>
            </w:pPr>
            <w:r>
              <w:rPr>
                <w:rFonts w:ascii="Arial" w:cs="Arial" w:eastAsia="Arial" w:hAnsi="Arial"/>
                <w:sz w:val="17"/>
                <w:szCs w:val="17"/>
                <w:color w:val="auto"/>
              </w:rPr>
              <w:t>—  Inline XBRL Taxonomy Extension Schema Document</w:t>
            </w:r>
          </w:p>
        </w:tc>
      </w:tr>
      <w:tr>
        <w:trPr>
          <w:trHeight w:val="444"/>
        </w:trPr>
        <w:tc>
          <w:tcPr>
            <w:tcW w:w="940" w:type="dxa"/>
            <w:vAlign w:val="bottom"/>
          </w:tcPr>
          <w:p>
            <w:pPr>
              <w:spacing w:after="0"/>
              <w:rPr>
                <w:sz w:val="20"/>
                <w:szCs w:val="20"/>
                <w:color w:val="auto"/>
              </w:rPr>
            </w:pPr>
            <w:r>
              <w:rPr>
                <w:rFonts w:ascii="Arial" w:cs="Arial" w:eastAsia="Arial" w:hAnsi="Arial"/>
                <w:sz w:val="17"/>
                <w:szCs w:val="17"/>
                <w:color w:val="auto"/>
              </w:rPr>
              <w:t>101.CAL*</w:t>
            </w:r>
          </w:p>
        </w:tc>
        <w:tc>
          <w:tcPr>
            <w:tcW w:w="8780" w:type="dxa"/>
            <w:vAlign w:val="bottom"/>
            <w:gridSpan w:val="9"/>
          </w:tcPr>
          <w:p>
            <w:pPr>
              <w:ind w:left="200"/>
              <w:spacing w:after="0"/>
              <w:rPr>
                <w:sz w:val="20"/>
                <w:szCs w:val="20"/>
                <w:color w:val="auto"/>
              </w:rPr>
            </w:pPr>
            <w:r>
              <w:rPr>
                <w:rFonts w:ascii="Arial" w:cs="Arial" w:eastAsia="Arial" w:hAnsi="Arial"/>
                <w:sz w:val="17"/>
                <w:szCs w:val="17"/>
                <w:color w:val="auto"/>
              </w:rPr>
              <w:t>—  Inline XBRL Taxonomy Extension Calculation Linkbase Document</w:t>
            </w:r>
          </w:p>
        </w:tc>
      </w:tr>
      <w:tr>
        <w:trPr>
          <w:trHeight w:val="444"/>
        </w:trPr>
        <w:tc>
          <w:tcPr>
            <w:tcW w:w="940" w:type="dxa"/>
            <w:vAlign w:val="bottom"/>
          </w:tcPr>
          <w:p>
            <w:pPr>
              <w:spacing w:after="0"/>
              <w:rPr>
                <w:sz w:val="20"/>
                <w:szCs w:val="20"/>
                <w:color w:val="auto"/>
              </w:rPr>
            </w:pPr>
            <w:r>
              <w:rPr>
                <w:rFonts w:ascii="Arial" w:cs="Arial" w:eastAsia="Arial" w:hAnsi="Arial"/>
                <w:sz w:val="17"/>
                <w:szCs w:val="17"/>
                <w:color w:val="auto"/>
              </w:rPr>
              <w:t>101.DEF*</w:t>
            </w:r>
          </w:p>
        </w:tc>
        <w:tc>
          <w:tcPr>
            <w:tcW w:w="8780" w:type="dxa"/>
            <w:vAlign w:val="bottom"/>
            <w:gridSpan w:val="9"/>
          </w:tcPr>
          <w:p>
            <w:pPr>
              <w:ind w:left="200"/>
              <w:spacing w:after="0"/>
              <w:rPr>
                <w:sz w:val="20"/>
                <w:szCs w:val="20"/>
                <w:color w:val="auto"/>
              </w:rPr>
            </w:pPr>
            <w:r>
              <w:rPr>
                <w:rFonts w:ascii="Arial" w:cs="Arial" w:eastAsia="Arial" w:hAnsi="Arial"/>
                <w:sz w:val="17"/>
                <w:szCs w:val="17"/>
                <w:color w:val="auto"/>
              </w:rPr>
              <w:t>—  Inline Taxonomy Extension Definition Linkbase Document</w:t>
            </w:r>
          </w:p>
        </w:tc>
      </w:tr>
      <w:tr>
        <w:trPr>
          <w:trHeight w:val="444"/>
        </w:trPr>
        <w:tc>
          <w:tcPr>
            <w:tcW w:w="940" w:type="dxa"/>
            <w:vAlign w:val="bottom"/>
          </w:tcPr>
          <w:p>
            <w:pPr>
              <w:spacing w:after="0"/>
              <w:rPr>
                <w:sz w:val="20"/>
                <w:szCs w:val="20"/>
                <w:color w:val="auto"/>
              </w:rPr>
            </w:pPr>
            <w:r>
              <w:rPr>
                <w:rFonts w:ascii="Arial" w:cs="Arial" w:eastAsia="Arial" w:hAnsi="Arial"/>
                <w:sz w:val="17"/>
                <w:szCs w:val="17"/>
                <w:color w:val="auto"/>
              </w:rPr>
              <w:t>101.LAB*</w:t>
            </w:r>
          </w:p>
        </w:tc>
        <w:tc>
          <w:tcPr>
            <w:tcW w:w="8780" w:type="dxa"/>
            <w:vAlign w:val="bottom"/>
            <w:gridSpan w:val="9"/>
          </w:tcPr>
          <w:p>
            <w:pPr>
              <w:ind w:left="200"/>
              <w:spacing w:after="0"/>
              <w:rPr>
                <w:sz w:val="20"/>
                <w:szCs w:val="20"/>
                <w:color w:val="auto"/>
              </w:rPr>
            </w:pPr>
            <w:r>
              <w:rPr>
                <w:rFonts w:ascii="Arial" w:cs="Arial" w:eastAsia="Arial" w:hAnsi="Arial"/>
                <w:sz w:val="17"/>
                <w:szCs w:val="17"/>
                <w:color w:val="auto"/>
              </w:rPr>
              <w:t>—  Inline XBRL Taxonomy Extension Label Linkbase Document</w:t>
            </w:r>
          </w:p>
        </w:tc>
      </w:tr>
      <w:tr>
        <w:trPr>
          <w:trHeight w:val="444"/>
        </w:trPr>
        <w:tc>
          <w:tcPr>
            <w:tcW w:w="940" w:type="dxa"/>
            <w:vAlign w:val="bottom"/>
          </w:tcPr>
          <w:p>
            <w:pPr>
              <w:spacing w:after="0"/>
              <w:rPr>
                <w:sz w:val="20"/>
                <w:szCs w:val="20"/>
                <w:color w:val="auto"/>
              </w:rPr>
            </w:pPr>
            <w:r>
              <w:rPr>
                <w:rFonts w:ascii="Arial" w:cs="Arial" w:eastAsia="Arial" w:hAnsi="Arial"/>
                <w:sz w:val="17"/>
                <w:szCs w:val="17"/>
                <w:color w:val="auto"/>
              </w:rPr>
              <w:t>101.PRE*</w:t>
            </w:r>
          </w:p>
        </w:tc>
        <w:tc>
          <w:tcPr>
            <w:tcW w:w="8780" w:type="dxa"/>
            <w:vAlign w:val="bottom"/>
            <w:gridSpan w:val="9"/>
          </w:tcPr>
          <w:p>
            <w:pPr>
              <w:ind w:left="200"/>
              <w:spacing w:after="0"/>
              <w:rPr>
                <w:sz w:val="20"/>
                <w:szCs w:val="20"/>
                <w:color w:val="auto"/>
              </w:rPr>
            </w:pPr>
            <w:r>
              <w:rPr>
                <w:rFonts w:ascii="Arial" w:cs="Arial" w:eastAsia="Arial" w:hAnsi="Arial"/>
                <w:sz w:val="17"/>
                <w:szCs w:val="17"/>
                <w:color w:val="auto"/>
              </w:rPr>
              <w:t>—  Inline XBRL Taxonomy Extension Presentation Linkbase Document</w:t>
            </w:r>
          </w:p>
        </w:tc>
      </w:tr>
    </w:tbl>
    <w:p>
      <w:pPr>
        <w:spacing w:after="0" w:line="249" w:lineRule="exact"/>
        <w:rPr>
          <w:sz w:val="20"/>
          <w:szCs w:val="20"/>
          <w:color w:val="auto"/>
        </w:rPr>
      </w:pPr>
    </w:p>
    <w:p>
      <w:pPr>
        <w:ind w:left="1480" w:hanging="1144"/>
        <w:spacing w:after="0"/>
        <w:tabs>
          <w:tab w:leader="none" w:pos="14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  Cover Page Interactive Data File (formatted as Inline XBRL and contained in Exhibit 101)</w:t>
      </w:r>
    </w:p>
    <w:p>
      <w:pPr>
        <w:spacing w:after="0" w:line="10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70"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Filed herewith.</w:t>
      </w:r>
    </w:p>
    <w:p>
      <w:pPr>
        <w:spacing w:after="0" w:line="52" w:lineRule="exact"/>
        <w:rPr>
          <w:rFonts w:ascii="Arial" w:cs="Arial" w:eastAsia="Arial" w:hAnsi="Arial"/>
          <w:sz w:val="17"/>
          <w:szCs w:val="17"/>
          <w:color w:val="auto"/>
        </w:rPr>
      </w:pPr>
    </w:p>
    <w:p>
      <w:pPr>
        <w:ind w:left="420" w:hanging="398"/>
        <w:spacing w:after="0"/>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36" w:name="page37"/>
    <w:bookmarkEnd w:id="36"/>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229"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CIVEO CORPORATION</w:t>
      </w:r>
    </w:p>
    <w:p>
      <w:pPr>
        <w:spacing w:after="0" w:line="347"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7"/>
          <w:szCs w:val="17"/>
          <w:u w:val="single" w:color="auto"/>
          <w:color w:val="auto"/>
        </w:rPr>
        <w:t>Date: October 27, 2023</w:t>
      </w:r>
      <w:r>
        <w:rPr>
          <w:sz w:val="20"/>
          <w:szCs w:val="20"/>
          <w:color w:val="auto"/>
        </w:rPr>
        <w:tab/>
      </w:r>
      <w:r>
        <w:rPr>
          <w:rFonts w:ascii="Arial" w:cs="Arial" w:eastAsia="Arial" w:hAnsi="Arial"/>
          <w:sz w:val="16"/>
          <w:szCs w:val="16"/>
          <w:b w:val="1"/>
          <w:bCs w:val="1"/>
          <w:color w:val="auto"/>
        </w:rPr>
        <w:t>By /s/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-3810</wp:posOffset>
            </wp:positionV>
            <wp:extent cx="16383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12"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Carolyn J. Stone</w:t>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7"/>
          <w:szCs w:val="17"/>
          <w:b w:val="1"/>
          <w:bCs w:val="1"/>
          <w:color w:val="auto"/>
        </w:rPr>
        <w:t>Senior Vice President, Chief Financial Officer and Treasurer (Duly</w:t>
      </w:r>
    </w:p>
    <w:p>
      <w:pPr>
        <w:ind w:left="5460"/>
        <w:spacing w:after="0"/>
        <w:rPr>
          <w:sz w:val="20"/>
          <w:szCs w:val="20"/>
          <w:color w:val="auto"/>
        </w:rPr>
      </w:pPr>
      <w:r>
        <w:rPr>
          <w:rFonts w:ascii="Arial" w:cs="Arial" w:eastAsia="Arial" w:hAnsi="Arial"/>
          <w:sz w:val="17"/>
          <w:szCs w:val="17"/>
          <w:b w:val="1"/>
          <w:bCs w:val="1"/>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40"/>
          </w:cols>
          <w:pgMar w:left="320" w:top="144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SECURITIES EXCHANGE ACT OF 1934</w:t>
      </w: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 Bradley J. Dodson, certify that:</w:t>
      </w:r>
    </w:p>
    <w:p>
      <w:pPr>
        <w:spacing w:after="0" w:line="353" w:lineRule="exact"/>
        <w:rPr>
          <w:sz w:val="20"/>
          <w:szCs w:val="20"/>
          <w:color w:val="auto"/>
        </w:rPr>
      </w:pPr>
    </w:p>
    <w:p>
      <w:pPr>
        <w:ind w:left="340" w:hanging="318"/>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Civeo Corporation (Registrant);</w:t>
      </w:r>
    </w:p>
    <w:p>
      <w:pPr>
        <w:spacing w:after="0" w:line="66" w:lineRule="exact"/>
        <w:rPr>
          <w:sz w:val="20"/>
          <w:szCs w:val="20"/>
          <w:color w:val="auto"/>
        </w:rPr>
      </w:pPr>
    </w:p>
    <w:p>
      <w:pPr>
        <w:jc w:val="both"/>
        <w:ind w:left="340" w:right="2340" w:hanging="318"/>
        <w:spacing w:after="0" w:line="229"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sz w:val="20"/>
          <w:szCs w:val="20"/>
          <w:color w:val="auto"/>
        </w:rPr>
      </w:pPr>
    </w:p>
    <w:p>
      <w:pPr>
        <w:jc w:val="both"/>
        <w:ind w:left="340" w:right="2320" w:hanging="318"/>
        <w:spacing w:after="0" w:line="229"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sz w:val="20"/>
          <w:szCs w:val="20"/>
          <w:color w:val="auto"/>
        </w:rPr>
      </w:pPr>
    </w:p>
    <w:p>
      <w:pPr>
        <w:jc w:val="both"/>
        <w:ind w:left="340" w:right="2320" w:hanging="318"/>
        <w:spacing w:after="0" w:line="229"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7"/>
          <w:szCs w:val="17"/>
          <w:color w:val="auto"/>
        </w:rPr>
      </w:pPr>
    </w:p>
    <w:p>
      <w:pPr>
        <w:ind w:left="700" w:right="2320" w:hanging="366"/>
        <w:spacing w:after="0" w:line="228" w:lineRule="auto"/>
        <w:rPr>
          <w:rFonts w:ascii="Arial" w:cs="Arial" w:eastAsia="Arial" w:hAnsi="Arial"/>
          <w:sz w:val="17"/>
          <w:szCs w:val="17"/>
          <w:color w:val="auto"/>
        </w:rPr>
      </w:pPr>
      <w:r>
        <w:rPr>
          <w:rFonts w:ascii="Arial" w:cs="Arial" w:eastAsia="Arial" w:hAnsi="Arial"/>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7"/>
          <w:szCs w:val="17"/>
          <w:color w:val="auto"/>
        </w:rPr>
      </w:pPr>
    </w:p>
    <w:p>
      <w:pPr>
        <w:ind w:left="700" w:right="2340" w:hanging="366"/>
        <w:spacing w:after="0" w:line="228" w:lineRule="auto"/>
        <w:rPr>
          <w:rFonts w:ascii="Arial" w:cs="Arial" w:eastAsia="Arial" w:hAnsi="Arial"/>
          <w:sz w:val="17"/>
          <w:szCs w:val="17"/>
          <w:color w:val="auto"/>
        </w:rPr>
      </w:pPr>
      <w:r>
        <w:rPr>
          <w:rFonts w:ascii="Arial" w:cs="Arial" w:eastAsia="Arial" w:hAnsi="Arial"/>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7"/>
          <w:szCs w:val="17"/>
          <w:color w:val="auto"/>
        </w:rPr>
      </w:pPr>
    </w:p>
    <w:p>
      <w:pPr>
        <w:ind w:left="700" w:right="2320" w:hanging="366"/>
        <w:spacing w:after="0" w:line="229" w:lineRule="auto"/>
        <w:rPr>
          <w:rFonts w:ascii="Arial" w:cs="Arial" w:eastAsia="Arial" w:hAnsi="Arial"/>
          <w:sz w:val="17"/>
          <w:szCs w:val="17"/>
          <w:color w:val="auto"/>
        </w:rPr>
      </w:pPr>
      <w:r>
        <w:rPr>
          <w:rFonts w:ascii="Arial" w:cs="Arial" w:eastAsia="Arial" w:hAnsi="Arial"/>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7"/>
          <w:szCs w:val="17"/>
          <w:color w:val="auto"/>
        </w:rPr>
      </w:pPr>
    </w:p>
    <w:p>
      <w:pPr>
        <w:ind w:left="700" w:right="2340" w:hanging="366"/>
        <w:spacing w:after="0" w:line="228" w:lineRule="auto"/>
        <w:rPr>
          <w:rFonts w:ascii="Arial" w:cs="Arial" w:eastAsia="Arial" w:hAnsi="Arial"/>
          <w:sz w:val="17"/>
          <w:szCs w:val="17"/>
          <w:color w:val="auto"/>
        </w:rPr>
      </w:pPr>
      <w:r>
        <w:rPr>
          <w:rFonts w:ascii="Arial" w:cs="Arial" w:eastAsia="Arial" w:hAnsi="Arial"/>
          <w:sz w:val="17"/>
          <w:szCs w:val="17"/>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sz w:val="20"/>
          <w:szCs w:val="20"/>
          <w:color w:val="auto"/>
        </w:rPr>
      </w:pPr>
    </w:p>
    <w:p>
      <w:pPr>
        <w:jc w:val="both"/>
        <w:ind w:left="340" w:right="2320" w:hanging="318"/>
        <w:spacing w:after="0" w:line="229"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7"/>
          <w:szCs w:val="17"/>
          <w:color w:val="auto"/>
        </w:rPr>
      </w:pPr>
    </w:p>
    <w:p>
      <w:pPr>
        <w:ind w:left="700" w:right="2340" w:hanging="366"/>
        <w:spacing w:after="0" w:line="229" w:lineRule="auto"/>
        <w:rPr>
          <w:rFonts w:ascii="Arial" w:cs="Arial" w:eastAsia="Arial" w:hAnsi="Arial"/>
          <w:sz w:val="17"/>
          <w:szCs w:val="17"/>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7"/>
          <w:szCs w:val="17"/>
          <w:color w:val="auto"/>
        </w:rPr>
      </w:pPr>
    </w:p>
    <w:p>
      <w:pPr>
        <w:ind w:left="700" w:right="2320" w:hanging="366"/>
        <w:spacing w:after="0"/>
        <w:rPr>
          <w:rFonts w:ascii="Arial" w:cs="Arial" w:eastAsia="Arial" w:hAnsi="Arial"/>
          <w:sz w:val="17"/>
          <w:szCs w:val="17"/>
          <w:color w:val="auto"/>
        </w:rPr>
      </w:pPr>
      <w:r>
        <w:rPr>
          <w:rFonts w:ascii="Arial" w:cs="Arial" w:eastAsia="Arial" w:hAnsi="Arial"/>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Date: October 27, 2023</w:t>
      </w:r>
    </w:p>
    <w:p>
      <w:pPr>
        <w:spacing w:after="0" w:line="14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16510</wp:posOffset>
            </wp:positionV>
            <wp:extent cx="2879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79725"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Bradley J. Dodson</w:t>
      </w:r>
    </w:p>
    <w:p>
      <w:pPr>
        <w:spacing w:after="0" w:line="27"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40"/>
          </w:cols>
          <w:pgMar w:left="320" w:top="866"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SECURITIES EXCHANGE ACT OF 1934</w:t>
      </w: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 Carolyn J. Stone, certify that:</w:t>
      </w:r>
    </w:p>
    <w:p>
      <w:pPr>
        <w:spacing w:after="0" w:line="353" w:lineRule="exact"/>
        <w:rPr>
          <w:sz w:val="20"/>
          <w:szCs w:val="20"/>
          <w:color w:val="auto"/>
        </w:rPr>
      </w:pPr>
    </w:p>
    <w:p>
      <w:pPr>
        <w:ind w:left="320" w:hanging="298"/>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Civeo Corporation (Registrant);</w:t>
      </w:r>
    </w:p>
    <w:p>
      <w:pPr>
        <w:spacing w:after="0" w:line="66" w:lineRule="exact"/>
        <w:rPr>
          <w:sz w:val="20"/>
          <w:szCs w:val="20"/>
          <w:color w:val="auto"/>
        </w:rPr>
      </w:pPr>
    </w:p>
    <w:p>
      <w:pPr>
        <w:jc w:val="both"/>
        <w:ind w:left="320" w:right="2420" w:hanging="298"/>
        <w:spacing w:after="0" w:line="229"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sz w:val="20"/>
          <w:szCs w:val="20"/>
          <w:color w:val="auto"/>
        </w:rPr>
      </w:pPr>
    </w:p>
    <w:p>
      <w:pPr>
        <w:jc w:val="both"/>
        <w:ind w:left="320" w:right="2420" w:hanging="298"/>
        <w:spacing w:after="0" w:line="229" w:lineRule="auto"/>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sz w:val="20"/>
          <w:szCs w:val="20"/>
          <w:color w:val="auto"/>
        </w:rPr>
      </w:pPr>
    </w:p>
    <w:p>
      <w:pPr>
        <w:jc w:val="both"/>
        <w:ind w:left="320" w:right="2420" w:hanging="298"/>
        <w:spacing w:after="0" w:line="229"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7"/>
          <w:szCs w:val="17"/>
          <w:color w:val="auto"/>
        </w:rPr>
      </w:pPr>
    </w:p>
    <w:p>
      <w:pPr>
        <w:ind w:left="720" w:right="2420" w:hanging="392"/>
        <w:spacing w:after="0" w:line="228" w:lineRule="auto"/>
        <w:rPr>
          <w:rFonts w:ascii="Arial" w:cs="Arial" w:eastAsia="Arial" w:hAnsi="Arial"/>
          <w:sz w:val="17"/>
          <w:szCs w:val="17"/>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7"/>
          <w:szCs w:val="17"/>
          <w:color w:val="auto"/>
        </w:rPr>
      </w:pPr>
    </w:p>
    <w:p>
      <w:pPr>
        <w:ind w:left="720" w:right="2420" w:hanging="392"/>
        <w:spacing w:after="0" w:line="228" w:lineRule="auto"/>
        <w:rPr>
          <w:rFonts w:ascii="Arial" w:cs="Arial" w:eastAsia="Arial" w:hAnsi="Arial"/>
          <w:sz w:val="17"/>
          <w:szCs w:val="17"/>
          <w:color w:val="auto"/>
        </w:rPr>
      </w:pPr>
      <w:r>
        <w:rPr>
          <w:rFonts w:ascii="Arial" w:cs="Arial" w:eastAsia="Arial" w:hAnsi="Arial"/>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7"/>
          <w:szCs w:val="17"/>
          <w:color w:val="auto"/>
        </w:rPr>
      </w:pPr>
    </w:p>
    <w:p>
      <w:pPr>
        <w:ind w:left="720" w:right="2420" w:hanging="392"/>
        <w:spacing w:after="0" w:line="229" w:lineRule="auto"/>
        <w:rPr>
          <w:rFonts w:ascii="Arial" w:cs="Arial" w:eastAsia="Arial" w:hAnsi="Arial"/>
          <w:sz w:val="17"/>
          <w:szCs w:val="17"/>
          <w:color w:val="auto"/>
        </w:rPr>
      </w:pPr>
      <w:r>
        <w:rPr>
          <w:rFonts w:ascii="Arial" w:cs="Arial" w:eastAsia="Arial" w:hAnsi="Arial"/>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sz w:val="20"/>
          <w:szCs w:val="20"/>
          <w:color w:val="auto"/>
        </w:rPr>
      </w:pPr>
    </w:p>
    <w:p>
      <w:pPr>
        <w:jc w:val="both"/>
        <w:ind w:left="720" w:right="2420" w:hanging="398"/>
        <w:spacing w:after="0" w:line="228"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sz w:val="20"/>
          <w:szCs w:val="20"/>
          <w:color w:val="auto"/>
        </w:rPr>
      </w:pPr>
    </w:p>
    <w:p>
      <w:pPr>
        <w:jc w:val="both"/>
        <w:ind w:left="320" w:right="2420" w:hanging="298"/>
        <w:spacing w:after="0" w:line="229" w:lineRule="auto"/>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7"/>
          <w:szCs w:val="17"/>
          <w:color w:val="auto"/>
        </w:rPr>
      </w:pPr>
    </w:p>
    <w:p>
      <w:pPr>
        <w:ind w:left="720" w:right="2420" w:hanging="392"/>
        <w:spacing w:after="0" w:line="229" w:lineRule="auto"/>
        <w:rPr>
          <w:rFonts w:ascii="Arial" w:cs="Arial" w:eastAsia="Arial" w:hAnsi="Arial"/>
          <w:sz w:val="17"/>
          <w:szCs w:val="17"/>
          <w:color w:val="auto"/>
        </w:rPr>
      </w:pPr>
      <w:r>
        <w:rPr>
          <w:rFonts w:ascii="Arial" w:cs="Arial" w:eastAsia="Arial" w:hAnsi="Arial"/>
          <w:sz w:val="17"/>
          <w:szCs w:val="17"/>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7"/>
          <w:szCs w:val="17"/>
          <w:color w:val="auto"/>
        </w:rPr>
      </w:pPr>
    </w:p>
    <w:p>
      <w:pPr>
        <w:ind w:left="720" w:right="2420" w:hanging="392"/>
        <w:spacing w:after="0"/>
        <w:rPr>
          <w:rFonts w:ascii="Arial" w:cs="Arial" w:eastAsia="Arial" w:hAnsi="Arial"/>
          <w:sz w:val="17"/>
          <w:szCs w:val="17"/>
          <w:color w:val="auto"/>
        </w:rPr>
      </w:pPr>
      <w:r>
        <w:rPr>
          <w:rFonts w:ascii="Arial" w:cs="Arial" w:eastAsia="Arial" w:hAnsi="Arial"/>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Date: October 27, 2023</w:t>
      </w:r>
    </w:p>
    <w:p>
      <w:pPr>
        <w:spacing w:after="0" w:line="353"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16510</wp:posOffset>
            </wp:positionV>
            <wp:extent cx="2879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79725"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Carolyn J. Stone</w:t>
      </w:r>
    </w:p>
    <w:p>
      <w:pPr>
        <w:spacing w:after="0" w:line="27"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Senior Vice President, Chief Financial Officer and Treasurer</w:t>
      </w:r>
    </w:p>
    <w:p>
      <w:pPr>
        <w:sectPr>
          <w:pgSz w:w="11900" w:h="16838" w:orient="portrait"/>
          <w:cols w:equalWidth="0" w:num="1">
            <w:col w:w="11240"/>
          </w:cols>
          <w:pgMar w:left="320" w:top="866"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t>EXHIBIT 32.1</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20" w:lineRule="exact"/>
        <w:rPr>
          <w:sz w:val="20"/>
          <w:szCs w:val="20"/>
          <w:color w:val="auto"/>
        </w:rPr>
      </w:pPr>
    </w:p>
    <w:p>
      <w:pPr>
        <w:jc w:val="both"/>
        <w:ind w:firstLine="784"/>
        <w:spacing w:after="0" w:line="267" w:lineRule="auto"/>
        <w:rPr>
          <w:sz w:val="20"/>
          <w:szCs w:val="20"/>
          <w:color w:val="auto"/>
        </w:rPr>
      </w:pPr>
      <w:r>
        <w:rPr>
          <w:rFonts w:ascii="Arial" w:cs="Arial" w:eastAsia="Arial" w:hAnsi="Arial"/>
          <w:sz w:val="17"/>
          <w:szCs w:val="17"/>
          <w:color w:val="auto"/>
        </w:rPr>
        <w:t>In connection with the Quarterly Report on Form 10-Q of Civeo Corporation (the “Company”) for the quarterly period ended September 30, 2023,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306"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The Report fully complies with the requirements of Section 13(a) or 15(d) of the Securities Exchange Act of 1934; and</w:t>
      </w:r>
    </w:p>
    <w:p>
      <w:pPr>
        <w:spacing w:after="0" w:line="66" w:lineRule="exact"/>
        <w:rPr>
          <w:sz w:val="20"/>
          <w:szCs w:val="20"/>
          <w:color w:val="auto"/>
        </w:rPr>
      </w:pPr>
    </w:p>
    <w:p>
      <w:pPr>
        <w:ind w:left="280" w:right="2340" w:hanging="258"/>
        <w:spacing w:after="0"/>
        <w:tabs>
          <w:tab w:leader="none" w:pos="2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/s/ Bradley J. Dodson</w:t>
      </w:r>
    </w:p>
    <w:p>
      <w:pPr>
        <w:spacing w:after="0" w:line="26" w:lineRule="exact"/>
        <w:rPr>
          <w:sz w:val="20"/>
          <w:szCs w:val="20"/>
          <w:color w:val="auto"/>
        </w:rPr>
      </w:pPr>
    </w:p>
    <w:tbl>
      <w:tblPr>
        <w:tblLayout w:type="fixed"/>
        <w:tblInd w:w="5920" w:type="dxa"/>
        <w:tblCellMar>
          <w:top w:w="0" w:type="dxa"/>
          <w:left w:w="0" w:type="dxa"/>
          <w:bottom w:w="0" w:type="dxa"/>
          <w:right w:w="0" w:type="dxa"/>
        </w:tblCellMar>
      </w:tblPr>
      <w:tr>
        <w:trPr>
          <w:trHeight w:val="216"/>
        </w:trPr>
        <w:tc>
          <w:tcPr>
            <w:tcW w:w="6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Name:</w:t>
            </w:r>
          </w:p>
        </w:tc>
        <w:tc>
          <w:tcPr>
            <w:tcW w:w="34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Bradley J. Dodson</w:t>
            </w:r>
          </w:p>
        </w:tc>
      </w:tr>
      <w:tr>
        <w:trPr>
          <w:trHeight w:val="221"/>
        </w:trPr>
        <w:tc>
          <w:tcPr>
            <w:tcW w:w="600" w:type="dxa"/>
            <w:vAlign w:val="bottom"/>
          </w:tcPr>
          <w:p>
            <w:pPr>
              <w:spacing w:after="0"/>
              <w:rPr>
                <w:sz w:val="20"/>
                <w:szCs w:val="20"/>
                <w:color w:val="auto"/>
              </w:rPr>
            </w:pPr>
            <w:r>
              <w:rPr>
                <w:rFonts w:ascii="Arial" w:cs="Arial" w:eastAsia="Arial" w:hAnsi="Arial"/>
                <w:sz w:val="17"/>
                <w:szCs w:val="17"/>
                <w:color w:val="auto"/>
              </w:rPr>
              <w:t>Date:</w:t>
            </w:r>
          </w:p>
        </w:tc>
        <w:tc>
          <w:tcPr>
            <w:tcW w:w="3440" w:type="dxa"/>
            <w:vAlign w:val="bottom"/>
          </w:tcPr>
          <w:p>
            <w:pPr>
              <w:ind w:left="120"/>
              <w:spacing w:after="0"/>
              <w:rPr>
                <w:sz w:val="20"/>
                <w:szCs w:val="20"/>
                <w:color w:val="auto"/>
              </w:rPr>
            </w:pPr>
            <w:r>
              <w:rPr>
                <w:rFonts w:ascii="Arial" w:cs="Arial" w:eastAsia="Arial" w:hAnsi="Arial"/>
                <w:sz w:val="17"/>
                <w:szCs w:val="17"/>
                <w:color w:val="auto"/>
              </w:rPr>
              <w:t>October 27, 2023</w:t>
            </w:r>
          </w:p>
        </w:tc>
      </w:tr>
    </w:tbl>
    <w:p>
      <w:pPr>
        <w:sectPr>
          <w:pgSz w:w="11900" w:h="16838" w:orient="portrait"/>
          <w:cols w:equalWidth="0" w:num="1">
            <w:col w:w="11240"/>
          </w:cols>
          <w:pgMar w:left="320" w:top="866"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32.2</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1" w:lineRule="exact"/>
        <w:rPr>
          <w:sz w:val="20"/>
          <w:szCs w:val="20"/>
          <w:color w:val="auto"/>
        </w:rPr>
      </w:pPr>
    </w:p>
    <w:p>
      <w:pPr>
        <w:jc w:val="both"/>
        <w:ind w:firstLine="784"/>
        <w:spacing w:after="0" w:line="267" w:lineRule="auto"/>
        <w:rPr>
          <w:sz w:val="20"/>
          <w:szCs w:val="20"/>
          <w:color w:val="auto"/>
        </w:rPr>
      </w:pPr>
      <w:r>
        <w:rPr>
          <w:rFonts w:ascii="Arial" w:cs="Arial" w:eastAsia="Arial" w:hAnsi="Arial"/>
          <w:sz w:val="17"/>
          <w:szCs w:val="17"/>
          <w:color w:val="auto"/>
        </w:rPr>
        <w:t>In connection with the Quarterly Report on Form 10-Q of Civeo Corporation (the “Company”) for the quarterly period ended September 30, 2023, as filed with the Securities and Exchange Commission on the date hereof (the “Report”), I, Carolyn J. Stone, Senior Vice President, Chief Financial Officer and Treasurer of the Company, hereby certify, pursuant to 18 U.S.C. Section 1350, as adopted pursuant to Section 906 of the Sarbanes-Oxley Act of 2002, to the best of my knowledge, that:</w:t>
      </w:r>
    </w:p>
    <w:p>
      <w:pPr>
        <w:spacing w:after="0" w:line="306"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The Report fully complies with the requirements of Section 13(a) or 15(d) of the Securities Exchange Act of 1934; and</w:t>
      </w:r>
    </w:p>
    <w:p>
      <w:pPr>
        <w:spacing w:after="0" w:line="66" w:lineRule="exact"/>
        <w:rPr>
          <w:sz w:val="20"/>
          <w:szCs w:val="20"/>
          <w:color w:val="auto"/>
        </w:rPr>
      </w:pPr>
    </w:p>
    <w:p>
      <w:pPr>
        <w:ind w:left="280" w:right="2340" w:hanging="258"/>
        <w:spacing w:after="0"/>
        <w:tabs>
          <w:tab w:leader="none" w:pos="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67"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/s/ Carolyn J. Stone</w:t>
      </w:r>
    </w:p>
    <w:p>
      <w:pPr>
        <w:spacing w:after="0" w:line="26" w:lineRule="exact"/>
        <w:rPr>
          <w:sz w:val="20"/>
          <w:szCs w:val="20"/>
          <w:color w:val="auto"/>
        </w:rPr>
      </w:pPr>
    </w:p>
    <w:tbl>
      <w:tblPr>
        <w:tblLayout w:type="fixed"/>
        <w:tblInd w:w="5760" w:type="dxa"/>
        <w:tblCellMar>
          <w:top w:w="0" w:type="dxa"/>
          <w:left w:w="0" w:type="dxa"/>
          <w:bottom w:w="0" w:type="dxa"/>
          <w:right w:w="0" w:type="dxa"/>
        </w:tblCellMar>
      </w:tblPr>
      <w:tr>
        <w:trPr>
          <w:trHeight w:val="216"/>
        </w:trPr>
        <w:tc>
          <w:tcPr>
            <w:tcW w:w="7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3480" w:type="dxa"/>
            <w:vAlign w:val="bottom"/>
            <w:tcBorders>
              <w:top w:val="single" w:sz="8" w:color="auto"/>
            </w:tcBorders>
          </w:tcPr>
          <w:p>
            <w:pPr>
              <w:ind w:left="220"/>
              <w:spacing w:after="0"/>
              <w:rPr>
                <w:sz w:val="20"/>
                <w:szCs w:val="20"/>
                <w:color w:val="auto"/>
              </w:rPr>
            </w:pPr>
            <w:r>
              <w:rPr>
                <w:rFonts w:ascii="Arial" w:cs="Arial" w:eastAsia="Arial" w:hAnsi="Arial"/>
                <w:sz w:val="17"/>
                <w:szCs w:val="17"/>
                <w:color w:val="auto"/>
              </w:rPr>
              <w:t>Carolyn J. Stone</w:t>
            </w:r>
          </w:p>
        </w:tc>
      </w:tr>
      <w:tr>
        <w:trPr>
          <w:trHeight w:val="221"/>
        </w:trPr>
        <w:tc>
          <w:tcPr>
            <w:tcW w:w="700" w:type="dxa"/>
            <w:vAlign w:val="bottom"/>
          </w:tcPr>
          <w:p>
            <w:pPr>
              <w:ind w:left="20"/>
              <w:spacing w:after="0"/>
              <w:rPr>
                <w:sz w:val="20"/>
                <w:szCs w:val="20"/>
                <w:color w:val="auto"/>
              </w:rPr>
            </w:pPr>
            <w:r>
              <w:rPr>
                <w:rFonts w:ascii="Arial" w:cs="Arial" w:eastAsia="Arial" w:hAnsi="Arial"/>
                <w:sz w:val="17"/>
                <w:szCs w:val="17"/>
                <w:color w:val="auto"/>
              </w:rPr>
              <w:t>Date:</w:t>
            </w:r>
          </w:p>
        </w:tc>
        <w:tc>
          <w:tcPr>
            <w:tcW w:w="3480" w:type="dxa"/>
            <w:vAlign w:val="bottom"/>
          </w:tcPr>
          <w:p>
            <w:pPr>
              <w:ind w:left="220"/>
              <w:spacing w:after="0"/>
              <w:rPr>
                <w:sz w:val="20"/>
                <w:szCs w:val="20"/>
                <w:color w:val="auto"/>
              </w:rPr>
            </w:pPr>
            <w:r>
              <w:rPr>
                <w:rFonts w:ascii="Arial" w:cs="Arial" w:eastAsia="Arial" w:hAnsi="Arial"/>
                <w:sz w:val="17"/>
                <w:szCs w:val="17"/>
                <w:color w:val="auto"/>
              </w:rPr>
              <w:t>October 27, 2023</w:t>
            </w: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5"/>
    </w:lvl>
  </w:abstractNum>
  <w:abstractNum w:abstractNumId="9">
    <w:nsid w:val="2D1D5AE9"/>
    <w:multiLevelType w:val="hybridMultilevel"/>
    <w:lvl w:ilvl="0">
      <w:lvlJc w:val="left"/>
      <w:lvlText w:val="%1."/>
      <w:numFmt w:val="decimal"/>
      <w:start w:val="6"/>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7"/>
    </w:lvl>
  </w:abstractNum>
  <w:abstractNum w:abstractNumId="12">
    <w:nsid w:val="8EDBDAB"/>
    <w:multiLevelType w:val="hybridMultilevel"/>
    <w:lvl w:ilvl="0">
      <w:lvlJc w:val="left"/>
      <w:lvlText w:val="%1."/>
      <w:numFmt w:val="decimal"/>
      <w:start w:val="8"/>
    </w:lvl>
  </w:abstractNum>
  <w:abstractNum w:abstractNumId="13">
    <w:nsid w:val="79838CB2"/>
    <w:multiLevelType w:val="hybridMultilevel"/>
    <w:lvl w:ilvl="0">
      <w:lvlJc w:val="left"/>
      <w:lvlText w:val="%1."/>
      <w:numFmt w:val="decimal"/>
      <w:start w:val="9"/>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
      <w:numFmt w:val="bullet"/>
      <w:start w:val="1"/>
    </w:lvl>
    <w:lvl w:ilvl="1">
      <w:lvlJc w:val="left"/>
      <w:lvlText w:val="%2"/>
      <w:numFmt w:val="decimal"/>
      <w:start w:val="104"/>
    </w:lvl>
  </w:abstractNum>
  <w:abstractNum w:abstractNumId="22">
    <w:nsid w:val="3A95F874"/>
    <w:multiLevelType w:val="hybridMultilevel"/>
    <w:lvl w:ilvl="0">
      <w:lvlJc w:val="left"/>
      <w:lvlText w:val="**"/>
      <w:numFmt w:val="bullet"/>
      <w:start w:val="1"/>
    </w:lvl>
    <w:lvl w:ilvl="1">
      <w:lvlJc w:val="left"/>
      <w:lvlText w:val="%2"/>
      <w:numFmt w:val="decimal"/>
      <w:start w:val="1"/>
    </w:lvl>
  </w:abstractNum>
  <w:abstractNum w:abstractNumId="23">
    <w:nsid w:val="8138641"/>
    <w:multiLevelType w:val="hybridMultilevel"/>
    <w:lvl w:ilvl="0">
      <w:lvlJc w:val="left"/>
      <w:lvlText w:val="1"/>
      <w:numFmt w:val="bullet"/>
      <w:start w:val="1"/>
    </w:lvl>
  </w:abstractNum>
  <w:abstractNum w:abstractNumId="24">
    <w:nsid w:val="1E7FF521"/>
    <w:multiLevelType w:val="hybridMultilevel"/>
    <w:lvl w:ilvl="0">
      <w:lvlJc w:val="left"/>
      <w:lvlText w:val="2"/>
      <w:numFmt w:val="bullet"/>
      <w:start w:val="1"/>
    </w:lvl>
  </w:abstractNum>
  <w:abstractNum w:abstractNumId="25">
    <w:nsid w:val="7C3DBD3D"/>
    <w:multiLevelType w:val="hybridMultilevel"/>
    <w:lvl w:ilvl="0">
      <w:lvlJc w:val="left"/>
      <w:lvlText w:val="3"/>
      <w:numFmt w:val="bullet"/>
      <w:start w:val="1"/>
    </w:lvl>
  </w:abstractNum>
  <w:abstractNum w:abstractNumId="26">
    <w:nsid w:val="737B8DDC"/>
    <w:multiLevelType w:val="hybridMultilevel"/>
    <w:lvl w:ilvl="0">
      <w:lvlJc w:val="left"/>
      <w:lvlText w:val="4"/>
      <w:numFmt w:val="bullet"/>
      <w:start w:val="1"/>
    </w:lvl>
  </w:abstractNum>
  <w:abstractNum w:abstractNumId="27">
    <w:nsid w:val="6CEAF087"/>
    <w:multiLevelType w:val="hybridMultilevel"/>
    <w:lvl w:ilvl="0">
      <w:lvlJc w:val="left"/>
      <w:lvlText w:val="5"/>
      <w:numFmt w:val="bullet"/>
      <w:start w:val="1"/>
    </w:lvl>
  </w:abstractNum>
  <w:abstractNum w:abstractNumId="28">
    <w:nsid w:val="22221A70"/>
    <w:multiLevelType w:val="hybridMultilevel"/>
    <w:lvl w:ilvl="0">
      <w:lvlJc w:val="left"/>
      <w:lvlText w:val="1"/>
      <w:numFmt w:val="bullet"/>
      <w:start w:val="1"/>
    </w:lvl>
  </w:abstractNum>
  <w:abstractNum w:abstractNumId="29">
    <w:nsid w:val="4516DDE9"/>
    <w:multiLevelType w:val="hybridMultilevel"/>
    <w:lvl w:ilvl="0">
      <w:lvlJc w:val="left"/>
      <w:lvlText w:val="2"/>
      <w:numFmt w:val="bullet"/>
      <w:start w:val="1"/>
    </w:lvl>
  </w:abstractNum>
  <w:abstractNum w:abstractNumId="30">
    <w:nsid w:val="3006C83E"/>
    <w:multiLevelType w:val="hybridMultilevel"/>
    <w:lvl w:ilvl="0">
      <w:lvlJc w:val="left"/>
      <w:lvlText w:val="3"/>
      <w:numFmt w:val="bullet"/>
      <w:start w:val="1"/>
    </w:lvl>
  </w:abstractNum>
  <w:abstractNum w:abstractNumId="31">
    <w:nsid w:val="614FD4A1"/>
    <w:multiLevelType w:val="hybridMultilevel"/>
    <w:lvl w:ilvl="0">
      <w:lvlJc w:val="left"/>
      <w:lvlText w:val="4"/>
      <w:numFmt w:val="bullet"/>
      <w:start w:val="1"/>
    </w:lvl>
  </w:abstractNum>
  <w:abstractNum w:abstractNumId="32">
    <w:nsid w:val="419AC241"/>
    <w:multiLevelType w:val="hybridMultilevel"/>
    <w:lvl w:ilvl="0">
      <w:lvlJc w:val="left"/>
      <w:lvlText w:val="d"/>
      <w:numFmt w:val="bullet"/>
      <w:start w:val="1"/>
    </w:lvl>
  </w:abstractNum>
  <w:abstractNum w:abstractNumId="33">
    <w:nsid w:val="5577F8E1"/>
    <w:multiLevelType w:val="hybridMultilevel"/>
    <w:lvl w:ilvl="0">
      <w:lvlJc w:val="left"/>
      <w:lvlText w:val="5"/>
      <w:numFmt w:val="bullet"/>
      <w:start w:val="1"/>
    </w:lvl>
  </w:abstractNum>
  <w:abstractNum w:abstractNumId="34">
    <w:nsid w:val="440BADFC"/>
    <w:multiLevelType w:val="hybridMultilevel"/>
    <w:lvl w:ilvl="0">
      <w:lvlJc w:val="left"/>
      <w:lvlText w:val="2"/>
      <w:numFmt w:val="bullet"/>
      <w:start w:val="1"/>
    </w:lvl>
  </w:abstractNum>
  <w:abstractNum w:abstractNumId="35">
    <w:nsid w:val="507236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2023-10-27T13:15:00Z</dcterms:created>
  <dcterms:modified xsi:type="dcterms:W3CDTF">2023-10-27T13:15:00Z</dcterms:modified>
</cp:coreProperties>
</file>