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CURRENT REPORT PURSUANT TO SECTION 13 OR 15(d)</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19, 2020</w:t>
      </w:r>
    </w:p>
    <w:p>
      <w:pPr>
        <w:spacing w:after="0" w:line="3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7"/>
          <w:szCs w:val="17"/>
          <w:u w:val="single" w:color="auto"/>
          <w:color w:val="auto"/>
        </w:rPr>
        <w:t>____________________</w:t>
      </w:r>
    </w:p>
    <w:p>
      <w:pPr>
        <w:spacing w:after="0" w:line="1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Civeo Corporation</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ectPr>
          <w:pgSz w:w="11900" w:h="16838" w:orient="portrait"/>
          <w:cols w:equalWidth="0" w:num="1">
            <w:col w:w="11240"/>
          </w:cols>
          <w:pgMar w:left="300" w:top="1144" w:right="359" w:bottom="1440" w:gutter="0" w:footer="0" w:header="0"/>
        </w:sectPr>
      </w:pPr>
    </w:p>
    <w:p>
      <w:pPr>
        <w:spacing w:after="0" w:line="2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1-36246</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98-1253716</w:t>
      </w:r>
    </w:p>
    <w:p>
      <w:pPr>
        <w:spacing w:after="0" w:line="18" w:lineRule="exact"/>
        <w:rPr>
          <w:sz w:val="24"/>
          <w:szCs w:val="24"/>
          <w:color w:val="auto"/>
        </w:rPr>
      </w:pPr>
    </w:p>
    <w:p>
      <w:pPr>
        <w:sectPr>
          <w:pgSz w:w="11900" w:h="16838" w:orient="portrait"/>
          <w:cols w:equalWidth="0" w:num="3">
            <w:col w:w="4580" w:space="720"/>
            <w:col w:w="2640" w:space="720"/>
            <w:col w:w="2580"/>
          </w:cols>
          <w:pgMar w:left="300" w:top="114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5"/>
          <w:szCs w:val="15"/>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3"/>
          <w:szCs w:val="13"/>
          <w:color w:val="auto"/>
        </w:rPr>
        <w:t>of incorporation or organization)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3"/>
          <w:szCs w:val="13"/>
          <w:color w:val="auto"/>
        </w:rPr>
        <w:t>(Commission File</w:t>
      </w:r>
    </w:p>
    <w:p>
      <w:pPr>
        <w:spacing w:after="0" w:line="7"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5"/>
          <w:szCs w:val="15"/>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5"/>
          <w:szCs w:val="15"/>
          <w:color w:val="auto"/>
        </w:rPr>
        <w:t>(I.R.S. Employer</w:t>
      </w: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129" w:lineRule="exact"/>
        <w:rPr>
          <w:sz w:val="24"/>
          <w:szCs w:val="24"/>
          <w:color w:val="auto"/>
        </w:rPr>
      </w:pPr>
    </w:p>
    <w:p>
      <w:pPr>
        <w:sectPr>
          <w:pgSz w:w="11900" w:h="16838" w:orient="portrait"/>
          <w:cols w:equalWidth="0" w:num="3">
            <w:col w:w="4340" w:space="720"/>
            <w:col w:w="2560" w:space="720"/>
            <w:col w:w="2900"/>
          </w:cols>
          <w:pgMar w:left="300" w:top="1144" w:right="35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7"/>
          <w:szCs w:val="17"/>
          <w:b w:val="1"/>
          <w:bCs w:val="1"/>
          <w:color w:val="auto"/>
        </w:rPr>
        <w:t>Three Allen Center</w:t>
      </w:r>
    </w:p>
    <w:p>
      <w:pPr>
        <w:spacing w:after="0" w:line="1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333 Clay Street, Suite 4980</w:t>
      </w:r>
    </w:p>
    <w:p>
      <w:pPr>
        <w:sectPr>
          <w:pgSz w:w="11900" w:h="16838" w:orient="portrait"/>
          <w:cols w:equalWidth="0" w:num="1">
            <w:col w:w="11240"/>
          </w:cols>
          <w:pgMar w:left="300" w:top="1144" w:right="359" w:bottom="1440" w:gutter="0" w:footer="0" w:header="0"/>
          <w:type w:val="continuous"/>
        </w:sectPr>
      </w:pPr>
    </w:p>
    <w:p>
      <w:pPr>
        <w:spacing w:after="0" w:line="13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Houston, Texas</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77002</w:t>
      </w:r>
    </w:p>
    <w:p>
      <w:pPr>
        <w:spacing w:after="0" w:line="34" w:lineRule="exact"/>
        <w:rPr>
          <w:sz w:val="24"/>
          <w:szCs w:val="24"/>
          <w:color w:val="auto"/>
        </w:rPr>
      </w:pPr>
    </w:p>
    <w:p>
      <w:pPr>
        <w:sectPr>
          <w:pgSz w:w="11900" w:h="16838" w:orient="portrait"/>
          <w:cols w:equalWidth="0" w:num="2">
            <w:col w:w="6000" w:space="460"/>
            <w:col w:w="4780"/>
          </w:cols>
          <w:pgMar w:left="300" w:top="114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color w:val="auto"/>
        </w:rPr>
        <w:t>(Address and zip code of principal executive offices)</w:t>
      </w:r>
    </w:p>
    <w:p>
      <w:pPr>
        <w:sectPr>
          <w:pgSz w:w="11900" w:h="16838" w:orient="portrait"/>
          <w:cols w:equalWidth="0" w:num="1">
            <w:col w:w="11240"/>
          </w:cols>
          <w:pgMar w:left="300" w:top="1144" w:right="359" w:bottom="1440" w:gutter="0" w:footer="0" w:header="0"/>
          <w:type w:val="continuous"/>
        </w:sectPr>
      </w:pPr>
    </w:p>
    <w:p>
      <w:pPr>
        <w:spacing w:after="0" w:line="3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 xml:space="preserve">Registrant’s telephone number, including area code: </w:t>
      </w:r>
      <w:r>
        <w:rPr>
          <w:rFonts w:ascii="Times New Roman" w:cs="Times New Roman" w:eastAsia="Times New Roman" w:hAnsi="Times New Roman"/>
          <w:sz w:val="15"/>
          <w:szCs w:val="15"/>
          <w:color w:val="auto"/>
        </w:rPr>
        <w:t>(713) 510-2400</w:t>
      </w:r>
    </w:p>
    <w:p>
      <w:pPr>
        <w:spacing w:after="0" w:line="396" w:lineRule="exact"/>
        <w:rPr>
          <w:sz w:val="24"/>
          <w:szCs w:val="24"/>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64" w:lineRule="exact"/>
        <w:rPr>
          <w:sz w:val="24"/>
          <w:szCs w:val="24"/>
          <w:color w:val="auto"/>
        </w:rPr>
      </w:pPr>
    </w:p>
    <w:p>
      <w:pPr>
        <w:ind w:left="180" w:hanging="173"/>
        <w:spacing w:after="0"/>
        <w:tabs>
          <w:tab w:leader="none" w:pos="1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7" w:lineRule="exact"/>
        <w:rPr>
          <w:rFonts w:ascii="MS PGothic" w:cs="MS PGothic" w:eastAsia="MS PGothic" w:hAnsi="MS PGothic"/>
          <w:sz w:val="15"/>
          <w:szCs w:val="15"/>
          <w:color w:val="auto"/>
        </w:rPr>
      </w:pPr>
    </w:p>
    <w:p>
      <w:pPr>
        <w:ind w:left="180" w:hanging="173"/>
        <w:spacing w:after="0"/>
        <w:tabs>
          <w:tab w:leader="none" w:pos="1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7" w:lineRule="exact"/>
        <w:rPr>
          <w:rFonts w:ascii="MS PGothic" w:cs="MS PGothic" w:eastAsia="MS PGothic" w:hAnsi="MS PGothic"/>
          <w:sz w:val="15"/>
          <w:szCs w:val="15"/>
          <w:color w:val="auto"/>
        </w:rPr>
      </w:pPr>
    </w:p>
    <w:p>
      <w:pPr>
        <w:ind w:left="180" w:hanging="173"/>
        <w:spacing w:after="0"/>
        <w:tabs>
          <w:tab w:leader="none" w:pos="1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7" w:lineRule="exact"/>
        <w:rPr>
          <w:rFonts w:ascii="MS PGothic" w:cs="MS PGothic" w:eastAsia="MS PGothic" w:hAnsi="MS PGothic"/>
          <w:sz w:val="15"/>
          <w:szCs w:val="15"/>
          <w:color w:val="auto"/>
        </w:rPr>
      </w:pPr>
    </w:p>
    <w:p>
      <w:pPr>
        <w:ind w:right="4580" w:firstLine="7"/>
        <w:spacing w:after="0" w:line="457" w:lineRule="auto"/>
        <w:tabs>
          <w:tab w:leader="none" w:pos="16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1"/>
        </w:trPr>
        <w:tc>
          <w:tcPr>
            <w:tcW w:w="37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5"/>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6"/>
              </w:rPr>
              <w:t>Trading Symbol(s)</w:t>
            </w:r>
          </w:p>
        </w:tc>
        <w:tc>
          <w:tcPr>
            <w:tcW w:w="48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6"/>
              </w:rPr>
              <w:t>Name of Each Exchange on Which Registered</w:t>
            </w:r>
          </w:p>
        </w:tc>
      </w:tr>
      <w:tr>
        <w:trPr>
          <w:trHeight w:val="83"/>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r>
        <w:trPr>
          <w:trHeight w:val="180"/>
        </w:trPr>
        <w:tc>
          <w:tcPr>
            <w:tcW w:w="37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5"/>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7"/>
              </w:rPr>
              <w:t>CVEO</w:t>
            </w:r>
          </w:p>
        </w:tc>
        <w:tc>
          <w:tcPr>
            <w:tcW w:w="48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5"/>
                <w:szCs w:val="15"/>
                <w:color w:val="auto"/>
                <w:w w:val="96"/>
              </w:rPr>
              <w:t>New York Stock Exchange</w:t>
            </w:r>
          </w:p>
        </w:tc>
      </w:tr>
      <w:tr>
        <w:trPr>
          <w:trHeight w:val="83"/>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bl>
    <w:p>
      <w:pPr>
        <w:spacing w:after="0" w:line="160" w:lineRule="exact"/>
        <w:rPr>
          <w:sz w:val="24"/>
          <w:szCs w:val="24"/>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645795</wp:posOffset>
            </wp:positionV>
            <wp:extent cx="71589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ectPr>
          <w:pgSz w:w="11900" w:h="16838" w:orient="portrait"/>
          <w:cols w:equalWidth="0" w:num="1">
            <w:col w:w="11240"/>
          </w:cols>
          <w:pgMar w:left="300" w:top="1144" w:right="359" w:bottom="1440" w:gutter="0" w:footer="0" w:header="0"/>
          <w:type w:val="continuous"/>
        </w:sectPr>
      </w:pPr>
    </w:p>
    <w:bookmarkStart w:id="1" w:name="page2"/>
    <w:bookmarkEnd w:id="1"/>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99" w:lineRule="exact"/>
        <w:rPr>
          <w:sz w:val="20"/>
          <w:szCs w:val="20"/>
          <w:color w:val="auto"/>
        </w:rPr>
      </w:pPr>
    </w:p>
    <w:p>
      <w:pPr>
        <w:ind w:right="520"/>
        <w:spacing w:after="0" w:line="19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3.03. Material Modification to Rights of Security Holders.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extent required by Item 3.03 of Form 8-K, the information contained in Item 5.03 of this report is incorporated herein by reference.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5.03. Amendment to Articles of Incorporation or Bylaws; Change in Fiscal Year.</w:t>
      </w:r>
    </w:p>
    <w:p>
      <w:pPr>
        <w:spacing w:after="0" w:line="189"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5"/>
          <w:szCs w:val="15"/>
          <w:color w:val="auto"/>
        </w:rPr>
        <w:t>As previously announced, on November 3, 2020, the Board of Directors of Civeo Corporation (the “Company”) approved a 1-for-12 reverse share split (the “Reverse Split”) of the Company’s issued and outstanding common shares (the “Common Shares”). On November 19, 2020, the Company filed with the Corporate Registry of British Columbia a Certificate of Amendment to its Notice of Articles (the “Amendment”) to effect the Reverse Split, and the Amendment became effective at 11:59 p.m., eastern time, on the same date. The Common Shares began trading on a split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adjusted basis when the market opened on November 20, 2020.</w:t>
      </w:r>
    </w:p>
    <w:p>
      <w:pPr>
        <w:spacing w:after="0" w:line="15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As a result of the Reverse Split, every 12 shares of the Company’s issued and outstanding Common Shares automatically converted into one Common Share, without any change in the par value per share. A total of 14,215,169 Common Shares were issued and outstanding immediately after the Reverse Split became effective on November 19, 2020. No fractional shares were outstanding following the Reverse Split. In lieu of any fractional share, the aggregate number of common shares that a holder was entitled to was, if the fraction was less than half a common</w:t>
      </w:r>
    </w:p>
    <w:p>
      <w:pPr>
        <w:jc w:val="both"/>
        <w:spacing w:after="0" w:line="260" w:lineRule="auto"/>
        <w:rPr>
          <w:sz w:val="20"/>
          <w:szCs w:val="20"/>
          <w:color w:val="auto"/>
        </w:rPr>
      </w:pPr>
      <w:r>
        <w:rPr>
          <w:rFonts w:ascii="Times New Roman" w:cs="Times New Roman" w:eastAsia="Times New Roman" w:hAnsi="Times New Roman"/>
          <w:sz w:val="15"/>
          <w:szCs w:val="15"/>
          <w:color w:val="auto"/>
        </w:rPr>
        <w:t>share, rounded down to the next closest whole number of common shares, and if the fraction was at least half of a common share, rounded up to one whole common share. As previously approved by the Company’s shareholders and in accordance with the Amendment, the number of authorized Common Shares was reduced to 46,000,000 shares.</w:t>
      </w:r>
    </w:p>
    <w:p>
      <w:pPr>
        <w:spacing w:after="0" w:line="15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Neither the Reverse Split nor the Amendment affected the number of authorized or issued and outstanding shares of the Company’s preferred shares. As a result of the Reverse Split, the conversion price for the Company’s outstanding Class A Series 1 preferred shares (“Series A preferred shares”) was automatically increased to $39.60 for each Series A preferred share (previously it was $3.30 per Series A preferred share).</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In addition, effective as of the same time as the Reverse Split, the Company’s Board of Directors reduced the number of Common Shares available for issuance under the Company’s equity compensation plans in proportion to the Reverse Split ratio. Upon effectiveness, the Reverse Split also resulted in reductions in the number of Common Shares issuable upon exercise or vesting of equity awards in proportion to the Reverse Split ratio and caused a proportionate increase in the exercise price, if any, applicable to such awards.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The Company’s Common Shares will continue to trade on the New York Stock Exchange under the symbol “CVEO.” The new CUSIP number for Common Shares following the Reverse Split is 17878Y207. Computershare, the Company’s transfer agent, is acting as the exchange agent for the Reverse Split.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For more information about the Reverse Split, see the Company’s definitive proxy statement filed with the Securities and Exchange Commission on April 13, 2020. The text of the Amendment is attached as Exhibit 3.1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645795</wp:posOffset>
            </wp:positionV>
            <wp:extent cx="7158990"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13970"/>
                    </a:xfrm>
                    <a:prstGeom prst="rect">
                      <a:avLst/>
                    </a:prstGeom>
                    <a:noFill/>
                  </pic:spPr>
                </pic:pic>
              </a:graphicData>
            </a:graphic>
          </wp:anchor>
        </w:drawing>
      </w:r>
    </w:p>
    <w:p>
      <w:pPr>
        <w:sectPr>
          <w:pgSz w:w="11900" w:h="16838" w:orient="portrait"/>
          <w:cols w:equalWidth="0" w:num="1">
            <w:col w:w="11280"/>
          </w:cols>
          <w:pgMar w:left="300" w:top="122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200" w:lineRule="exact"/>
        <w:rPr>
          <w:sz w:val="20"/>
          <w:szCs w:val="20"/>
          <w:color w:val="auto"/>
        </w:rPr>
      </w:pPr>
    </w:p>
    <w:p>
      <w:pPr>
        <w:ind w:left="460" w:hanging="308"/>
        <w:spacing w:after="0"/>
        <w:tabs>
          <w:tab w:leader="none" w:pos="46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Exhibits</w:t>
      </w:r>
      <w:r>
        <w:rPr>
          <w:rFonts w:ascii="Times New Roman" w:cs="Times New Roman" w:eastAsia="Times New Roman" w:hAnsi="Times New Roman"/>
          <w:sz w:val="15"/>
          <w:szCs w:val="15"/>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Exhibit</w:t>
            </w:r>
          </w:p>
        </w:tc>
        <w:tc>
          <w:tcPr>
            <w:tcW w:w="1014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rPr>
              <w:t>Description of Document</w:t>
            </w:r>
          </w:p>
        </w:tc>
      </w:tr>
      <w:tr>
        <w:trPr>
          <w:trHeight w:val="122"/>
        </w:trPr>
        <w:tc>
          <w:tcPr>
            <w:tcW w:w="20" w:type="dxa"/>
            <w:vAlign w:val="bottom"/>
          </w:tcPr>
          <w:p>
            <w:pPr>
              <w:spacing w:after="0"/>
              <w:rPr>
                <w:sz w:val="10"/>
                <w:szCs w:val="10"/>
                <w:color w:val="auto"/>
              </w:rPr>
            </w:pPr>
          </w:p>
        </w:tc>
        <w:tc>
          <w:tcPr>
            <w:tcW w:w="48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Number</w:t>
            </w: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8020" w:type="dxa"/>
            <w:vAlign w:val="bottom"/>
          </w:tcPr>
          <w:p>
            <w:pPr>
              <w:spacing w:after="0"/>
              <w:rPr>
                <w:sz w:val="10"/>
                <w:szCs w:val="10"/>
                <w:color w:val="auto"/>
              </w:rPr>
            </w:pPr>
          </w:p>
        </w:tc>
      </w:tr>
      <w:tr>
        <w:trPr>
          <w:trHeight w:val="198"/>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3.1</w:t>
            </w:r>
          </w:p>
        </w:tc>
        <w:tc>
          <w:tcPr>
            <w:tcW w:w="640" w:type="dxa"/>
            <w:vAlign w:val="bottom"/>
          </w:tcPr>
          <w:p>
            <w:pPr>
              <w:spacing w:after="0"/>
              <w:rPr>
                <w:sz w:val="17"/>
                <w:szCs w:val="17"/>
                <w:color w:val="auto"/>
              </w:rPr>
            </w:pPr>
          </w:p>
        </w:tc>
        <w:tc>
          <w:tcPr>
            <w:tcW w:w="10140" w:type="dxa"/>
            <w:vAlign w:val="bottom"/>
            <w:gridSpan w:val="3"/>
          </w:tcPr>
          <w:p>
            <w:pPr>
              <w:ind w:left="640"/>
              <w:spacing w:after="0"/>
              <w:rPr>
                <w:rFonts w:ascii="Times New Roman" w:cs="Times New Roman" w:eastAsia="Times New Roman" w:hAnsi="Times New Roman"/>
                <w:sz w:val="15"/>
                <w:szCs w:val="15"/>
                <w:u w:val="single" w:color="auto"/>
                <w:color w:val="0000FF"/>
              </w:rPr>
            </w:pPr>
            <w:hyperlink w:anchor="page5">
              <w:r>
                <w:rPr>
                  <w:rFonts w:ascii="Times New Roman" w:cs="Times New Roman" w:eastAsia="Times New Roman" w:hAnsi="Times New Roman"/>
                  <w:sz w:val="15"/>
                  <w:szCs w:val="15"/>
                  <w:u w:val="single" w:color="auto"/>
                  <w:color w:val="0000FF"/>
                </w:rPr>
                <w:t>Certificate of Amendment to the Notice of Articles of Civeo Corporation.</w:t>
              </w:r>
            </w:hyperlink>
          </w:p>
        </w:tc>
      </w:tr>
      <w:tr>
        <w:trPr>
          <w:trHeight w:val="305"/>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640" w:type="dxa"/>
            <w:vAlign w:val="bottom"/>
          </w:tcPr>
          <w:p>
            <w:pPr>
              <w:spacing w:after="0"/>
              <w:rPr>
                <w:sz w:val="24"/>
                <w:szCs w:val="24"/>
                <w:color w:val="auto"/>
              </w:rPr>
            </w:pPr>
          </w:p>
        </w:tc>
        <w:tc>
          <w:tcPr>
            <w:tcW w:w="10140" w:type="dxa"/>
            <w:vAlign w:val="bottom"/>
            <w:gridSpan w:val="3"/>
          </w:tcPr>
          <w:p>
            <w:pPr>
              <w:ind w:left="640"/>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 101)</w:t>
            </w:r>
          </w:p>
        </w:tc>
      </w:tr>
      <w:tr>
        <w:trPr>
          <w:trHeight w:val="1733"/>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7156450</wp:posOffset>
            </wp:positionH>
            <wp:positionV relativeFrom="paragraph">
              <wp:posOffset>-6350</wp:posOffset>
            </wp:positionV>
            <wp:extent cx="69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69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1397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-1534795</wp:posOffset>
            </wp:positionV>
            <wp:extent cx="228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November 20, 2020</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5"/>
          <w:szCs w:val="15"/>
          <w:b w:val="1"/>
          <w:bCs w:val="1"/>
          <w:color w:val="auto"/>
        </w:rPr>
        <w:t>CIVEO CORPORATION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 xml:space="preserve">By: /s/ Carolyn J. Stone </w:t>
      </w:r>
      <w:r>
        <w:rPr>
          <w:rFonts w:ascii="Times New Roman" w:cs="Times New Roman" w:eastAsia="Times New Roman" w:hAnsi="Times New Roman"/>
          <w:sz w:val="15"/>
          <w:szCs w:val="15"/>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-9525</wp:posOffset>
            </wp:positionV>
            <wp:extent cx="7683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0" cy="6985"/>
                    </a:xfrm>
                    <a:prstGeom prst="rect">
                      <a:avLst/>
                    </a:prstGeom>
                    <a:noFill/>
                  </pic:spPr>
                </pic:pic>
              </a:graphicData>
            </a:graphic>
          </wp:anchor>
        </w:drawing>
      </w:r>
    </w:p>
    <w:p>
      <w:pPr>
        <w:ind w:left="1260"/>
        <w:spacing w:after="0"/>
        <w:tabs>
          <w:tab w:leader="none" w:pos="1760" w:val="left"/>
        </w:tabs>
        <w:rPr>
          <w:sz w:val="20"/>
          <w:szCs w:val="20"/>
          <w:color w:val="auto"/>
        </w:rPr>
      </w:pPr>
      <w:r>
        <w:rPr>
          <w:rFonts w:ascii="Times New Roman" w:cs="Times New Roman" w:eastAsia="Times New Roman" w:hAnsi="Times New Roman"/>
          <w:sz w:val="15"/>
          <w:szCs w:val="15"/>
          <w:color w:val="auto"/>
        </w:rPr>
        <w:t>Name:</w:t>
      </w:r>
      <w:r>
        <w:rPr>
          <w:sz w:val="20"/>
          <w:szCs w:val="20"/>
          <w:color w:val="auto"/>
        </w:rPr>
        <w:tab/>
      </w:r>
      <w:r>
        <w:rPr>
          <w:rFonts w:ascii="Times New Roman" w:cs="Times New Roman" w:eastAsia="Times New Roman" w:hAnsi="Times New Roman"/>
          <w:sz w:val="13"/>
          <w:szCs w:val="13"/>
          <w:color w:val="auto"/>
        </w:rPr>
        <w:t>Carolyn J. Stone</w:t>
      </w:r>
    </w:p>
    <w:p>
      <w:pPr>
        <w:spacing w:after="0" w:line="2" w:lineRule="exact"/>
        <w:rPr>
          <w:sz w:val="20"/>
          <w:szCs w:val="20"/>
          <w:color w:val="auto"/>
        </w:rPr>
      </w:pPr>
    </w:p>
    <w:p>
      <w:pPr>
        <w:ind w:left="3140"/>
        <w:spacing w:after="0"/>
        <w:tabs>
          <w:tab w:leader="none" w:pos="3580"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3"/>
          <w:szCs w:val="13"/>
          <w:color w:val="auto"/>
        </w:rPr>
        <w:t>Senior Vice President, Chief Financial Officer and Treasurer</w:t>
      </w:r>
    </w:p>
    <w:p>
      <w:pPr>
        <w:sectPr>
          <w:pgSz w:w="11900" w:h="16838" w:orient="portrait"/>
          <w:cols w:equalWidth="0" w:num="1">
            <w:col w:w="11080"/>
          </w:cols>
          <w:pgMar w:left="300" w:top="1073" w:right="519" w:bottom="1440" w:gutter="0" w:footer="0" w:header="0"/>
        </w:sectPr>
      </w:pPr>
    </w:p>
    <w:bookmarkStart w:id="4" w:name="page5"/>
    <w:bookmarkEnd w:id="4"/>
    <w:p>
      <w:pPr>
        <w:spacing w:after="0"/>
        <w:tabs>
          <w:tab w:leader="none" w:pos="3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310515</wp:posOffset>
            </wp:positionV>
            <wp:extent cx="7101205" cy="957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1205" cy="957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3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434975</wp:posOffset>
            </wp:positionV>
            <wp:extent cx="7101205" cy="957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1205" cy="957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3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302895</wp:posOffset>
            </wp:positionH>
            <wp:positionV relativeFrom="page">
              <wp:posOffset>434975</wp:posOffset>
            </wp:positionV>
            <wp:extent cx="7101205" cy="957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1205" cy="9575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2020-11-20T15:44:31Z</dcterms:created>
  <dcterms:modified xsi:type="dcterms:W3CDTF">2020-11-20T15:44:31Z</dcterms:modified>
</cp:coreProperties>
</file>