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ind w:left="4980"/>
        <w:spacing w:after="0"/>
        <w:rPr>
          <w:sz w:val="20"/>
          <w:szCs w:val="20"/>
          <w:color w:val="auto"/>
        </w:rPr>
      </w:pPr>
      <w:r>
        <w:rPr>
          <w:rFonts w:ascii="Arial" w:cs="Arial" w:eastAsia="Arial" w:hAnsi="Arial"/>
          <w:sz w:val="17"/>
          <w:szCs w:val="17"/>
          <w:color w:val="auto"/>
        </w:rPr>
        <w:t>UNITED STATES</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Washington, D.C. 20549</w:t>
      </w:r>
    </w:p>
    <w:p>
      <w:pPr>
        <w:spacing w:after="0" w:line="156"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44" w:lineRule="exact"/>
        <w:rPr>
          <w:sz w:val="24"/>
          <w:szCs w:val="24"/>
          <w:color w:val="auto"/>
        </w:rPr>
      </w:pPr>
    </w:p>
    <w:p>
      <w:pPr>
        <w:ind w:left="840" w:hanging="810"/>
        <w:spacing w:after="0"/>
        <w:tabs>
          <w:tab w:leader="none" w:pos="8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quarterly period ended June 30, 2023</w:t>
      </w:r>
    </w:p>
    <w:p>
      <w:pPr>
        <w:spacing w:after="0" w:line="66" w:lineRule="exact"/>
        <w:rPr>
          <w:sz w:val="24"/>
          <w:szCs w:val="24"/>
          <w:color w:val="auto"/>
        </w:rPr>
      </w:pPr>
    </w:p>
    <w:p>
      <w:pPr>
        <w:jc w:val="center"/>
        <w:ind w:left="460"/>
        <w:spacing w:after="0"/>
        <w:rPr>
          <w:sz w:val="20"/>
          <w:szCs w:val="20"/>
          <w:color w:val="auto"/>
        </w:rPr>
      </w:pPr>
      <w:r>
        <w:rPr>
          <w:rFonts w:ascii="Arial" w:cs="Arial" w:eastAsia="Arial" w:hAnsi="Arial"/>
          <w:sz w:val="17"/>
          <w:szCs w:val="17"/>
          <w:color w:val="auto"/>
        </w:rPr>
        <w:t>OR</w:t>
      </w:r>
    </w:p>
    <w:p>
      <w:pPr>
        <w:spacing w:after="0" w:line="105" w:lineRule="exact"/>
        <w:rPr>
          <w:sz w:val="24"/>
          <w:szCs w:val="24"/>
          <w:color w:val="auto"/>
        </w:rPr>
      </w:pPr>
    </w:p>
    <w:p>
      <w:pPr>
        <w:ind w:left="1300" w:hanging="808"/>
        <w:spacing w:after="0"/>
        <w:tabs>
          <w:tab w:leader="none" w:pos="13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60" w:lineRule="exact"/>
        <w:rPr>
          <w:sz w:val="24"/>
          <w:szCs w:val="24"/>
          <w:color w:val="auto"/>
        </w:rPr>
      </w:pPr>
    </w:p>
    <w:p>
      <w:pPr>
        <w:ind w:left="1300"/>
        <w:spacing w:after="0"/>
        <w:rPr>
          <w:sz w:val="20"/>
          <w:szCs w:val="20"/>
          <w:color w:val="auto"/>
        </w:rPr>
      </w:pPr>
      <w:r>
        <w:rPr>
          <w:rFonts w:ascii="Arial" w:cs="Arial" w:eastAsia="Arial" w:hAnsi="Arial"/>
          <w:sz w:val="17"/>
          <w:szCs w:val="17"/>
          <w:color w:val="auto"/>
        </w:rPr>
        <w:t>For the transition period from _________________________ to _________________________</w:t>
      </w:r>
    </w:p>
    <w:p>
      <w:pPr>
        <w:spacing w:after="0" w:line="118"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001-36246</w:t>
      </w:r>
    </w:p>
    <w:p>
      <w:pPr>
        <w:spacing w:after="0" w:line="116"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38100</wp:posOffset>
            </wp:positionV>
            <wp:extent cx="1360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pacing w:after="0" w:line="223" w:lineRule="exact"/>
        <w:rPr>
          <w:sz w:val="24"/>
          <w:szCs w:val="24"/>
          <w:color w:val="auto"/>
        </w:rPr>
      </w:pPr>
    </w:p>
    <w:tbl>
      <w:tblPr>
        <w:tblLayout w:type="fixed"/>
        <w:tblInd w:w="112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British Columbia, Canada</w:t>
            </w:r>
          </w:p>
        </w:tc>
        <w:tc>
          <w:tcPr>
            <w:tcW w:w="1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0"/>
              </w:rPr>
              <w:t>98-1253716</w:t>
            </w:r>
          </w:p>
        </w:tc>
        <w:tc>
          <w:tcPr>
            <w:tcW w:w="240" w:type="dxa"/>
            <w:vAlign w:val="bottom"/>
          </w:tcPr>
          <w:p>
            <w:pPr>
              <w:spacing w:after="0"/>
              <w:rPr>
                <w:sz w:val="16"/>
                <w:szCs w:val="16"/>
                <w:color w:val="auto"/>
              </w:rPr>
            </w:pPr>
          </w:p>
        </w:tc>
      </w:tr>
      <w:tr>
        <w:trPr>
          <w:trHeight w:val="254"/>
        </w:trPr>
        <w:tc>
          <w:tcPr>
            <w:tcW w:w="3700" w:type="dxa"/>
            <w:vAlign w:val="bottom"/>
            <w:gridSpan w:val="3"/>
          </w:tcPr>
          <w:p>
            <w:pPr>
              <w:jc w:val="center"/>
              <w:ind w:right="320"/>
              <w:spacing w:after="0"/>
              <w:rPr>
                <w:sz w:val="20"/>
                <w:szCs w:val="20"/>
                <w:color w:val="auto"/>
              </w:rPr>
            </w:pPr>
            <w:r>
              <w:rPr>
                <w:rFonts w:ascii="Arial" w:cs="Arial" w:eastAsia="Arial" w:hAnsi="Arial"/>
                <w:sz w:val="17"/>
                <w:szCs w:val="17"/>
                <w:color w:val="auto"/>
                <w:w w:val="94"/>
              </w:rPr>
              <w:t>(State or other jurisdiction of</w:t>
            </w:r>
          </w:p>
        </w:tc>
        <w:tc>
          <w:tcPr>
            <w:tcW w:w="4240" w:type="dxa"/>
            <w:vAlign w:val="bottom"/>
            <w:gridSpan w:val="5"/>
          </w:tcPr>
          <w:p>
            <w:pPr>
              <w:jc w:val="center"/>
              <w:ind w:left="2853"/>
              <w:spacing w:after="0"/>
              <w:rPr>
                <w:sz w:val="20"/>
                <w:szCs w:val="20"/>
                <w:color w:val="auto"/>
              </w:rPr>
            </w:pPr>
            <w:r>
              <w:rPr>
                <w:rFonts w:ascii="Arial" w:cs="Arial" w:eastAsia="Arial" w:hAnsi="Arial"/>
                <w:sz w:val="17"/>
                <w:szCs w:val="17"/>
                <w:color w:val="auto"/>
                <w:w w:val="94"/>
              </w:rPr>
              <w:t>(I.R.S. Employer</w:t>
            </w:r>
          </w:p>
        </w:tc>
      </w:tr>
      <w:tr>
        <w:trPr>
          <w:trHeight w:val="222"/>
        </w:trPr>
        <w:tc>
          <w:tcPr>
            <w:tcW w:w="3700" w:type="dxa"/>
            <w:vAlign w:val="bottom"/>
            <w:gridSpan w:val="3"/>
          </w:tcPr>
          <w:p>
            <w:pPr>
              <w:jc w:val="center"/>
              <w:ind w:right="320"/>
              <w:spacing w:after="0"/>
              <w:rPr>
                <w:sz w:val="20"/>
                <w:szCs w:val="20"/>
                <w:color w:val="auto"/>
              </w:rPr>
            </w:pPr>
            <w:r>
              <w:rPr>
                <w:rFonts w:ascii="Arial" w:cs="Arial" w:eastAsia="Arial" w:hAnsi="Arial"/>
                <w:sz w:val="17"/>
                <w:szCs w:val="17"/>
                <w:color w:val="auto"/>
                <w:w w:val="94"/>
              </w:rPr>
              <w:t>incorporation or organization)</w:t>
            </w:r>
          </w:p>
        </w:tc>
        <w:tc>
          <w:tcPr>
            <w:tcW w:w="4240" w:type="dxa"/>
            <w:vAlign w:val="bottom"/>
            <w:gridSpan w:val="5"/>
          </w:tcPr>
          <w:p>
            <w:pPr>
              <w:jc w:val="center"/>
              <w:ind w:left="2853"/>
              <w:spacing w:after="0"/>
              <w:rPr>
                <w:sz w:val="20"/>
                <w:szCs w:val="20"/>
                <w:color w:val="auto"/>
              </w:rPr>
            </w:pPr>
            <w:r>
              <w:rPr>
                <w:rFonts w:ascii="Arial" w:cs="Arial" w:eastAsia="Arial" w:hAnsi="Arial"/>
                <w:sz w:val="17"/>
                <w:szCs w:val="17"/>
                <w:color w:val="auto"/>
                <w:w w:val="98"/>
              </w:rPr>
              <w:t>Identification No.)</w:t>
            </w:r>
          </w:p>
        </w:tc>
      </w:tr>
      <w:tr>
        <w:trPr>
          <w:trHeight w:val="418"/>
        </w:trPr>
        <w:tc>
          <w:tcPr>
            <w:tcW w:w="3700" w:type="dxa"/>
            <w:vAlign w:val="bottom"/>
            <w:gridSpan w:val="3"/>
          </w:tcPr>
          <w:p>
            <w:pPr>
              <w:jc w:val="center"/>
              <w:ind w:right="320"/>
              <w:spacing w:after="0"/>
              <w:rPr>
                <w:sz w:val="20"/>
                <w:szCs w:val="20"/>
                <w:color w:val="auto"/>
              </w:rPr>
            </w:pPr>
            <w:r>
              <w:rPr>
                <w:rFonts w:ascii="Arial" w:cs="Arial" w:eastAsia="Arial" w:hAnsi="Arial"/>
                <w:sz w:val="17"/>
                <w:szCs w:val="17"/>
                <w:color w:val="auto"/>
                <w:w w:val="92"/>
              </w:rPr>
              <w:t>Three Allen Center, 333 Clay Street, Suite 4980,</w:t>
            </w:r>
          </w:p>
        </w:tc>
        <w:tc>
          <w:tcPr>
            <w:tcW w:w="3800" w:type="dxa"/>
            <w:vAlign w:val="bottom"/>
            <w:gridSpan w:val="3"/>
          </w:tcPr>
          <w:p>
            <w:pPr>
              <w:jc w:val="right"/>
              <w:spacing w:after="0"/>
              <w:rPr>
                <w:sz w:val="20"/>
                <w:szCs w:val="20"/>
                <w:color w:val="auto"/>
              </w:rPr>
            </w:pPr>
            <w:r>
              <w:rPr>
                <w:rFonts w:ascii="Arial" w:cs="Arial" w:eastAsia="Arial" w:hAnsi="Arial"/>
                <w:sz w:val="17"/>
                <w:szCs w:val="17"/>
                <w:color w:val="auto"/>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41"/>
        </w:trPr>
        <w:tc>
          <w:tcPr>
            <w:tcW w:w="78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Arial" w:cs="Arial" w:eastAsia="Arial" w:hAnsi="Arial"/>
                <w:sz w:val="17"/>
                <w:szCs w:val="17"/>
                <w:color w:val="auto"/>
                <w:w w:val="90"/>
              </w:rPr>
              <w:t>Houston, Texas</w:t>
            </w:r>
          </w:p>
        </w:tc>
        <w:tc>
          <w:tcPr>
            <w:tcW w:w="3160" w:type="dxa"/>
            <w:vAlign w:val="bottom"/>
          </w:tcPr>
          <w:p>
            <w:pPr>
              <w:spacing w:after="0"/>
              <w:rPr>
                <w:sz w:val="20"/>
                <w:szCs w:val="20"/>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7"/>
                <w:szCs w:val="17"/>
                <w:color w:val="auto"/>
                <w:w w:val="97"/>
              </w:rPr>
              <w:t>(Zip Code)</w:t>
            </w:r>
          </w:p>
        </w:tc>
      </w:tr>
      <w:tr>
        <w:trPr>
          <w:trHeight w:val="222"/>
        </w:trPr>
        <w:tc>
          <w:tcPr>
            <w:tcW w:w="3700" w:type="dxa"/>
            <w:vAlign w:val="bottom"/>
            <w:gridSpan w:val="3"/>
          </w:tcPr>
          <w:p>
            <w:pPr>
              <w:jc w:val="center"/>
              <w:ind w:right="340"/>
              <w:spacing w:after="0"/>
              <w:rPr>
                <w:sz w:val="20"/>
                <w:szCs w:val="20"/>
                <w:color w:val="auto"/>
              </w:rPr>
            </w:pPr>
            <w:r>
              <w:rPr>
                <w:rFonts w:ascii="Arial" w:cs="Arial" w:eastAsia="Arial" w:hAnsi="Arial"/>
                <w:sz w:val="17"/>
                <w:szCs w:val="17"/>
                <w:color w:val="auto"/>
                <w:w w:val="94"/>
              </w:rPr>
              <w:t>(Address of principal executive offices)</w:t>
            </w: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01"/>
        </w:trPr>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Arial" w:cs="Arial" w:eastAsia="Arial" w:hAnsi="Arial"/>
                <w:sz w:val="17"/>
                <w:szCs w:val="17"/>
                <w:color w:val="auto"/>
              </w:rPr>
              <w:t>(713) 510-2400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92"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(Registrant’s telephone number, including area code)</w:t>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0" w:lineRule="exact"/>
        <w:rPr>
          <w:sz w:val="24"/>
          <w:szCs w:val="24"/>
          <w:color w:val="auto"/>
        </w:rPr>
      </w:pPr>
    </w:p>
    <w:p>
      <w:pPr>
        <w:jc w:val="center"/>
        <w:ind w:left="800"/>
        <w:spacing w:after="0"/>
        <w:rPr>
          <w:sz w:val="20"/>
          <w:szCs w:val="20"/>
          <w:color w:val="auto"/>
        </w:rPr>
      </w:pPr>
      <w:r>
        <w:rPr>
          <w:rFonts w:ascii="Arial" w:cs="Arial" w:eastAsia="Arial" w:hAnsi="Arial"/>
          <w:sz w:val="16"/>
          <w:szCs w:val="16"/>
          <w:color w:val="auto"/>
        </w:rPr>
        <w:t>Title of Each Class</w:t>
      </w: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3"/>
          <w:szCs w:val="13"/>
          <w:color w:val="auto"/>
        </w:rPr>
        <w:t>Common Shares, no par value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740"/>
        <w:spacing w:after="0"/>
        <w:rPr>
          <w:sz w:val="20"/>
          <w:szCs w:val="20"/>
          <w:color w:val="auto"/>
        </w:rPr>
      </w:pPr>
      <w:r>
        <w:rPr>
          <w:rFonts w:ascii="Arial" w:cs="Arial" w:eastAsia="Arial" w:hAnsi="Arial"/>
          <w:sz w:val="13"/>
          <w:szCs w:val="13"/>
          <w:color w:val="auto"/>
        </w:rPr>
        <w:t>Trading Symbol</w:t>
      </w:r>
    </w:p>
    <w:p>
      <w:pPr>
        <w:spacing w:after="0" w:line="60"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CVEO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1540"/>
        <w:spacing w:after="0"/>
        <w:rPr>
          <w:sz w:val="20"/>
          <w:szCs w:val="20"/>
          <w:color w:val="auto"/>
        </w:rPr>
      </w:pPr>
      <w:r>
        <w:rPr>
          <w:rFonts w:ascii="Arial" w:cs="Arial" w:eastAsia="Arial" w:hAnsi="Arial"/>
          <w:sz w:val="13"/>
          <w:szCs w:val="13"/>
          <w:color w:val="auto"/>
        </w:rPr>
        <w:t>Name of Each Exchange on Which Registered</w:t>
      </w:r>
    </w:p>
    <w:p>
      <w:pPr>
        <w:spacing w:after="0" w:line="60"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New York Stock Exchange</w:t>
      </w:r>
    </w:p>
    <w:p>
      <w:pPr>
        <w:spacing w:after="0" w:line="108" w:lineRule="exact"/>
        <w:rPr>
          <w:sz w:val="24"/>
          <w:szCs w:val="24"/>
          <w:color w:val="auto"/>
        </w:rPr>
      </w:pPr>
    </w:p>
    <w:p>
      <w:pPr>
        <w:sectPr>
          <w:pgSz w:w="11900" w:h="16838" w:orient="portrait"/>
          <w:cols w:equalWidth="0" w:num="3">
            <w:col w:w="3580" w:space="720"/>
            <w:col w:w="1760" w:space="720"/>
            <w:col w:w="4460"/>
          </w:cols>
          <w:pgMar w:left="320" w:top="1440" w:right="339" w:bottom="1440" w:gutter="0" w:footer="0" w:header="0"/>
          <w:type w:val="continuous"/>
        </w:sectPr>
      </w:pPr>
    </w:p>
    <w:p>
      <w:pPr>
        <w:ind w:right="280"/>
        <w:spacing w:after="0" w:line="25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spacing w:after="0" w:line="25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7"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4" w:lineRule="exact"/>
        <w:rPr>
          <w:sz w:val="24"/>
          <w:szCs w:val="24"/>
          <w:color w:val="auto"/>
        </w:rPr>
      </w:pPr>
    </w:p>
    <w:p>
      <w:pPr>
        <w:ind w:right="20"/>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62"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5" w:lineRule="exact"/>
        <w:rPr>
          <w:sz w:val="24"/>
          <w:szCs w:val="24"/>
          <w:color w:val="auto"/>
        </w:rPr>
      </w:pPr>
    </w:p>
    <w:p>
      <w:pPr>
        <w:sectPr>
          <w:pgSz w:w="11900" w:h="16838" w:orient="portrait"/>
          <w:cols w:equalWidth="0" w:num="6">
            <w:col w:w="1340" w:space="580"/>
            <w:col w:w="160" w:space="420"/>
            <w:col w:w="1540" w:space="720"/>
            <w:col w:w="160" w:space="460"/>
            <w:col w:w="2240" w:space="720"/>
            <w:col w:w="2900"/>
          </w:cols>
          <w:pgMar w:left="320" w:top="1440" w:right="339" w:bottom="1440" w:gutter="0" w:footer="0" w:header="0"/>
          <w:type w:val="continuous"/>
        </w:sectPr>
      </w:pPr>
    </w:p>
    <w:p>
      <w:pPr>
        <w:spacing w:after="0" w:line="80"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4" w:lineRule="exact"/>
        <w:rPr>
          <w:sz w:val="24"/>
          <w:szCs w:val="24"/>
          <w:color w:val="auto"/>
        </w:rPr>
      </w:pPr>
    </w:p>
    <w:p>
      <w:pPr>
        <w:sectPr>
          <w:pgSz w:w="11900" w:h="16838" w:orient="portrait"/>
          <w:cols w:equalWidth="0" w:num="4">
            <w:col w:w="1280" w:space="640"/>
            <w:col w:w="160" w:space="420"/>
            <w:col w:w="1600" w:space="660"/>
            <w:col w:w="6480"/>
          </w:cols>
          <w:pgMar w:left="320" w:top="1440" w:right="339" w:bottom="1440" w:gutter="0" w:footer="0" w:header="0"/>
          <w:type w:val="continuous"/>
        </w:sectPr>
      </w:pPr>
    </w:p>
    <w:p>
      <w:pPr>
        <w:spacing w:after="0" w:line="147" w:lineRule="exact"/>
        <w:rPr>
          <w:sz w:val="24"/>
          <w:szCs w:val="24"/>
          <w:color w:val="auto"/>
        </w:rPr>
      </w:pPr>
    </w:p>
    <w:p>
      <w:pPr>
        <w:ind w:right="360"/>
        <w:spacing w:after="0" w:line="21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568960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p>
      <w:pPr>
        <w:jc w:val="both"/>
        <w:ind w:left="3260"/>
        <w:spacing w:after="0" w:line="161" w:lineRule="exact"/>
        <w:tabs>
          <w:tab w:leader="none" w:pos="378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14,842,671 common shares outstanding as of July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568960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7"/>
          <w:szCs w:val="17"/>
          <w:color w:val="auto"/>
        </w:rPr>
        <w:t>CIVEO CORPORATION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INDEX</w:t>
      </w:r>
    </w:p>
    <w:p>
      <w:pPr>
        <w:spacing w:after="0" w:line="147" w:lineRule="exact"/>
        <w:rPr>
          <w:sz w:val="20"/>
          <w:szCs w:val="20"/>
          <w:color w:val="auto"/>
        </w:rPr>
      </w:pPr>
    </w:p>
    <w:p>
      <w:pPr>
        <w:ind w:left="10480"/>
        <w:spacing w:after="0"/>
        <w:rPr>
          <w:sz w:val="20"/>
          <w:szCs w:val="20"/>
          <w:color w:val="auto"/>
        </w:rPr>
      </w:pPr>
      <w:r>
        <w:rPr>
          <w:rFonts w:ascii="Arial" w:cs="Arial" w:eastAsia="Arial" w:hAnsi="Arial"/>
          <w:sz w:val="14"/>
          <w:szCs w:val="14"/>
          <w:b w:val="1"/>
          <w:bCs w:val="1"/>
          <w:u w:val="single" w:color="auto"/>
          <w:color w:val="auto"/>
        </w:rPr>
        <w:t>Page No.</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6765" cy="116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16205"/>
                    </a:xfrm>
                    <a:prstGeom prst="rect">
                      <a:avLst/>
                    </a:prstGeom>
                    <a:noFill/>
                  </pic:spPr>
                </pic:pic>
              </a:graphicData>
            </a:graphic>
          </wp:anchor>
        </w:drawing>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6765"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shd w:val="clear" w:color="auto" w:fill="CCEEFF"/>
          </w:tcPr>
          <w:p>
            <w:pPr>
              <w:spacing w:after="0"/>
              <w:rPr>
                <w:sz w:val="17"/>
                <w:szCs w:val="17"/>
                <w:color w:val="auto"/>
              </w:rPr>
            </w:pPr>
          </w:p>
        </w:tc>
        <w:tc>
          <w:tcPr>
            <w:tcW w:w="10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Consolidated Financial Statements</w:t>
            </w: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Unaudited Consolidated Statements of Operations for the Three and Six Months Ended June 30, 2023 and 2022</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0000FF"/>
              </w:rPr>
              <w:t>4</w:t>
            </w:r>
          </w:p>
        </w:tc>
        <w:tc>
          <w:tcPr>
            <w:tcW w:w="20" w:type="dxa"/>
            <w:vAlign w:val="bottom"/>
          </w:tcPr>
          <w:p>
            <w:pPr>
              <w:spacing w:after="0"/>
              <w:rPr>
                <w:sz w:val="12"/>
                <w:szCs w:val="12"/>
                <w:color w:val="auto"/>
              </w:rPr>
            </w:pPr>
          </w:p>
        </w:tc>
      </w:tr>
      <w:tr>
        <w:trPr>
          <w:trHeight w:val="30"/>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3"/>
        </w:trPr>
        <w:tc>
          <w:tcPr>
            <w:tcW w:w="560" w:type="dxa"/>
            <w:vAlign w:val="bottom"/>
            <w:shd w:val="clear" w:color="auto" w:fill="CCEEFF"/>
          </w:tcPr>
          <w:p>
            <w:pPr>
              <w:spacing w:after="0"/>
              <w:rPr>
                <w:sz w:val="13"/>
                <w:szCs w:val="13"/>
                <w:color w:val="auto"/>
              </w:rPr>
            </w:pPr>
          </w:p>
        </w:tc>
        <w:tc>
          <w:tcPr>
            <w:tcW w:w="10520" w:type="dxa"/>
            <w:vAlign w:val="bottom"/>
            <w:shd w:val="clear" w:color="auto" w:fill="CCEEFF"/>
          </w:tcPr>
          <w:p>
            <w:pPr>
              <w:ind w:left="200"/>
              <w:spacing w:after="0" w:line="153" w:lineRule="exact"/>
              <w:rPr>
                <w:sz w:val="20"/>
                <w:szCs w:val="20"/>
                <w:color w:val="auto"/>
              </w:rPr>
            </w:pPr>
            <w:r>
              <w:rPr>
                <w:rFonts w:ascii="Arial" w:cs="Arial" w:eastAsia="Arial" w:hAnsi="Arial"/>
                <w:sz w:val="14"/>
                <w:szCs w:val="14"/>
                <w:color w:val="auto"/>
              </w:rPr>
              <w:t>Unaudited Consolidated Statements of Comprehensive Income (Loss) for the Three and Six Months Ended June 30, 2023 and 2022</w:t>
            </w:r>
          </w:p>
        </w:tc>
        <w:tc>
          <w:tcPr>
            <w:tcW w:w="140" w:type="dxa"/>
            <w:vAlign w:val="bottom"/>
            <w:tcBorders>
              <w:right w:val="single" w:sz="8" w:color="CCEEFF"/>
            </w:tcBorders>
            <w:shd w:val="clear" w:color="auto" w:fill="CCEEFF"/>
          </w:tcPr>
          <w:p>
            <w:pPr>
              <w:jc w:val="right"/>
              <w:spacing w:after="0" w:line="153" w:lineRule="exact"/>
              <w:rPr>
                <w:sz w:val="20"/>
                <w:szCs w:val="20"/>
                <w:color w:val="auto"/>
              </w:rPr>
            </w:pPr>
            <w:r>
              <w:rPr>
                <w:rFonts w:ascii="Arial" w:cs="Arial" w:eastAsia="Arial" w:hAnsi="Arial"/>
                <w:sz w:val="14"/>
                <w:szCs w:val="14"/>
                <w:color w:val="0000FF"/>
              </w:rPr>
              <w:t>5</w:t>
            </w:r>
          </w:p>
        </w:tc>
        <w:tc>
          <w:tcPr>
            <w:tcW w:w="20" w:type="dxa"/>
            <w:vAlign w:val="bottom"/>
            <w:shd w:val="clear" w:color="auto" w:fill="CCEEFF"/>
          </w:tcPr>
          <w:p>
            <w:pPr>
              <w:spacing w:after="0"/>
              <w:rPr>
                <w:sz w:val="13"/>
                <w:szCs w:val="13"/>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4"/>
        </w:trPr>
        <w:tc>
          <w:tcPr>
            <w:tcW w:w="560" w:type="dxa"/>
            <w:vAlign w:val="bottom"/>
          </w:tcPr>
          <w:p>
            <w:pPr>
              <w:spacing w:after="0"/>
              <w:rPr>
                <w:sz w:val="14"/>
                <w:szCs w:val="14"/>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Consolidated Balance Sheets – as of June 30, 2023 (unaudited) and December 31, 2022</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0000FF"/>
              </w:rPr>
              <w:t>6</w:t>
            </w:r>
          </w:p>
        </w:tc>
        <w:tc>
          <w:tcPr>
            <w:tcW w:w="20" w:type="dxa"/>
            <w:vAlign w:val="bottom"/>
          </w:tcPr>
          <w:p>
            <w:pPr>
              <w:spacing w:after="0"/>
              <w:rPr>
                <w:sz w:val="14"/>
                <w:szCs w:val="14"/>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Unaudited Consolidated Statements of Changes in Shareholders’ Equity for the Three and Six Months Ended June 30, 2023 and 2022</w:t>
            </w:r>
          </w:p>
        </w:tc>
        <w:tc>
          <w:tcPr>
            <w:tcW w:w="14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0000FF"/>
              </w:rPr>
              <w:t>7</w:t>
            </w:r>
          </w:p>
        </w:tc>
        <w:tc>
          <w:tcPr>
            <w:tcW w:w="20" w:type="dxa"/>
            <w:vAlign w:val="bottom"/>
            <w:shd w:val="clear" w:color="auto" w:fill="CCEEFF"/>
          </w:tcPr>
          <w:p>
            <w:pPr>
              <w:spacing w:after="0"/>
              <w:rPr>
                <w:sz w:val="12"/>
                <w:szCs w:val="12"/>
                <w:color w:val="auto"/>
              </w:rPr>
            </w:pPr>
          </w:p>
        </w:tc>
      </w:tr>
      <w:tr>
        <w:trPr>
          <w:trHeight w:val="39"/>
        </w:trPr>
        <w:tc>
          <w:tcPr>
            <w:tcW w:w="560" w:type="dxa"/>
            <w:vAlign w:val="bottom"/>
            <w:shd w:val="clear" w:color="auto" w:fill="CCEEFF"/>
          </w:tcPr>
          <w:p>
            <w:pPr>
              <w:spacing w:after="0"/>
              <w:rPr>
                <w:sz w:val="3"/>
                <w:szCs w:val="3"/>
                <w:color w:val="auto"/>
              </w:rPr>
            </w:pPr>
          </w:p>
        </w:tc>
        <w:tc>
          <w:tcPr>
            <w:tcW w:w="1052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4"/>
        </w:trPr>
        <w:tc>
          <w:tcPr>
            <w:tcW w:w="560" w:type="dxa"/>
            <w:vAlign w:val="bottom"/>
          </w:tcPr>
          <w:p>
            <w:pPr>
              <w:spacing w:after="0"/>
              <w:rPr>
                <w:sz w:val="14"/>
                <w:szCs w:val="14"/>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Unaudited Consolidated Statements of Cash Flows for the Six Months Ended June 30, 2023 and 2022</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0000FF"/>
              </w:rPr>
              <w:t>8</w:t>
            </w:r>
          </w:p>
        </w:tc>
        <w:tc>
          <w:tcPr>
            <w:tcW w:w="20" w:type="dxa"/>
            <w:vAlign w:val="bottom"/>
          </w:tcPr>
          <w:p>
            <w:pPr>
              <w:spacing w:after="0"/>
              <w:rPr>
                <w:sz w:val="14"/>
                <w:szCs w:val="14"/>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10520" w:type="dxa"/>
            <w:vAlign w:val="bottom"/>
            <w:shd w:val="clear" w:color="auto" w:fill="CCEEFF"/>
          </w:tcPr>
          <w:p>
            <w:pPr>
              <w:ind w:left="80"/>
              <w:spacing w:after="0" w:line="144" w:lineRule="exact"/>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0000FF"/>
              </w:rPr>
              <w:t>9</w:t>
            </w:r>
          </w:p>
        </w:tc>
        <w:tc>
          <w:tcPr>
            <w:tcW w:w="20" w:type="dxa"/>
            <w:vAlign w:val="bottom"/>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63"/>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FF"/>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19</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9"/>
        </w:trPr>
        <w:tc>
          <w:tcPr>
            <w:tcW w:w="1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FF"/>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3.  Quantitative and Qualitative Disclosures About Market Risk</w:t>
            </w:r>
          </w:p>
        </w:tc>
        <w:tc>
          <w:tcPr>
            <w:tcW w:w="140" w:type="dxa"/>
            <w:vAlign w:val="bottom"/>
            <w:tcBorders>
              <w:bottom w:val="single" w:sz="8" w:color="0000FF"/>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63"/>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4.  Controls and Procedures</w:t>
            </w:r>
          </w:p>
        </w:tc>
        <w:tc>
          <w:tcPr>
            <w:tcW w:w="140" w:type="dxa"/>
            <w:vAlign w:val="bottom"/>
            <w:tcBorders>
              <w:bottom w:val="single" w:sz="8" w:color="0000FF"/>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4"/>
                <w:szCs w:val="14"/>
                <w:color w:val="0000FF"/>
                <w:w w:val="76"/>
              </w:rPr>
              <w:t>34</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9"/>
        </w:trPr>
        <w:tc>
          <w:tcPr>
            <w:tcW w:w="56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7"/>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Arial" w:cs="Arial" w:eastAsia="Arial" w:hAnsi="Arial"/>
                <w:sz w:val="14"/>
                <w:szCs w:val="14"/>
                <w:color w:val="auto"/>
              </w:rPr>
              <w:t>Part II -- OTHER INFORMATION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rPr>
              <w:t>Item 1.</w:t>
            </w:r>
          </w:p>
        </w:tc>
        <w:tc>
          <w:tcPr>
            <w:tcW w:w="10520" w:type="dxa"/>
            <w:vAlign w:val="bottom"/>
          </w:tcPr>
          <w:p>
            <w:pPr>
              <w:ind w:left="40"/>
              <w:spacing w:after="0" w:line="144" w:lineRule="exact"/>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FF"/>
            </w:tcBorders>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3"/>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w w:val="99"/>
              </w:rPr>
              <w:t>Item 1A.</w:t>
            </w:r>
          </w:p>
        </w:tc>
        <w:tc>
          <w:tcPr>
            <w:tcW w:w="10520" w:type="dxa"/>
            <w:vAlign w:val="bottom"/>
          </w:tcPr>
          <w:p>
            <w:pPr>
              <w:ind w:left="20"/>
              <w:spacing w:after="0" w:line="144" w:lineRule="exact"/>
              <w:rPr>
                <w:sz w:val="20"/>
                <w:szCs w:val="20"/>
                <w:color w:val="auto"/>
              </w:rPr>
            </w:pPr>
            <w:r>
              <w:rPr>
                <w:rFonts w:ascii="Arial" w:cs="Arial" w:eastAsia="Arial" w:hAnsi="Arial"/>
                <w:sz w:val="14"/>
                <w:szCs w:val="14"/>
                <w:color w:val="auto"/>
              </w:rPr>
              <w:t>Risk Factors</w:t>
            </w:r>
          </w:p>
        </w:tc>
        <w:tc>
          <w:tcPr>
            <w:tcW w:w="140" w:type="dxa"/>
            <w:vAlign w:val="bottom"/>
            <w:tcBorders>
              <w:bottom w:val="single" w:sz="8" w:color="0000FF"/>
            </w:tcBorders>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3"/>
                <w:szCs w:val="13"/>
                <w:color w:val="auto"/>
              </w:rPr>
            </w:pPr>
          </w:p>
        </w:tc>
      </w:tr>
      <w:tr>
        <w:trPr>
          <w:trHeight w:val="219"/>
        </w:trPr>
        <w:tc>
          <w:tcPr>
            <w:tcW w:w="11080" w:type="dxa"/>
            <w:vAlign w:val="bottom"/>
            <w:gridSpan w:val="2"/>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Item 2. Unregistered Sales of Equity Securities and Use of Proceeds</w:t>
            </w:r>
          </w:p>
        </w:tc>
        <w:tc>
          <w:tcPr>
            <w:tcW w:w="140" w:type="dxa"/>
            <w:vAlign w:val="bottom"/>
            <w:tcBorders>
              <w:bottom w:val="single" w:sz="8" w:color="0000FF"/>
            </w:tcBorders>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3"/>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rPr>
              <w:t>Item 5.</w:t>
            </w:r>
          </w:p>
        </w:tc>
        <w:tc>
          <w:tcPr>
            <w:tcW w:w="10520" w:type="dxa"/>
            <w:vAlign w:val="bottom"/>
          </w:tcPr>
          <w:p>
            <w:pPr>
              <w:ind w:left="40"/>
              <w:spacing w:after="0" w:line="144" w:lineRule="exact"/>
              <w:rPr>
                <w:sz w:val="20"/>
                <w:szCs w:val="20"/>
                <w:color w:val="auto"/>
              </w:rPr>
            </w:pPr>
            <w:r>
              <w:rPr>
                <w:rFonts w:ascii="Arial" w:cs="Arial" w:eastAsia="Arial" w:hAnsi="Arial"/>
                <w:sz w:val="14"/>
                <w:szCs w:val="14"/>
                <w:color w:val="auto"/>
              </w:rPr>
              <w:t>Other Information</w:t>
            </w:r>
          </w:p>
        </w:tc>
        <w:tc>
          <w:tcPr>
            <w:tcW w:w="140" w:type="dxa"/>
            <w:vAlign w:val="bottom"/>
            <w:tcBorders>
              <w:bottom w:val="single" w:sz="8" w:color="0000FF"/>
            </w:tcBorders>
          </w:tcPr>
          <w:p>
            <w:pPr>
              <w:jc w:val="right"/>
              <w:spacing w:after="0" w:line="144" w:lineRule="exact"/>
              <w:rPr>
                <w:sz w:val="20"/>
                <w:szCs w:val="20"/>
                <w:color w:val="auto"/>
              </w:rPr>
            </w:pPr>
            <w:r>
              <w:rPr>
                <w:rFonts w:ascii="Arial" w:cs="Arial" w:eastAsia="Arial" w:hAnsi="Arial"/>
                <w:sz w:val="14"/>
                <w:szCs w:val="14"/>
                <w:color w:val="0000FF"/>
                <w:w w:val="76"/>
              </w:rPr>
              <w:t>35</w:t>
            </w:r>
          </w:p>
        </w:tc>
        <w:tc>
          <w:tcPr>
            <w:tcW w:w="20" w:type="dxa"/>
            <w:vAlign w:val="bottom"/>
          </w:tcPr>
          <w:p>
            <w:pPr>
              <w:spacing w:after="0"/>
              <w:rPr>
                <w:sz w:val="13"/>
                <w:szCs w:val="13"/>
                <w:color w:val="auto"/>
              </w:rPr>
            </w:pPr>
          </w:p>
        </w:tc>
      </w:tr>
      <w:tr>
        <w:trPr>
          <w:trHeight w:val="219"/>
        </w:trPr>
        <w:tc>
          <w:tcPr>
            <w:tcW w:w="560" w:type="dxa"/>
            <w:vAlign w:val="bottom"/>
            <w:shd w:val="clear" w:color="auto" w:fill="CCEEFF"/>
          </w:tcPr>
          <w:p>
            <w:pPr>
              <w:spacing w:after="0"/>
              <w:rPr>
                <w:sz w:val="19"/>
                <w:szCs w:val="19"/>
                <w:color w:val="auto"/>
              </w:rPr>
            </w:pPr>
          </w:p>
        </w:tc>
        <w:tc>
          <w:tcPr>
            <w:tcW w:w="105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4"/>
        </w:trPr>
        <w:tc>
          <w:tcPr>
            <w:tcW w:w="560" w:type="dxa"/>
            <w:vAlign w:val="bottom"/>
          </w:tcPr>
          <w:p>
            <w:pPr>
              <w:ind w:left="20"/>
              <w:spacing w:after="0" w:line="144" w:lineRule="exact"/>
              <w:rPr>
                <w:sz w:val="20"/>
                <w:szCs w:val="20"/>
                <w:color w:val="auto"/>
              </w:rPr>
            </w:pPr>
            <w:r>
              <w:rPr>
                <w:rFonts w:ascii="Arial" w:cs="Arial" w:eastAsia="Arial" w:hAnsi="Arial"/>
                <w:sz w:val="14"/>
                <w:szCs w:val="14"/>
                <w:color w:val="auto"/>
              </w:rPr>
              <w:t>Item 6.</w:t>
            </w:r>
          </w:p>
        </w:tc>
        <w:tc>
          <w:tcPr>
            <w:tcW w:w="10520" w:type="dxa"/>
            <w:vAlign w:val="bottom"/>
          </w:tcPr>
          <w:p>
            <w:pPr>
              <w:ind w:left="40"/>
              <w:spacing w:after="0" w:line="144" w:lineRule="exact"/>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FF"/>
            </w:tcBorders>
          </w:tcPr>
          <w:p>
            <w:pPr>
              <w:jc w:val="right"/>
              <w:spacing w:after="0" w:line="144" w:lineRule="exact"/>
              <w:rPr>
                <w:sz w:val="20"/>
                <w:szCs w:val="20"/>
                <w:color w:val="auto"/>
              </w:rPr>
            </w:pPr>
            <w:r>
              <w:rPr>
                <w:rFonts w:ascii="Arial" w:cs="Arial" w:eastAsia="Arial" w:hAnsi="Arial"/>
                <w:sz w:val="14"/>
                <w:szCs w:val="14"/>
                <w:color w:val="0000FF"/>
                <w:w w:val="76"/>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FF"/>
            </w:tcBorders>
          </w:tcPr>
          <w:p>
            <w:pPr>
              <w:jc w:val="right"/>
              <w:spacing w:after="0" w:line="144" w:lineRule="exact"/>
              <w:rPr>
                <w:sz w:val="20"/>
                <w:szCs w:val="20"/>
                <w:color w:val="auto"/>
              </w:rPr>
            </w:pPr>
            <w:r>
              <w:rPr>
                <w:rFonts w:ascii="Arial" w:cs="Arial" w:eastAsia="Arial" w:hAnsi="Arial"/>
                <w:sz w:val="14"/>
                <w:szCs w:val="14"/>
                <w:color w:val="0000FF"/>
                <w:w w:val="76"/>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FF"/>
            </w:tcBorders>
          </w:tcPr>
          <w:p>
            <w:pPr>
              <w:jc w:val="right"/>
              <w:spacing w:after="0" w:line="144" w:lineRule="exact"/>
              <w:rPr>
                <w:sz w:val="20"/>
                <w:szCs w:val="20"/>
                <w:color w:val="auto"/>
              </w:rPr>
            </w:pPr>
            <w:r>
              <w:rPr>
                <w:rFonts w:ascii="Arial" w:cs="Arial" w:eastAsia="Arial" w:hAnsi="Arial"/>
                <w:sz w:val="14"/>
                <w:szCs w:val="14"/>
                <w:color w:val="0000FF"/>
                <w:w w:val="76"/>
              </w:rPr>
              <w:t>37</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9"/>
        </w:trPr>
        <w:tc>
          <w:tcPr>
            <w:tcW w:w="6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2022</w:t>
            </w:r>
          </w:p>
        </w:tc>
      </w:tr>
      <w:tr>
        <w:trPr>
          <w:trHeight w:val="183"/>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7"/>
        </w:trPr>
        <w:tc>
          <w:tcPr>
            <w:tcW w:w="6020" w:type="dxa"/>
            <w:vAlign w:val="bottom"/>
          </w:tcPr>
          <w:p>
            <w:pPr>
              <w:ind w:left="12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178,532</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177,254</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345,909</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336,824</w:t>
            </w:r>
          </w:p>
        </w:tc>
      </w:tr>
      <w:tr>
        <w:trPr>
          <w:trHeight w:val="205"/>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12,295</w:t>
            </w:r>
          </w:p>
        </w:tc>
      </w:tr>
      <w:tr>
        <w:trPr>
          <w:trHeight w:val="181"/>
        </w:trPr>
        <w:tc>
          <w:tcPr>
            <w:tcW w:w="6020" w:type="dxa"/>
            <w:vAlign w:val="bottom"/>
          </w:tcPr>
          <w:p>
            <w:pPr>
              <w:ind w:left="12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w:t>
            </w:r>
          </w:p>
        </w:tc>
      </w:tr>
      <w:tr>
        <w:trPr>
          <w:trHeight w:val="192"/>
        </w:trPr>
        <w:tc>
          <w:tcPr>
            <w:tcW w:w="60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178,843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184,954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346,434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350,632</w:t>
            </w:r>
          </w:p>
        </w:tc>
      </w:tr>
      <w:tr>
        <w:trPr>
          <w:trHeight w:val="167"/>
        </w:trPr>
        <w:tc>
          <w:tcPr>
            <w:tcW w:w="6020" w:type="dxa"/>
            <w:vAlign w:val="bottom"/>
          </w:tcPr>
          <w:p>
            <w:pPr>
              <w:spacing w:after="0" w:line="158" w:lineRule="exact"/>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5"/>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264,725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245,168</w:t>
            </w:r>
          </w:p>
        </w:tc>
      </w:tr>
      <w:tr>
        <w:trPr>
          <w:trHeight w:val="181"/>
        </w:trPr>
        <w:tc>
          <w:tcPr>
            <w:tcW w:w="6020" w:type="dxa"/>
            <w:vAlign w:val="bottom"/>
          </w:tcPr>
          <w:p>
            <w:pPr>
              <w:ind w:left="12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9,806</w:t>
            </w:r>
          </w:p>
        </w:tc>
      </w:tr>
      <w:tr>
        <w:trPr>
          <w:trHeight w:val="198"/>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r>
      <w:tr>
        <w:trPr>
          <w:trHeight w:val="187"/>
        </w:trPr>
        <w:tc>
          <w:tcPr>
            <w:tcW w:w="60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32,649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32,895</w:t>
            </w:r>
          </w:p>
        </w:tc>
      </w:tr>
      <w:tr>
        <w:trPr>
          <w:trHeight w:val="192"/>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42,363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43,210</w:t>
            </w:r>
          </w:p>
        </w:tc>
      </w:tr>
      <w:tr>
        <w:trPr>
          <w:trHeight w:val="191"/>
        </w:trPr>
        <w:tc>
          <w:tcPr>
            <w:tcW w:w="6020" w:type="dxa"/>
            <w:vAlign w:val="bottom"/>
          </w:tcPr>
          <w:p>
            <w:pPr>
              <w:ind w:left="12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r>
      <w:tr>
        <w:trPr>
          <w:trHeight w:val="194"/>
        </w:trPr>
        <w:tc>
          <w:tcPr>
            <w:tcW w:w="60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168,671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170,712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340,166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332,153</w:t>
            </w:r>
          </w:p>
        </w:tc>
      </w:tr>
      <w:tr>
        <w:trPr>
          <w:trHeight w:val="174"/>
        </w:trPr>
        <w:tc>
          <w:tcPr>
            <w:tcW w:w="6020" w:type="dxa"/>
            <w:vAlign w:val="bottom"/>
          </w:tcPr>
          <w:p>
            <w:pPr>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14,242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6,268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18,479</w:t>
            </w:r>
          </w:p>
        </w:tc>
      </w:tr>
      <w:tr>
        <w:trPr>
          <w:trHeight w:val="212"/>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87"/>
        </w:trPr>
        <w:tc>
          <w:tcPr>
            <w:tcW w:w="602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(5,076)</w:t>
            </w:r>
          </w:p>
        </w:tc>
      </w:tr>
      <w:tr>
        <w:trPr>
          <w:trHeight w:val="205"/>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6020" w:type="dxa"/>
            <w:vAlign w:val="bottom"/>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2,877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w:t>
            </w:r>
          </w:p>
        </w:tc>
      </w:tr>
      <w:tr>
        <w:trPr>
          <w:trHeight w:val="192"/>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15,516</w:t>
            </w:r>
          </w:p>
        </w:tc>
      </w:tr>
      <w:tr>
        <w:trPr>
          <w:trHeight w:val="189"/>
        </w:trPr>
        <w:tc>
          <w:tcPr>
            <w:tcW w:w="6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(3,378)</w:t>
            </w:r>
          </w:p>
        </w:tc>
      </w:tr>
      <w:tr>
        <w:trPr>
          <w:trHeight w:val="183"/>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12,138</w:t>
            </w:r>
          </w:p>
        </w:tc>
      </w:tr>
      <w:tr>
        <w:trPr>
          <w:trHeight w:val="191"/>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w:t>
            </w:r>
          </w:p>
        </w:tc>
      </w:tr>
      <w:tr>
        <w:trPr>
          <w:trHeight w:val="194"/>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10,978</w:t>
            </w:r>
          </w:p>
        </w:tc>
      </w:tr>
      <w:tr>
        <w:trPr>
          <w:trHeight w:val="181"/>
        </w:trPr>
        <w:tc>
          <w:tcPr>
            <w:tcW w:w="602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9"/>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4"/>
                <w:szCs w:val="14"/>
                <w:b w:val="1"/>
                <w:bCs w:val="1"/>
                <w:color w:val="auto"/>
              </w:rPr>
              <w:t>Per Share Data (see Note 6)</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Basic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r>
      <w:tr>
        <w:trPr>
          <w:trHeight w:val="209"/>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Diluted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r>
      <w:tr>
        <w:trPr>
          <w:trHeight w:val="209"/>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1"/>
        </w:trPr>
        <w:tc>
          <w:tcPr>
            <w:tcW w:w="602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15,064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14,122</w:t>
            </w:r>
          </w:p>
        </w:tc>
      </w:tr>
      <w:tr>
        <w:trPr>
          <w:trHeight w:val="198"/>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14,271</w:t>
            </w:r>
          </w:p>
        </w:tc>
      </w:tr>
    </w:tbl>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480" w:top="1376" w:right="49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 CONSOLIDATED STATEMENTS OF COMPREHENSIVE INCOME (LOSS)</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38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9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2022</w:t>
            </w:r>
          </w:p>
        </w:tc>
      </w:tr>
      <w:tr>
        <w:trPr>
          <w:trHeight w:val="235"/>
        </w:trPr>
        <w:tc>
          <w:tcPr>
            <w:tcW w:w="5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12,138</w:t>
            </w:r>
          </w:p>
        </w:tc>
      </w:tr>
      <w:tr>
        <w:trPr>
          <w:trHeight w:val="139"/>
        </w:trPr>
        <w:tc>
          <w:tcPr>
            <w:tcW w:w="598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taxes:</w:t>
            </w: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1"/>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 net of zero taxes</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2,081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(12,012)</w:t>
            </w:r>
          </w:p>
        </w:tc>
      </w:tr>
      <w:tr>
        <w:trPr>
          <w:trHeight w:val="18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taxes</w:t>
            </w:r>
          </w:p>
        </w:tc>
        <w:tc>
          <w:tcPr>
            <w:tcW w:w="7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2,081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(12,012)</w:t>
            </w:r>
          </w:p>
        </w:tc>
      </w:tr>
      <w:tr>
        <w:trPr>
          <w:trHeight w:val="131"/>
        </w:trPr>
        <w:tc>
          <w:tcPr>
            <w:tcW w:w="5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6,248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91"/>
        </w:trPr>
        <w:tc>
          <w:tcPr>
            <w:tcW w:w="5980" w:type="dxa"/>
            <w:vAlign w:val="bottom"/>
          </w:tcPr>
          <w:p>
            <w:pPr>
              <w:ind w:left="14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w:t>
            </w: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Civeo Corporation</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6,474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40"/>
          </w:cols>
          <w:pgMar w:left="520" w:top="1376" w:right="5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(In Thousands, Excluding Share Amounts)</w:t>
      </w:r>
    </w:p>
    <w:p>
      <w:pPr>
        <w:sectPr>
          <w:pgSz w:w="11900" w:h="16838" w:orient="portrait"/>
          <w:cols w:equalWidth="0" w:num="1">
            <w:col w:w="11180"/>
          </w:cols>
          <w:pgMar w:left="480" w:top="13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Prepaid expenses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Assets held for sale</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assets</w:t>
      </w:r>
    </w:p>
    <w:p>
      <w:pPr>
        <w:spacing w:after="0" w:line="179" w:lineRule="exact"/>
        <w:rPr>
          <w:sz w:val="20"/>
          <w:szCs w:val="20"/>
          <w:color w:val="auto"/>
        </w:rPr>
      </w:pPr>
    </w:p>
    <w:p>
      <w:pPr>
        <w:ind w:left="20"/>
        <w:spacing w:after="0" w:line="292" w:lineRule="auto"/>
        <w:rPr>
          <w:sz w:val="20"/>
          <w:szCs w:val="20"/>
          <w:color w:val="auto"/>
        </w:rPr>
      </w:pPr>
      <w:r>
        <w:rPr>
          <w:rFonts w:ascii="Arial" w:cs="Arial" w:eastAsia="Arial" w:hAnsi="Arial"/>
          <w:sz w:val="14"/>
          <w:szCs w:val="14"/>
          <w:color w:val="auto"/>
        </w:rPr>
        <w:t>Property, plant and equipment, net Goodwill</w:t>
      </w:r>
    </w:p>
    <w:p>
      <w:pPr>
        <w:ind w:left="20"/>
        <w:spacing w:after="0"/>
        <w:rPr>
          <w:sz w:val="20"/>
          <w:szCs w:val="20"/>
          <w:color w:val="auto"/>
        </w:rPr>
      </w:pPr>
      <w:r>
        <w:rPr>
          <w:rFonts w:ascii="Arial" w:cs="Arial" w:eastAsia="Arial" w:hAnsi="Arial"/>
          <w:sz w:val="14"/>
          <w:szCs w:val="14"/>
          <w:color w:val="auto"/>
        </w:rPr>
        <w:t>Other intangible assets, net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lease right-of-use assets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assets</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2"/>
        </w:trPr>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5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December 31, 2022</w:t>
            </w:r>
          </w:p>
        </w:tc>
      </w:tr>
      <w:tr>
        <w:trPr>
          <w:trHeight w:val="23"/>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1"/>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41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8"/>
        </w:trPr>
        <w:tc>
          <w:tcPr>
            <w:tcW w:w="4400" w:type="dxa"/>
            <w:vAlign w:val="bottom"/>
            <w:gridSpan w:val="2"/>
          </w:tcPr>
          <w:p>
            <w:pPr>
              <w:jc w:val="right"/>
              <w:ind w:right="3830"/>
              <w:spacing w:after="0"/>
              <w:rPr>
                <w:sz w:val="20"/>
                <w:szCs w:val="20"/>
                <w:color w:val="auto"/>
              </w:rPr>
            </w:pPr>
            <w:r>
              <w:rPr>
                <w:rFonts w:ascii="Arial" w:cs="Arial" w:eastAsia="Arial" w:hAnsi="Arial"/>
                <w:sz w:val="14"/>
                <w:szCs w:val="14"/>
                <w:color w:val="auto"/>
                <w:w w:val="86"/>
              </w:rPr>
              <w:t>ASSETS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49"/>
        </w:trPr>
        <w:tc>
          <w:tcPr>
            <w:tcW w:w="440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11,421</w:t>
            </w:r>
          </w:p>
        </w:tc>
        <w:tc>
          <w:tcPr>
            <w:tcW w:w="300" w:type="dxa"/>
            <w:vAlign w:val="bottom"/>
            <w:gridSpan w:val="2"/>
          </w:tcPr>
          <w:p>
            <w:pPr>
              <w:jc w:val="right"/>
              <w:ind w:right="3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7,954</w:t>
            </w:r>
          </w:p>
        </w:tc>
      </w:tr>
      <w:tr>
        <w:trPr>
          <w:trHeight w:val="183"/>
        </w:trPr>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140,090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119,755</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6,907</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7,199</w:t>
            </w:r>
          </w:p>
        </w:tc>
      </w:tr>
      <w:tr>
        <w:trPr>
          <w:trHeight w:val="183"/>
        </w:trPr>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3,081</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8,204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8,653</w:t>
            </w:r>
          </w:p>
        </w:tc>
      </w:tr>
      <w:tr>
        <w:trPr>
          <w:trHeight w:val="23"/>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1"/>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175,878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153,549</w:t>
            </w:r>
          </w:p>
        </w:tc>
      </w:tr>
      <w:tr>
        <w:trPr>
          <w:trHeight w:val="334"/>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275,561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301,890</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7,672</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80,635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81,747</w:t>
            </w:r>
          </w:p>
        </w:tc>
      </w:tr>
      <w:tr>
        <w:trPr>
          <w:trHeight w:val="183"/>
        </w:trPr>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15,722</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5,604</w:t>
            </w:r>
          </w:p>
        </w:tc>
      </w:tr>
      <w:tr>
        <w:trPr>
          <w:trHeight w:val="23"/>
        </w:trPr>
        <w:tc>
          <w:tcPr>
            <w:tcW w:w="44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174"/>
        </w:trPr>
        <w:tc>
          <w:tcPr>
            <w:tcW w:w="4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558,962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566,184</w:t>
            </w:r>
          </w:p>
        </w:tc>
      </w:tr>
      <w:tr>
        <w:trPr>
          <w:trHeight w:val="22"/>
        </w:trPr>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-2073910</wp:posOffset>
            </wp:positionV>
            <wp:extent cx="7103745"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374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-1849755</wp:posOffset>
            </wp:positionV>
            <wp:extent cx="7103745"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374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-1609090</wp:posOffset>
            </wp:positionV>
            <wp:extent cx="7103745"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374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-1360170</wp:posOffset>
            </wp:positionV>
            <wp:extent cx="7103745" cy="116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3745" cy="11620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-1119505</wp:posOffset>
            </wp:positionV>
            <wp:extent cx="7103745" cy="12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374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-870585</wp:posOffset>
            </wp:positionV>
            <wp:extent cx="7103745"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3745" cy="9969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-646430</wp:posOffset>
            </wp:positionV>
            <wp:extent cx="7103745"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374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-405765</wp:posOffset>
            </wp:positionV>
            <wp:extent cx="7103745"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374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-156845</wp:posOffset>
            </wp:positionV>
            <wp:extent cx="7103745" cy="14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3745" cy="14097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-98425</wp:posOffset>
            </wp:positionV>
            <wp:extent cx="7103745"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3745" cy="1244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1940" w:space="520"/>
            <w:col w:w="8720"/>
          </w:cols>
          <w:pgMar w:left="480" w:top="1376" w:right="2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60" w:type="dxa"/>
            <w:vAlign w:val="bottom"/>
          </w:tcPr>
          <w:p>
            <w:pPr>
              <w:jc w:val="right"/>
              <w:ind w:right="4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47,763</w:t>
            </w:r>
          </w:p>
        </w:tc>
        <w:tc>
          <w:tcPr>
            <w:tcW w:w="680" w:type="dxa"/>
            <w:vAlign w:val="bottom"/>
            <w:gridSpan w:val="2"/>
          </w:tcPr>
          <w:p>
            <w:pPr>
              <w:jc w:val="right"/>
              <w:ind w:right="41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51,087</w:t>
            </w:r>
          </w:p>
        </w:tc>
        <w:tc>
          <w:tcPr>
            <w:tcW w:w="0" w:type="dxa"/>
            <w:vAlign w:val="bottom"/>
          </w:tcPr>
          <w:p>
            <w:pPr>
              <w:spacing w:after="0"/>
              <w:rPr>
                <w:sz w:val="1"/>
                <w:szCs w:val="1"/>
                <w:color w:val="auto"/>
              </w:rPr>
            </w:pPr>
          </w:p>
        </w:tc>
      </w:tr>
      <w:tr>
        <w:trPr>
          <w:trHeight w:val="205"/>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39,211</w:t>
            </w:r>
          </w:p>
        </w:tc>
        <w:tc>
          <w:tcPr>
            <w:tcW w:w="0" w:type="dxa"/>
            <w:vAlign w:val="bottom"/>
          </w:tcPr>
          <w:p>
            <w:pPr>
              <w:spacing w:after="0"/>
              <w:rPr>
                <w:sz w:val="1"/>
                <w:szCs w:val="1"/>
                <w:color w:val="auto"/>
              </w:rPr>
            </w:pPr>
          </w:p>
        </w:tc>
      </w:tr>
      <w:tr>
        <w:trPr>
          <w:trHeight w:val="181"/>
        </w:trPr>
        <w:tc>
          <w:tcPr>
            <w:tcW w:w="778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28,448</w:t>
            </w:r>
          </w:p>
        </w:tc>
        <w:tc>
          <w:tcPr>
            <w:tcW w:w="0" w:type="dxa"/>
            <w:vAlign w:val="bottom"/>
          </w:tcPr>
          <w:p>
            <w:pPr>
              <w:spacing w:after="0"/>
              <w:rPr>
                <w:sz w:val="1"/>
                <w:szCs w:val="1"/>
                <w:color w:val="auto"/>
              </w:rPr>
            </w:pPr>
          </w:p>
        </w:tc>
      </w:tr>
      <w:tr>
        <w:trPr>
          <w:trHeight w:val="187"/>
        </w:trPr>
        <w:tc>
          <w:tcPr>
            <w:tcW w:w="778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9,534</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8,342</w:t>
            </w:r>
          </w:p>
        </w:tc>
        <w:tc>
          <w:tcPr>
            <w:tcW w:w="0" w:type="dxa"/>
            <w:vAlign w:val="bottom"/>
          </w:tcPr>
          <w:p>
            <w:pPr>
              <w:spacing w:after="0"/>
              <w:rPr>
                <w:sz w:val="1"/>
                <w:szCs w:val="1"/>
                <w:color w:val="auto"/>
              </w:rPr>
            </w:pPr>
          </w:p>
        </w:tc>
      </w:tr>
      <w:tr>
        <w:trPr>
          <w:trHeight w:val="183"/>
        </w:trPr>
        <w:tc>
          <w:tcPr>
            <w:tcW w:w="778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102,682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128,257</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780" w:type="dxa"/>
            <w:vAlign w:val="bottom"/>
          </w:tcPr>
          <w:p>
            <w:pPr>
              <w:ind w:left="20"/>
              <w:spacing w:after="0"/>
              <w:rPr>
                <w:sz w:val="20"/>
                <w:szCs w:val="20"/>
                <w:color w:val="auto"/>
              </w:rPr>
            </w:pPr>
            <w:r>
              <w:rPr>
                <w:rFonts w:ascii="Arial" w:cs="Arial" w:eastAsia="Arial" w:hAnsi="Arial"/>
                <w:sz w:val="14"/>
                <w:szCs w:val="14"/>
                <w:color w:val="auto"/>
              </w:rPr>
              <w:t>Long-term debt, less current maturities</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120,999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102,505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w:t>
            </w:r>
          </w:p>
        </w:tc>
        <w:tc>
          <w:tcPr>
            <w:tcW w:w="0" w:type="dxa"/>
            <w:vAlign w:val="bottom"/>
          </w:tcPr>
          <w:p>
            <w:pPr>
              <w:spacing w:after="0"/>
              <w:rPr>
                <w:sz w:val="1"/>
                <w:szCs w:val="1"/>
                <w:color w:val="auto"/>
              </w:rPr>
            </w:pPr>
          </w:p>
        </w:tc>
      </w:tr>
      <w:tr>
        <w:trPr>
          <w:trHeight w:val="187"/>
        </w:trPr>
        <w:tc>
          <w:tcPr>
            <w:tcW w:w="778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11,446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12,771</w:t>
            </w:r>
          </w:p>
        </w:tc>
        <w:tc>
          <w:tcPr>
            <w:tcW w:w="0" w:type="dxa"/>
            <w:vAlign w:val="bottom"/>
          </w:tcPr>
          <w:p>
            <w:pPr>
              <w:spacing w:after="0"/>
              <w:rPr>
                <w:sz w:val="1"/>
                <w:szCs w:val="1"/>
                <w:color w:val="auto"/>
              </w:rPr>
            </w:pPr>
          </w:p>
        </w:tc>
      </w:tr>
      <w:tr>
        <w:trPr>
          <w:trHeight w:val="205"/>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19,874</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14,172</w:t>
            </w:r>
          </w:p>
        </w:tc>
        <w:tc>
          <w:tcPr>
            <w:tcW w:w="0" w:type="dxa"/>
            <w:vAlign w:val="bottom"/>
          </w:tcPr>
          <w:p>
            <w:pPr>
              <w:spacing w:after="0"/>
              <w:rPr>
                <w:sz w:val="1"/>
                <w:szCs w:val="1"/>
                <w:color w:val="auto"/>
              </w:rPr>
            </w:pPr>
          </w:p>
        </w:tc>
      </w:tr>
      <w:tr>
        <w:trPr>
          <w:trHeight w:val="174"/>
        </w:trPr>
        <w:tc>
          <w:tcPr>
            <w:tcW w:w="778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263,629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262,483</w:t>
            </w:r>
          </w:p>
        </w:tc>
        <w:tc>
          <w:tcPr>
            <w:tcW w:w="0" w:type="dxa"/>
            <w:vAlign w:val="bottom"/>
          </w:tcPr>
          <w:p>
            <w:pPr>
              <w:spacing w:after="0"/>
              <w:rPr>
                <w:sz w:val="1"/>
                <w:szCs w:val="1"/>
                <w:color w:val="auto"/>
              </w:rPr>
            </w:pPr>
          </w:p>
        </w:tc>
      </w:tr>
      <w:tr>
        <w:trPr>
          <w:trHeight w:val="159"/>
        </w:trPr>
        <w:tc>
          <w:tcPr>
            <w:tcW w:w="77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shares (Class A Series 1) no par value; 50,000,000 shares authorized</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7780" w:type="dxa"/>
            <w:vAlign w:val="bottom"/>
          </w:tcPr>
          <w:p>
            <w:pPr>
              <w:ind w:left="140"/>
              <w:spacing w:after="0" w:line="131" w:lineRule="exact"/>
              <w:rPr>
                <w:sz w:val="20"/>
                <w:szCs w:val="20"/>
                <w:color w:val="auto"/>
              </w:rPr>
            </w:pPr>
            <w:r>
              <w:rPr>
                <w:rFonts w:ascii="Arial" w:cs="Arial" w:eastAsia="Arial" w:hAnsi="Arial"/>
                <w:sz w:val="14"/>
                <w:szCs w:val="14"/>
                <w:color w:val="auto"/>
                <w:w w:val="94"/>
              </w:rPr>
              <w:t>Common shares (no par value; 46,000,000 shares authorized, 15,229,846 shares and 15,584,176 shares issued, respectively, and</w:t>
            </w:r>
          </w:p>
        </w:tc>
        <w:tc>
          <w:tcPr>
            <w:tcW w:w="5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780" w:type="dxa"/>
            <w:vAlign w:val="bottom"/>
          </w:tcPr>
          <w:p>
            <w:pPr>
              <w:ind w:left="140"/>
              <w:spacing w:after="0"/>
              <w:rPr>
                <w:sz w:val="20"/>
                <w:szCs w:val="20"/>
                <w:color w:val="auto"/>
              </w:rPr>
            </w:pPr>
            <w:r>
              <w:rPr>
                <w:rFonts w:ascii="Arial" w:cs="Arial" w:eastAsia="Arial" w:hAnsi="Arial"/>
                <w:sz w:val="14"/>
                <w:szCs w:val="14"/>
                <w:color w:val="auto"/>
              </w:rPr>
              <w:t>14,863,171 shares and 15,217,501 shares outstanding, respectively)</w:t>
            </w:r>
          </w:p>
        </w:tc>
        <w:tc>
          <w:tcPr>
            <w:tcW w:w="5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1,626,556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1,624,512</w:t>
            </w:r>
          </w:p>
        </w:tc>
        <w:tc>
          <w:tcPr>
            <w:tcW w:w="0" w:type="dxa"/>
            <w:vAlign w:val="bottom"/>
          </w:tcPr>
          <w:p>
            <w:pPr>
              <w:spacing w:after="0"/>
              <w:rPr>
                <w:sz w:val="1"/>
                <w:szCs w:val="1"/>
                <w:color w:val="auto"/>
              </w:rPr>
            </w:pPr>
          </w:p>
        </w:tc>
      </w:tr>
      <w:tr>
        <w:trPr>
          <w:trHeight w:val="181"/>
        </w:trPr>
        <w:tc>
          <w:tcPr>
            <w:tcW w:w="778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(939,983)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(930,123)</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shares held in treasury at cost, 366,675 and 366,675 shares, respectively</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loss</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(385,350)</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(385,187)</w:t>
            </w:r>
          </w:p>
        </w:tc>
        <w:tc>
          <w:tcPr>
            <w:tcW w:w="0" w:type="dxa"/>
            <w:vAlign w:val="bottom"/>
          </w:tcPr>
          <w:p>
            <w:pPr>
              <w:spacing w:after="0"/>
              <w:rPr>
                <w:sz w:val="1"/>
                <w:szCs w:val="1"/>
                <w:color w:val="auto"/>
              </w:rPr>
            </w:pPr>
          </w:p>
        </w:tc>
      </w:tr>
      <w:tr>
        <w:trPr>
          <w:trHeight w:val="181"/>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Civeo Corporation shareholders’ equity</w:t>
            </w: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292,160</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300,139</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3,173</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194"/>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shareholders’ equity</w:t>
            </w: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295,333</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303,701</w:t>
            </w:r>
          </w:p>
        </w:tc>
        <w:tc>
          <w:tcPr>
            <w:tcW w:w="0" w:type="dxa"/>
            <w:vAlign w:val="bottom"/>
          </w:tcPr>
          <w:p>
            <w:pPr>
              <w:spacing w:after="0"/>
              <w:rPr>
                <w:sz w:val="1"/>
                <w:szCs w:val="1"/>
                <w:color w:val="auto"/>
              </w:rPr>
            </w:pPr>
          </w:p>
        </w:tc>
      </w:tr>
      <w:tr>
        <w:trPr>
          <w:trHeight w:val="176"/>
        </w:trPr>
        <w:tc>
          <w:tcPr>
            <w:tcW w:w="778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5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558,962</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566,184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480" w:top="1376" w:right="239" w:bottom="1440" w:gutter="0" w:footer="0" w:header="0"/>
          <w:type w:val="continuous"/>
        </w:sectPr>
      </w:pPr>
    </w:p>
    <w:bookmarkStart w:id="6" w:name="page7"/>
    <w:bookmarkEnd w:id="6"/>
    <w:p>
      <w:pPr>
        <w:jc w:val="center"/>
        <w:ind w:right="-23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UNAUDITED CONSOLIDATED STATEMENTS OF</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CHANGES IN SHAREHOLDERS’ EQUITY</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2"/>
                <w:szCs w:val="12"/>
                <w:b w:val="1"/>
                <w:bCs w:val="1"/>
                <w:color w:val="auto"/>
                <w:w w:val="98"/>
              </w:rPr>
              <w:t>Attributable to Civeo</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3"/>
              </w:rPr>
              <w:t>Preferred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ind w:right="130"/>
              <w:spacing w:after="0" w:line="118" w:lineRule="exact"/>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130"/>
              <w:spacing w:after="0"/>
              <w:rPr>
                <w:sz w:val="20"/>
                <w:szCs w:val="20"/>
                <w:color w:val="auto"/>
              </w:rPr>
            </w:pPr>
            <w:r>
              <w:rPr>
                <w:rFonts w:ascii="Arial" w:cs="Arial" w:eastAsia="Arial" w:hAnsi="Arial"/>
                <w:sz w:val="12"/>
                <w:szCs w:val="12"/>
                <w:b w:val="1"/>
                <w:bCs w:val="1"/>
                <w:color w:val="auto"/>
                <w:w w:val="89"/>
              </w:rPr>
              <w:t>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restart"/>
          </w:tcPr>
          <w:p>
            <w:pPr>
              <w:jc w:val="right"/>
              <w:ind w:right="131"/>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98"/>
        </w:trPr>
        <w:tc>
          <w:tcPr>
            <w:tcW w:w="2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1"/>
              <w:spacing w:after="0" w:line="126"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vMerge w:val="restart"/>
          </w:tcPr>
          <w:p>
            <w:pPr>
              <w:jc w:val="center"/>
              <w:ind w:right="90"/>
              <w:spacing w:after="0"/>
              <w:rPr>
                <w:sz w:val="20"/>
                <w:szCs w:val="20"/>
                <w:color w:val="auto"/>
              </w:rPr>
            </w:pPr>
            <w:r>
              <w:rPr>
                <w:rFonts w:ascii="Arial" w:cs="Arial" w:eastAsia="Arial" w:hAnsi="Arial"/>
                <w:sz w:val="12"/>
                <w:szCs w:val="12"/>
                <w:b w:val="1"/>
                <w:bCs w:val="1"/>
                <w:color w:val="auto"/>
                <w:w w:val="94"/>
              </w:rPr>
              <w:t>Par Value</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right"/>
              <w:ind w:right="211"/>
              <w:spacing w:after="0" w:line="123"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91"/>
              <w:spacing w:after="0" w:line="123"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Treasury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1"/>
              <w:spacing w:after="0" w:line="123"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11"/>
              <w:spacing w:after="0" w:line="123"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1"/>
              <w:spacing w:after="0" w:line="123" w:lineRule="exact"/>
              <w:rPr>
                <w:sz w:val="20"/>
                <w:szCs w:val="20"/>
                <w:color w:val="auto"/>
              </w:rPr>
            </w:pPr>
            <w:r>
              <w:rPr>
                <w:rFonts w:ascii="Arial" w:cs="Arial" w:eastAsia="Arial" w:hAnsi="Arial"/>
                <w:sz w:val="12"/>
                <w:szCs w:val="12"/>
                <w:b w:val="1"/>
                <w:bCs w:val="1"/>
                <w:color w:val="auto"/>
                <w:w w:val="89"/>
              </w:rPr>
              <w:t>Shareholders’</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5"/>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62,428</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1,583,474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(912,037)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w w:val="94"/>
              </w:rPr>
              <w:t>(9,063)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(353,911)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372,971</w:t>
            </w: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10,230</w:t>
            </w:r>
          </w:p>
        </w:tc>
        <w:tc>
          <w:tcPr>
            <w:tcW w:w="0" w:type="dxa"/>
            <w:vAlign w:val="bottom"/>
          </w:tcPr>
          <w:p>
            <w:pPr>
              <w:spacing w:after="0"/>
              <w:rPr>
                <w:sz w:val="1"/>
                <w:szCs w:val="1"/>
                <w:color w:val="auto"/>
              </w:rPr>
            </w:pPr>
          </w:p>
        </w:tc>
      </w:tr>
      <w:tr>
        <w:trPr>
          <w:trHeight w:val="192"/>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(20,024)</w:t>
            </w: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8"/>
              </w:rPr>
              <w:t>Dividends attributable to Class A preferred</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05"/>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62,918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1,584,416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(903,492)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(373,841)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363,520</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1,625,379</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(940,247)</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94"/>
              </w:rPr>
              <w:t>(9,063)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(387,361)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3,469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292,177</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(4,199)</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92"/>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1,626,556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(939,983)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94"/>
              </w:rPr>
              <w:t>(9,063)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(385,350)</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3,173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295,333</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61,941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1,582,442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(912,951)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w w:val="94"/>
              </w:rPr>
              <w:t>(8,050)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(361,883)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363,111</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12,138</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w:t>
            </w: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8"/>
              </w:rPr>
              <w:t>Dividends attributable to Class A preferred</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4"/>
              </w:rPr>
              <w:t>(1,013)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92"/>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62,918</w:t>
            </w:r>
          </w:p>
        </w:tc>
        <w:tc>
          <w:tcPr>
            <w:tcW w:w="80" w:type="dxa"/>
            <w:vAlign w:val="bottom"/>
          </w:tcPr>
          <w:p>
            <w:pPr>
              <w:spacing w:after="0"/>
              <w:rPr>
                <w:sz w:val="16"/>
                <w:szCs w:val="16"/>
                <w:color w:val="auto"/>
              </w:rPr>
            </w:pPr>
          </w:p>
        </w:tc>
        <w:tc>
          <w:tcPr>
            <w:tcW w:w="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1,584,416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(903,492)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94"/>
              </w:rPr>
              <w:t>(9,063)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(373,841)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2,582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363,520</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1,624,512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(930,123)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94"/>
              </w:rPr>
              <w:t>(9,063)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(385,187)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3,562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303,701</w:t>
            </w: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(7,970)</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192"/>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1,626,556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(939,983)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94"/>
              </w:rPr>
              <w:t>(9,063)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(385,350)</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3,173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295,333</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vMerge w:val="restart"/>
          </w:tcPr>
          <w:p>
            <w:pPr>
              <w:jc w:val="center"/>
              <w:ind w:left="151"/>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center"/>
              <w:ind w:left="17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left="170"/>
              <w:spacing w:after="0" w:line="135" w:lineRule="exact"/>
              <w:rPr>
                <w:sz w:val="20"/>
                <w:szCs w:val="20"/>
                <w:color w:val="auto"/>
              </w:rPr>
            </w:pPr>
            <w:r>
              <w:rPr>
                <w:rFonts w:ascii="Arial" w:cs="Arial" w:eastAsia="Arial" w:hAnsi="Arial"/>
                <w:sz w:val="14"/>
                <w:szCs w:val="14"/>
                <w:b w:val="1"/>
                <w:bCs w:val="1"/>
                <w:color w:val="auto"/>
                <w:w w:val="88"/>
              </w:rPr>
              <w:t>Shares (in</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left="171"/>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left="170"/>
              <w:spacing w:after="0"/>
              <w:rPr>
                <w:sz w:val="20"/>
                <w:szCs w:val="20"/>
                <w:color w:val="auto"/>
              </w:rPr>
            </w:pPr>
            <w:r>
              <w:rPr>
                <w:rFonts w:ascii="Arial" w:cs="Arial" w:eastAsia="Arial" w:hAnsi="Arial"/>
                <w:sz w:val="14"/>
                <w:szCs w:val="14"/>
                <w:b w:val="1"/>
                <w:bCs w:val="1"/>
                <w:color w:val="auto"/>
                <w:w w:val="84"/>
              </w:rPr>
              <w:t>thousands)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15,218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14,863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sectPr>
      </w:pPr>
    </w:p>
    <w:bookmarkStart w:id="7" w:name="page8"/>
    <w:bookmarkEnd w:id="7"/>
    <w:p>
      <w:pPr>
        <w:jc w:val="center"/>
        <w:ind w:right="-41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3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 Thousands)</w:t>
      </w:r>
    </w:p>
    <w:p>
      <w:pPr>
        <w:spacing w:after="0" w:line="317"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w:t>
      </w:r>
    </w:p>
    <w:p>
      <w:pPr>
        <w:jc w:val="center"/>
        <w:ind w:left="77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8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(2,144)</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12,138</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1"/>
        </w:trPr>
        <w:tc>
          <w:tcPr>
            <w:tcW w:w="79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42,363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43,210</w:t>
            </w:r>
          </w:p>
        </w:tc>
      </w:tr>
      <w:tr>
        <w:trPr>
          <w:trHeight w:val="198"/>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expense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Non-cash compensation charge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1,974</w:t>
            </w:r>
          </w:p>
        </w:tc>
      </w:tr>
      <w:tr>
        <w:trPr>
          <w:trHeight w:val="192"/>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on disposals of assets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Provision for credit losses, net of recoveries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r>
      <w:tr>
        <w:trPr>
          <w:trHeight w:val="181"/>
        </w:trPr>
        <w:tc>
          <w:tcPr>
            <w:tcW w:w="798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7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(19,669)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(23,119)</w:t>
            </w:r>
          </w:p>
        </w:tc>
      </w:tr>
      <w:tr>
        <w:trPr>
          <w:trHeight w:val="187"/>
        </w:trPr>
        <w:tc>
          <w:tcPr>
            <w:tcW w:w="798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(1,180)</w:t>
            </w:r>
          </w:p>
        </w:tc>
      </w:tr>
      <w:tr>
        <w:trPr>
          <w:trHeight w:val="192"/>
        </w:trPr>
        <w:tc>
          <w:tcPr>
            <w:tcW w:w="7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(14,713)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(6,713)</w:t>
            </w:r>
          </w:p>
        </w:tc>
      </w:tr>
      <w:tr>
        <w:trPr>
          <w:trHeight w:val="187"/>
        </w:trPr>
        <w:tc>
          <w:tcPr>
            <w:tcW w:w="798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89"/>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current and noncurrent assets and liabilities, net</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w:t>
            </w:r>
          </w:p>
        </w:tc>
      </w:tr>
      <w:tr>
        <w:trPr>
          <w:trHeight w:val="183"/>
        </w:trPr>
        <w:tc>
          <w:tcPr>
            <w:tcW w:w="7980" w:type="dxa"/>
            <w:vAlign w:val="bottom"/>
          </w:tcPr>
          <w:p>
            <w:pPr>
              <w:ind w:left="340"/>
              <w:spacing w:after="0"/>
              <w:rPr>
                <w:sz w:val="20"/>
                <w:szCs w:val="20"/>
                <w:color w:val="auto"/>
              </w:rPr>
            </w:pPr>
            <w:r>
              <w:rPr>
                <w:rFonts w:ascii="Arial" w:cs="Arial" w:eastAsia="Arial" w:hAnsi="Arial"/>
                <w:sz w:val="14"/>
                <w:szCs w:val="14"/>
                <w:color w:val="auto"/>
              </w:rPr>
              <w:t>Net cash flows provided by operating activities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19,761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23,631</w:t>
            </w:r>
          </w:p>
        </w:tc>
      </w:tr>
      <w:tr>
        <w:trPr>
          <w:trHeight w:val="113"/>
        </w:trPr>
        <w:tc>
          <w:tcPr>
            <w:tcW w:w="79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(11,717)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(8,647)</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Proceeds from dispositions of property, plant and equipment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3,302</w:t>
            </w: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74"/>
        </w:trPr>
        <w:tc>
          <w:tcPr>
            <w:tcW w:w="7980" w:type="dxa"/>
            <w:vAlign w:val="bottom"/>
          </w:tcPr>
          <w:p>
            <w:pPr>
              <w:ind w:left="340"/>
              <w:spacing w:after="0"/>
              <w:rPr>
                <w:sz w:val="20"/>
                <w:szCs w:val="20"/>
                <w:color w:val="auto"/>
              </w:rPr>
            </w:pPr>
            <w:r>
              <w:rPr>
                <w:rFonts w:ascii="Arial" w:cs="Arial" w:eastAsia="Arial" w:hAnsi="Arial"/>
                <w:sz w:val="14"/>
                <w:szCs w:val="14"/>
                <w:color w:val="auto"/>
              </w:rPr>
              <w:t>Net cash flows used in investing activities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(8,998)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(5,155)</w:t>
            </w:r>
          </w:p>
        </w:tc>
      </w:tr>
      <w:tr>
        <w:trPr>
          <w:trHeight w:val="107"/>
        </w:trPr>
        <w:tc>
          <w:tcPr>
            <w:tcW w:w="79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Revolving credit borrowings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114,674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155,712</w:t>
            </w:r>
          </w:p>
        </w:tc>
      </w:tr>
      <w:tr>
        <w:trPr>
          <w:trHeight w:val="181"/>
        </w:trPr>
        <w:tc>
          <w:tcPr>
            <w:tcW w:w="7980" w:type="dxa"/>
            <w:vAlign w:val="bottom"/>
          </w:tcPr>
          <w:p>
            <w:pPr>
              <w:ind w:left="140"/>
              <w:spacing w:after="0"/>
              <w:rPr>
                <w:sz w:val="20"/>
                <w:szCs w:val="20"/>
                <w:color w:val="auto"/>
              </w:rPr>
            </w:pPr>
            <w:r>
              <w:rPr>
                <w:rFonts w:ascii="Arial" w:cs="Arial" w:eastAsia="Arial" w:hAnsi="Arial"/>
                <w:sz w:val="14"/>
                <w:szCs w:val="14"/>
                <w:color w:val="auto"/>
              </w:rPr>
              <w:t>Revolving credit repayments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(98,681)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(158,288)</w:t>
            </w:r>
          </w:p>
        </w:tc>
      </w:tr>
      <w:tr>
        <w:trPr>
          <w:trHeight w:val="198"/>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 loan repayments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(14,942)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(15,763)</w:t>
            </w:r>
          </w:p>
        </w:tc>
      </w:tr>
      <w:tr>
        <w:trPr>
          <w:trHeight w:val="187"/>
        </w:trPr>
        <w:tc>
          <w:tcPr>
            <w:tcW w:w="7980" w:type="dxa"/>
            <w:vAlign w:val="bottom"/>
          </w:tcPr>
          <w:p>
            <w:pPr>
              <w:ind w:left="140"/>
              <w:spacing w:after="0"/>
              <w:rPr>
                <w:sz w:val="20"/>
                <w:szCs w:val="20"/>
                <w:color w:val="auto"/>
              </w:rPr>
            </w:pPr>
            <w:r>
              <w:rPr>
                <w:rFonts w:ascii="Arial" w:cs="Arial" w:eastAsia="Arial" w:hAnsi="Arial"/>
                <w:sz w:val="14"/>
                <w:szCs w:val="14"/>
                <w:color w:val="auto"/>
              </w:rPr>
              <w:t>Repurchases of common shares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(542)</w:t>
            </w: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 paid on vested shares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w:t>
            </w:r>
          </w:p>
        </w:tc>
      </w:tr>
      <w:tr>
        <w:trPr>
          <w:trHeight w:val="183"/>
        </w:trPr>
        <w:tc>
          <w:tcPr>
            <w:tcW w:w="7980" w:type="dxa"/>
            <w:vAlign w:val="bottom"/>
          </w:tcPr>
          <w:p>
            <w:pPr>
              <w:ind w:left="340"/>
              <w:spacing w:after="0"/>
              <w:rPr>
                <w:sz w:val="20"/>
                <w:szCs w:val="20"/>
                <w:color w:val="auto"/>
              </w:rPr>
            </w:pPr>
            <w:r>
              <w:rPr>
                <w:rFonts w:ascii="Arial" w:cs="Arial" w:eastAsia="Arial" w:hAnsi="Arial"/>
                <w:sz w:val="14"/>
                <w:szCs w:val="14"/>
                <w:color w:val="auto"/>
              </w:rPr>
              <w:t>Net cash flows used in financing activities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(19,894)</w:t>
            </w:r>
          </w:p>
        </w:tc>
      </w:tr>
      <w:tr>
        <w:trPr>
          <w:trHeight w:val="113"/>
        </w:trPr>
        <w:tc>
          <w:tcPr>
            <w:tcW w:w="79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91"/>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181"/>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91"/>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w:t>
            </w:r>
          </w:p>
        </w:tc>
      </w:tr>
      <w:tr>
        <w:trPr>
          <w:trHeight w:val="90"/>
        </w:trPr>
        <w:tc>
          <w:tcPr>
            <w:tcW w:w="79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96"/>
        </w:trPr>
        <w:tc>
          <w:tcPr>
            <w:tcW w:w="798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11,421</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4,782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79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7"/>
        </w:trPr>
        <w:tc>
          <w:tcPr>
            <w:tcW w:w="7980" w:type="dxa"/>
            <w:vAlign w:val="bottom"/>
          </w:tcPr>
          <w:p>
            <w:pPr>
              <w:ind w:left="20"/>
              <w:spacing w:after="0"/>
              <w:rPr>
                <w:sz w:val="20"/>
                <w:szCs w:val="20"/>
                <w:color w:val="auto"/>
              </w:rPr>
            </w:pPr>
            <w:r>
              <w:rPr>
                <w:rFonts w:ascii="Arial" w:cs="Arial" w:eastAsia="Arial" w:hAnsi="Arial"/>
                <w:sz w:val="14"/>
                <w:szCs w:val="14"/>
                <w:color w:val="auto"/>
              </w:rPr>
              <w:t>Non-cash financing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dividends paid-in-kind</w:t>
            </w:r>
          </w:p>
        </w:tc>
        <w:tc>
          <w:tcPr>
            <w:tcW w:w="90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r>
    </w:tbl>
    <w:p>
      <w:pPr>
        <w:spacing w:after="0" w:line="197"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80"/>
          </w:cols>
          <w:pgMar w:left="320" w:top="1376" w:right="59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22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provide hospitality services to the natural resources industry in Canada, Australia and the U.S. We provide a suite of services for our guests, including lodging, catering and food service, housekeeping and maintenance at accommodation facilities that we or our customers own. In many cases, we provide services that support the day-to-day operations of these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two principal reportable business segments – Canada and Australia.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5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2022 financial information to conform to current year presentation.</w:t>
      </w:r>
    </w:p>
    <w:p>
      <w:pPr>
        <w:spacing w:after="0" w:line="185"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4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w:t>
      </w:r>
    </w:p>
    <w:p>
      <w:pPr>
        <w:spacing w:after="0" w:line="205"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29" w:lineRule="exact"/>
        <w:rPr>
          <w:sz w:val="20"/>
          <w:szCs w:val="20"/>
          <w:color w:val="auto"/>
        </w:rPr>
      </w:pPr>
    </w:p>
    <w:p>
      <w:pPr>
        <w:ind w:right="340" w:firstLine="470"/>
        <w:spacing w:after="0" w:line="279" w:lineRule="auto"/>
        <w:rPr>
          <w:sz w:val="20"/>
          <w:szCs w:val="20"/>
          <w:color w:val="auto"/>
        </w:rPr>
      </w:pPr>
      <w:r>
        <w:rPr>
          <w:rFonts w:ascii="Arial" w:cs="Arial" w:eastAsia="Arial" w:hAnsi="Arial"/>
          <w:sz w:val="17"/>
          <w:szCs w:val="17"/>
          <w:color w:val="auto"/>
        </w:rPr>
        <w:t>The following table disaggregates our revenue by our two reportable segments: Canada and Australia and major categories for the periods indicated (in thousands):</w:t>
      </w:r>
    </w:p>
    <w:tbl>
      <w:tblPr>
        <w:tblLayout w:type="fixed"/>
        <w:tblInd w:w="480" w:type="dxa"/>
        <w:tblCellMar>
          <w:top w:w="0" w:type="dxa"/>
          <w:left w:w="0" w:type="dxa"/>
          <w:bottom w:w="0" w:type="dxa"/>
          <w:right w:w="0" w:type="dxa"/>
        </w:tblCellMar>
      </w:tblPr>
      <w:tr>
        <w:trPr>
          <w:trHeight w:val="159"/>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4"/>
          </w:tcPr>
          <w:p>
            <w:pPr>
              <w:jc w:val="right"/>
              <w:ind w:right="582"/>
              <w:spacing w:after="0" w:line="159" w:lineRule="exact"/>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40" w:type="dxa"/>
            <w:vAlign w:val="bottom"/>
            <w:gridSpan w:val="4"/>
          </w:tcPr>
          <w:p>
            <w:pPr>
              <w:jc w:val="right"/>
              <w:ind w:right="342"/>
              <w:spacing w:after="0" w:line="159" w:lineRule="exact"/>
              <w:rPr>
                <w:sz w:val="20"/>
                <w:szCs w:val="20"/>
                <w:color w:val="auto"/>
              </w:rPr>
            </w:pPr>
            <w:r>
              <w:rPr>
                <w:rFonts w:ascii="Arial" w:cs="Arial" w:eastAsia="Arial" w:hAnsi="Arial"/>
                <w:sz w:val="16"/>
                <w:szCs w:val="16"/>
                <w:b w:val="1"/>
                <w:bCs w:val="1"/>
                <w:color w:val="auto"/>
              </w:rPr>
              <w:t>Six Months Ended</w:t>
            </w:r>
          </w:p>
        </w:tc>
      </w:tr>
      <w:tr>
        <w:trPr>
          <w:trHeight w:val="206"/>
        </w:trPr>
        <w:tc>
          <w:tcPr>
            <w:tcW w:w="5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7"/>
                <w:szCs w:val="17"/>
                <w:color w:val="auto"/>
              </w:rPr>
            </w:pPr>
          </w:p>
        </w:tc>
      </w:tr>
      <w:tr>
        <w:trPr>
          <w:trHeight w:val="202"/>
        </w:trPr>
        <w:tc>
          <w:tcPr>
            <w:tcW w:w="5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2022</w:t>
            </w:r>
          </w:p>
        </w:tc>
      </w:tr>
      <w:tr>
        <w:trPr>
          <w:trHeight w:val="205"/>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Canada</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6"/>
        </w:trPr>
        <w:tc>
          <w:tcPr>
            <w:tcW w:w="55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72,355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79,431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136,583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5"/>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Canada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95,470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184,923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105"/>
        </w:trPr>
        <w:tc>
          <w:tcPr>
            <w:tcW w:w="5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Australia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6"/>
        </w:trPr>
        <w:tc>
          <w:tcPr>
            <w:tcW w:w="55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44,342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39,052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84,941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38,202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74,592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199"/>
        </w:trPr>
        <w:tc>
          <w:tcPr>
            <w:tcW w:w="5560" w:type="dxa"/>
            <w:vAlign w:val="bottom"/>
          </w:tcPr>
          <w:p>
            <w:pPr>
              <w:ind w:left="140"/>
              <w:spacing w:after="0"/>
              <w:rPr>
                <w:sz w:val="20"/>
                <w:szCs w:val="20"/>
                <w:color w:val="auto"/>
              </w:rPr>
            </w:pPr>
            <w:r>
              <w:rPr>
                <w:rFonts w:ascii="Arial" w:cs="Arial" w:eastAsia="Arial" w:hAnsi="Arial"/>
                <w:sz w:val="16"/>
                <w:szCs w:val="16"/>
                <w:color w:val="auto"/>
              </w:rPr>
              <w:t>Total Australia revenues</w:t>
            </w:r>
          </w:p>
        </w:tc>
        <w:tc>
          <w:tcPr>
            <w:tcW w:w="3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82,544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67,820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159,533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108"/>
        </w:trPr>
        <w:tc>
          <w:tcPr>
            <w:tcW w:w="5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206"/>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99"/>
        </w:trPr>
        <w:tc>
          <w:tcPr>
            <w:tcW w:w="55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Total other revenues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829</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8,111</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1,978</w:t>
            </w: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108"/>
        </w:trPr>
        <w:tc>
          <w:tcPr>
            <w:tcW w:w="55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r>
      <w:tr>
        <w:trPr>
          <w:trHeight w:val="202"/>
        </w:trPr>
        <w:tc>
          <w:tcPr>
            <w:tcW w:w="55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178,843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184,954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346,434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0"/>
        </w:trPr>
        <w:tc>
          <w:tcPr>
            <w:tcW w:w="5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Our payment terms vary by the type and location of our customer and the products or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98"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As of June 30, 2023,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7"/>
          </w:tcPr>
          <w:p>
            <w:pPr>
              <w:jc w:val="center"/>
              <w:ind w:right="182"/>
              <w:spacing w:after="0"/>
              <w:rPr>
                <w:sz w:val="20"/>
                <w:szCs w:val="20"/>
                <w:color w:val="auto"/>
              </w:rPr>
            </w:pPr>
            <w:r>
              <w:rPr>
                <w:rFonts w:ascii="Arial" w:cs="Arial" w:eastAsia="Arial" w:hAnsi="Arial"/>
                <w:sz w:val="16"/>
                <w:szCs w:val="16"/>
                <w:b w:val="1"/>
                <w:bCs w:val="1"/>
                <w:color w:val="auto"/>
                <w:w w:val="87"/>
              </w:rPr>
              <w:t>For the years ending December 31,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3"/>
        </w:trPr>
        <w:tc>
          <w:tcPr>
            <w:tcW w:w="3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Thereafter</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Total</w:t>
            </w:r>
          </w:p>
        </w:tc>
      </w:tr>
      <w:tr>
        <w:trPr>
          <w:trHeight w:val="205"/>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6"/>
              </w:rPr>
              <w:t>Revenue expected to be recognized as of June 30, 2023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141,044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103,287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361,652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670,497</w:t>
            </w:r>
          </w:p>
        </w:tc>
      </w:tr>
    </w:tbl>
    <w:p>
      <w:pPr>
        <w:spacing w:after="0" w:line="314"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6"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58" w:lineRule="exact"/>
        <w:rPr>
          <w:sz w:val="20"/>
          <w:szCs w:val="20"/>
          <w:color w:val="auto"/>
        </w:rPr>
      </w:pPr>
    </w:p>
    <w:p>
      <w:pPr>
        <w:jc w:val="both"/>
        <w:ind w:right="100" w:firstLine="470"/>
        <w:spacing w:after="0" w:line="297" w:lineRule="auto"/>
        <w:rPr>
          <w:sz w:val="20"/>
          <w:szCs w:val="20"/>
          <w:color w:val="auto"/>
        </w:rPr>
      </w:pPr>
      <w:r>
        <w:rPr>
          <w:rFonts w:ascii="Arial" w:cs="Arial" w:eastAsia="Arial" w:hAnsi="Arial"/>
          <w:sz w:val="16"/>
          <w:szCs w:val="16"/>
          <w:color w:val="auto"/>
        </w:rPr>
        <w:t>As of June 30, 2023 and December 31, 2022, we believe the carrying value of our floating-rate debt outstanding under our term loans and revolving credit facilities approximates fair value because the terms include short-term interest rates and exclude penalties for prepayment. In addition, the estimated fair value of our assets held for sale is based upon Level 2 fair value measurements, which include appraisals and previous negotiations with third parties.</w:t>
      </w:r>
    </w:p>
    <w:p>
      <w:pPr>
        <w:spacing w:after="0" w:line="173"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SELECTED BALANCE SHEET ACCOUNTS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Additional information regarding selected balance sheet accounts at June 30, 2023 and December 31, 2022 is presented below (in thousands):</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49"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7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2"/>
              </w:rPr>
              <w:t>June 30, 2023</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1"/>
              </w:rPr>
              <w:t>December 31, 2022</w:t>
            </w:r>
          </w:p>
        </w:tc>
      </w:tr>
      <w:tr>
        <w:trPr>
          <w:trHeight w:val="205"/>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Trade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80,231</w:t>
            </w:r>
          </w:p>
        </w:tc>
        <w:tc>
          <w:tcPr>
            <w:tcW w:w="5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65,563</w:t>
            </w:r>
          </w:p>
        </w:tc>
      </w:tr>
      <w:tr>
        <w:trPr>
          <w:trHeight w:val="21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58,144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52,547</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w:t>
            </w:r>
          </w:p>
        </w:tc>
      </w:tr>
      <w:tr>
        <w:trPr>
          <w:trHeight w:val="205"/>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accounts receivable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140,452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120,054</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25"/>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140,090</w:t>
            </w:r>
          </w:p>
        </w:tc>
        <w:tc>
          <w:tcPr>
            <w:tcW w:w="580" w:type="dxa"/>
            <w:vAlign w:val="bottom"/>
            <w:gridSpan w:val="2"/>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119,755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3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2"/>
              </w:rPr>
              <w:t>June 30, 2023</w:t>
            </w:r>
          </w:p>
        </w:tc>
        <w:tc>
          <w:tcPr>
            <w:tcW w:w="100" w:type="dxa"/>
            <w:vAlign w:val="bottom"/>
          </w:tcPr>
          <w:p>
            <w:pPr>
              <w:spacing w:after="0"/>
              <w:rPr>
                <w:sz w:val="17"/>
                <w:szCs w:val="17"/>
                <w:color w:val="auto"/>
              </w:rPr>
            </w:pP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2"/>
              </w:rPr>
              <w:t>December 31, 2022</w:t>
            </w:r>
          </w:p>
        </w:tc>
      </w:tr>
      <w:tr>
        <w:trPr>
          <w:trHeight w:val="205"/>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Finished goods and purchased products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5,784</w:t>
            </w:r>
          </w:p>
        </w:tc>
        <w:tc>
          <w:tcPr>
            <w:tcW w:w="660" w:type="dxa"/>
            <w:vAlign w:val="bottom"/>
            <w:gridSpan w:val="2"/>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5,538</w:t>
            </w:r>
          </w:p>
        </w:tc>
      </w:tr>
      <w:tr>
        <w:trPr>
          <w:trHeight w:val="21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r>
      <w:tr>
        <w:trPr>
          <w:trHeight w:val="222"/>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7,171</w:t>
            </w:r>
          </w:p>
        </w:tc>
        <w:tc>
          <w:tcPr>
            <w:tcW w:w="660" w:type="dxa"/>
            <w:vAlign w:val="bottom"/>
            <w:gridSpan w:val="2"/>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center"/>
              <w:ind w:right="262"/>
              <w:spacing w:after="0"/>
              <w:rPr>
                <w:sz w:val="20"/>
                <w:szCs w:val="20"/>
                <w:color w:val="auto"/>
              </w:rPr>
            </w:pPr>
            <w:r>
              <w:rPr>
                <w:rFonts w:ascii="Arial" w:cs="Arial" w:eastAsia="Arial" w:hAnsi="Arial"/>
                <w:sz w:val="16"/>
                <w:szCs w:val="16"/>
                <w:b w:val="1"/>
                <w:bCs w:val="1"/>
                <w:color w:val="auto"/>
                <w:w w:val="88"/>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80" w:type="dxa"/>
            <w:vAlign w:val="bottom"/>
          </w:tcPr>
          <w:p>
            <w:pPr>
              <w:spacing w:after="0"/>
              <w:rPr>
                <w:sz w:val="13"/>
                <w:szCs w:val="13"/>
                <w:color w:val="auto"/>
              </w:rPr>
            </w:pPr>
          </w:p>
        </w:tc>
        <w:tc>
          <w:tcPr>
            <w:tcW w:w="1360" w:type="dxa"/>
            <w:vAlign w:val="bottom"/>
            <w:gridSpan w:val="3"/>
          </w:tcPr>
          <w:p>
            <w:pPr>
              <w:jc w:val="center"/>
              <w:spacing w:after="0" w:line="157" w:lineRule="exact"/>
              <w:rPr>
                <w:sz w:val="20"/>
                <w:szCs w:val="20"/>
                <w:color w:val="auto"/>
              </w:rPr>
            </w:pPr>
            <w:r>
              <w:rPr>
                <w:rFonts w:ascii="Arial" w:cs="Arial" w:eastAsia="Arial" w:hAnsi="Arial"/>
                <w:sz w:val="16"/>
                <w:szCs w:val="16"/>
                <w:b w:val="1"/>
                <w:bCs w:val="1"/>
                <w:color w:val="auto"/>
                <w:w w:val="90"/>
              </w:rPr>
              <w:t>Useful Life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2"/>
              </w:rPr>
              <w:t>June 30, 2023</w:t>
            </w:r>
          </w:p>
        </w:tc>
        <w:tc>
          <w:tcPr>
            <w:tcW w:w="10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206"/>
        </w:trPr>
        <w:tc>
          <w:tcPr>
            <w:tcW w:w="60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2"/>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Land</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25,388</w:t>
            </w:r>
          </w:p>
        </w:tc>
        <w:tc>
          <w:tcPr>
            <w:tcW w:w="50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25,528</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assets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1,474,986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1,464,476</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10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10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63,906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62,725</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w:t>
            </w:r>
          </w:p>
        </w:tc>
        <w:tc>
          <w:tcPr>
            <w:tcW w:w="0" w:type="dxa"/>
            <w:vAlign w:val="bottom"/>
          </w:tcPr>
          <w:p>
            <w:pPr>
              <w:spacing w:after="0"/>
              <w:rPr>
                <w:sz w:val="1"/>
                <w:szCs w:val="1"/>
                <w:color w:val="auto"/>
              </w:rPr>
            </w:pPr>
          </w:p>
        </w:tc>
      </w:tr>
      <w:tr>
        <w:trPr>
          <w:trHeight w:val="206"/>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w:t>
            </w:r>
          </w:p>
        </w:tc>
        <w:tc>
          <w:tcPr>
            <w:tcW w:w="0" w:type="dxa"/>
            <w:vAlign w:val="bottom"/>
          </w:tcPr>
          <w:p>
            <w:pPr>
              <w:spacing w:after="0"/>
              <w:rPr>
                <w:sz w:val="1"/>
                <w:szCs w:val="1"/>
                <w:color w:val="auto"/>
              </w:rPr>
            </w:pPr>
          </w:p>
        </w:tc>
      </w:tr>
      <w:tr>
        <w:trPr>
          <w:trHeight w:val="205"/>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property, plant and equipment</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1,609,823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1,590,202</w:t>
            </w:r>
          </w:p>
        </w:tc>
        <w:tc>
          <w:tcPr>
            <w:tcW w:w="0" w:type="dxa"/>
            <w:vAlign w:val="bottom"/>
          </w:tcPr>
          <w:p>
            <w:pPr>
              <w:spacing w:after="0"/>
              <w:rPr>
                <w:sz w:val="1"/>
                <w:szCs w:val="1"/>
                <w:color w:val="auto"/>
              </w:rPr>
            </w:pPr>
          </w:p>
        </w:tc>
      </w:tr>
      <w:tr>
        <w:trPr>
          <w:trHeight w:val="206"/>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w:t>
            </w:r>
          </w:p>
        </w:tc>
        <w:tc>
          <w:tcPr>
            <w:tcW w:w="3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(1,334,262)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(1,288,312)</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Total property, plant and equipment, net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275,561</w:t>
            </w:r>
          </w:p>
        </w:tc>
        <w:tc>
          <w:tcPr>
            <w:tcW w:w="500" w:type="dxa"/>
            <w:vAlign w:val="bottom"/>
            <w:gridSpan w:val="2"/>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301,890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7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2"/>
              </w:rPr>
              <w:t>June 30, 2023</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1"/>
              </w:rPr>
              <w:t>December 31, 2022</w:t>
            </w:r>
          </w:p>
        </w:tc>
      </w:tr>
      <w:tr>
        <w:trPr>
          <w:trHeight w:val="205"/>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19,863</w:t>
            </w:r>
          </w:p>
        </w:tc>
        <w:tc>
          <w:tcPr>
            <w:tcW w:w="620" w:type="dxa"/>
            <w:vAlign w:val="bottom"/>
            <w:gridSpan w:val="2"/>
          </w:tcPr>
          <w:p>
            <w:pPr>
              <w:jc w:val="right"/>
              <w:ind w:right="3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34,358</w:t>
            </w:r>
          </w:p>
        </w:tc>
      </w:tr>
      <w:tr>
        <w:trPr>
          <w:trHeight w:val="212"/>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 other than income taxes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2,873</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1,980</w:t>
            </w:r>
          </w:p>
        </w:tc>
      </w:tr>
      <w:tr>
        <w:trPr>
          <w:trHeight w:val="225"/>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27,524</w:t>
            </w:r>
          </w:p>
        </w:tc>
        <w:tc>
          <w:tcPr>
            <w:tcW w:w="62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39,211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4"/>
              </w:rPr>
              <w:t>June 30, 2023</w:t>
            </w:r>
          </w:p>
        </w:tc>
        <w:tc>
          <w:tcPr>
            <w:tcW w:w="240" w:type="dxa"/>
            <w:vAlign w:val="bottom"/>
          </w:tcPr>
          <w:p>
            <w:pPr>
              <w:spacing w:after="0"/>
              <w:rPr>
                <w:sz w:val="17"/>
                <w:szCs w:val="17"/>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December 31, 2022</w:t>
            </w:r>
          </w:p>
        </w:tc>
      </w:tr>
      <w:tr>
        <w:trPr>
          <w:trHeight w:val="20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liabilities (Deferred revenue):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9"/>
        </w:trPr>
        <w:tc>
          <w:tcPr>
            <w:tcW w:w="7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Current contract liabilities </w:t>
            </w:r>
            <w:r>
              <w:rPr>
                <w:rFonts w:ascii="Arial" w:cs="Arial" w:eastAsia="Arial" w:hAnsi="Arial"/>
                <w:sz w:val="20"/>
                <w:szCs w:val="20"/>
                <w:color w:val="auto"/>
                <w:vertAlign w:val="superscript"/>
              </w:rPr>
              <w:t>(1)</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3,097</w:t>
            </w: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991</w:t>
            </w:r>
          </w:p>
        </w:tc>
      </w:tr>
      <w:tr>
        <w:trPr>
          <w:trHeight w:val="209"/>
        </w:trPr>
        <w:tc>
          <w:tcPr>
            <w:tcW w:w="760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Noncurrent contract liabilities </w:t>
            </w:r>
            <w:r>
              <w:rPr>
                <w:rFonts w:ascii="Arial" w:cs="Arial" w:eastAsia="Arial" w:hAnsi="Arial"/>
                <w:sz w:val="20"/>
                <w:szCs w:val="20"/>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02"/>
        </w:trPr>
        <w:tc>
          <w:tcPr>
            <w:tcW w:w="7600" w:type="dxa"/>
            <w:vAlign w:val="bottom"/>
          </w:tcPr>
          <w:p>
            <w:pPr>
              <w:ind w:left="20"/>
              <w:spacing w:after="0"/>
              <w:rPr>
                <w:sz w:val="20"/>
                <w:szCs w:val="20"/>
                <w:color w:val="auto"/>
              </w:rPr>
            </w:pPr>
            <w:r>
              <w:rPr>
                <w:rFonts w:ascii="Arial" w:cs="Arial" w:eastAsia="Arial" w:hAnsi="Arial"/>
                <w:sz w:val="16"/>
                <w:szCs w:val="16"/>
                <w:color w:val="auto"/>
              </w:rPr>
              <w:t>Total contract liabilities (Deferred revenue)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6,334</w:t>
            </w: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991</w:t>
            </w:r>
          </w:p>
        </w:tc>
      </w:tr>
      <w:tr>
        <w:trPr>
          <w:trHeight w:val="20"/>
        </w:trPr>
        <w:tc>
          <w:tcPr>
            <w:tcW w:w="7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80" w:hanging="322"/>
        <w:spacing w:after="0" w:line="245" w:lineRule="auto"/>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7"/>
          <w:szCs w:val="17"/>
          <w:color w:val="auto"/>
        </w:rPr>
        <w:t>Current contract liabilities and Noncurrent contract liabilities are included in "Deferred revenue" and "Other noncurrent liabilities," respectively, in our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1" w:name="page12"/>
    <w:bookmarkEnd w:id="11"/>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1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Deferred revenue typically consists of upfront payments received before we satisfy the associated performance obligation. The increase in deferred revenue from December 31, 2022 to June 30, 2023 was primarily due to a payment received from a customer for village enhancements in Australia, which we will recognize over the contracted terms.</w:t>
      </w:r>
    </w:p>
    <w:p>
      <w:pPr>
        <w:spacing w:after="0" w:line="192"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ASSETS HELD FOR SALE</w:t>
      </w:r>
    </w:p>
    <w:p>
      <w:pPr>
        <w:spacing w:after="0" w:line="25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June 30, 2023 and December 31, 2022, assets held for sale included certain assets in our Canadian business segment and the U.S. These assets were recorded at the estimated fair value less costs to sell, which exceeded or equaled their carry values. During the first quarter of 2023, we sold the accommodation assets at our Louisiana location. The land at this location remains in assets held for sale as of June 30, 2023.</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summarizes the carrying amount as of June 30, 2023 and December 31, 2022 of the assets classified as held for sale (in thousands):</w:t>
      </w:r>
    </w:p>
    <w:p>
      <w:pPr>
        <w:spacing w:after="0" w:line="375"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b w:val="1"/>
                <w:bCs w:val="1"/>
                <w:color w:val="auto"/>
                <w:w w:val="92"/>
              </w:rPr>
              <w:t>June 30, 2023</w:t>
            </w:r>
          </w:p>
        </w:tc>
        <w:tc>
          <w:tcPr>
            <w:tcW w:w="120" w:type="dxa"/>
            <w:vAlign w:val="bottom"/>
          </w:tcPr>
          <w:p>
            <w:pPr>
              <w:spacing w:after="0"/>
              <w:rPr>
                <w:sz w:val="17"/>
                <w:szCs w:val="17"/>
                <w:color w:val="auto"/>
              </w:rPr>
            </w:pPr>
          </w:p>
        </w:tc>
        <w:tc>
          <w:tcPr>
            <w:tcW w:w="146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w w:val="92"/>
              </w:rPr>
              <w:t>December 31, 2022</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held for sale: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6"/>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8,204</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8,653</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8,204</w:t>
            </w:r>
          </w:p>
        </w:tc>
        <w:tc>
          <w:tcPr>
            <w:tcW w:w="680" w:type="dxa"/>
            <w:vAlign w:val="bottom"/>
            <w:gridSpan w:val="2"/>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8,653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5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the three and six months ended June 30, 2023, we calculated our basic earnings per share by dividing net income (loss) attributable to common shareholders, before allocation of earnings to participating earnings by the weighted average number of common shares outstanding. For diluted earnings per share, the basic shares outstanding are adjusted by adding all potentially dilutive securities.</w:t>
      </w:r>
    </w:p>
    <w:p>
      <w:pPr>
        <w:spacing w:after="0" w:line="19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For the three and six months ended June 30, 2022, a period during which we had participating securities in the form of Class A preferred shares, we used the two-class method to calculate basic and diluted earnings per share. The two-class method requires a proportional share of net income to be allocated between common shares and participating securities. The proportional share to be allocated to participating securities is determined by dividing total weighted average participating securities by the sum of total weighted average common shares and participating securities.</w:t>
      </w:r>
    </w:p>
    <w:p>
      <w:pPr>
        <w:spacing w:after="0" w:line="1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Basic earnings per share is computed under the two-class method by dividing the net income (loss) attributable to common shareholders, after allocation of earnings to participating earnings by the weighted average number of common shares outstanding during the period. Net income attributable to common shareholders, after allocation of earnings to participating earnings represents our net income reduced by an allocation of current period earnings to participating securities as described above. No such adjustment is made during periods with a net loss, as the adjustment would be anti-dilutive.</w:t>
      </w:r>
    </w:p>
    <w:p>
      <w:pPr>
        <w:spacing w:after="0" w:line="188"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Diluted earnings per share is computed under the two-class method by dividing diluted net income (loss) attributable to common shareholders, after reallocation adjustment for participating securities by the weighted average number of common shares outstanding, plus, for periods with net income attributable to common stockholders, the potential dilutive effects of share-based awards. In addition, we calculate the potential dilutive effect of any outstanding dilutive security under both the two-class method and the “if-converted” method, and we report the more dilutive of the methods as our diluted earnings per share. We also apply the treasury stock method with respect to certain share-based awards in the calculation of diluted earnings per share, if dilutive.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46" w:lineRule="exact"/>
        <w:rPr>
          <w:sz w:val="20"/>
          <w:szCs w:val="20"/>
          <w:color w:val="auto"/>
        </w:rPr>
      </w:pPr>
    </w:p>
    <w:p>
      <w:pPr>
        <w:ind w:firstLine="470"/>
        <w:spacing w:after="0" w:line="279" w:lineRule="auto"/>
        <w:rPr>
          <w:sz w:val="20"/>
          <w:szCs w:val="20"/>
          <w:color w:val="auto"/>
        </w:rPr>
      </w:pPr>
      <w:r>
        <w:rPr>
          <w:rFonts w:ascii="Arial" w:cs="Arial" w:eastAsia="Arial" w:hAnsi="Arial"/>
          <w:sz w:val="17"/>
          <w:szCs w:val="17"/>
          <w:color w:val="auto"/>
        </w:rPr>
        <w:t>The calculation of earnings per share attributable to Civeo common shareholders is presented below for the periods indicated (in thousands, except per share amounts):</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89"/>
              </w:rPr>
              <w:t>Three Months Ended June 30,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6"/>
                <w:szCs w:val="16"/>
                <w:b w:val="1"/>
                <w:bCs w:val="1"/>
                <w:color w:val="auto"/>
                <w:w w:val="87"/>
              </w:rPr>
              <w:t>Six Months Ended June 30,</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980" w:type="dxa"/>
            <w:vAlign w:val="bottom"/>
          </w:tcPr>
          <w:p>
            <w:pPr>
              <w:ind w:left="20"/>
              <w:spacing w:after="0" w:line="160" w:lineRule="exact"/>
              <w:rPr>
                <w:sz w:val="20"/>
                <w:szCs w:val="20"/>
                <w:color w:val="auto"/>
              </w:rPr>
            </w:pPr>
            <w:r>
              <w:rPr>
                <w:rFonts w:ascii="Arial" w:cs="Arial" w:eastAsia="Arial" w:hAnsi="Arial"/>
                <w:sz w:val="16"/>
                <w:szCs w:val="16"/>
                <w:color w:val="auto"/>
                <w:w w:val="89"/>
              </w:rPr>
              <w:t>Net income (loss) attributable to Civeo common shareholders, before allocation of earnings to</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4,463</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9,078</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(1,890)</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10,001</w:t>
            </w: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participating securities</w:t>
            </w: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140"/>
        </w:trPr>
        <w:tc>
          <w:tcPr>
            <w:tcW w:w="5980" w:type="dxa"/>
            <w:vAlign w:val="bottom"/>
          </w:tcPr>
          <w:p>
            <w:pPr>
              <w:ind w:left="20"/>
              <w:spacing w:after="0" w:line="140" w:lineRule="exact"/>
              <w:rPr>
                <w:sz w:val="20"/>
                <w:szCs w:val="20"/>
                <w:color w:val="auto"/>
              </w:rPr>
            </w:pPr>
            <w:r>
              <w:rPr>
                <w:rFonts w:ascii="Arial" w:cs="Arial" w:eastAsia="Arial" w:hAnsi="Arial"/>
                <w:sz w:val="16"/>
                <w:szCs w:val="16"/>
                <w:color w:val="auto"/>
                <w:w w:val="91"/>
              </w:rPr>
              <w:t>Net income (loss) attributable to Civeo Corporation common shareholders, after allocation of</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4,463</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7,722</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(1,890)</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8,504</w:t>
            </w: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earnings to participating securities</w:t>
            </w: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undistributed income attributable to participating securities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Less: undistributed income reallocated to participating securities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153"/>
        </w:trPr>
        <w:tc>
          <w:tcPr>
            <w:tcW w:w="5980" w:type="dxa"/>
            <w:vAlign w:val="bottom"/>
            <w:shd w:val="clear" w:color="auto" w:fill="CCEEFF"/>
          </w:tcPr>
          <w:p>
            <w:pPr>
              <w:ind w:left="20"/>
              <w:spacing w:after="0" w:line="153" w:lineRule="exact"/>
              <w:rPr>
                <w:sz w:val="20"/>
                <w:szCs w:val="20"/>
                <w:color w:val="auto"/>
              </w:rPr>
            </w:pPr>
            <w:r>
              <w:rPr>
                <w:rFonts w:ascii="Arial" w:cs="Arial" w:eastAsia="Arial" w:hAnsi="Arial"/>
                <w:sz w:val="16"/>
                <w:szCs w:val="16"/>
                <w:color w:val="auto"/>
                <w:w w:val="96"/>
              </w:rPr>
              <w:t>Diluted net income (loss) attributable to Civeo Corporation common shareholders, after</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7,732</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8,518</w:t>
            </w:r>
          </w:p>
        </w:tc>
        <w:tc>
          <w:tcPr>
            <w:tcW w:w="0" w:type="dxa"/>
            <w:vAlign w:val="bottom"/>
          </w:tcPr>
          <w:p>
            <w:pPr>
              <w:spacing w:after="0"/>
              <w:rPr>
                <w:sz w:val="1"/>
                <w:szCs w:val="1"/>
                <w:color w:val="auto"/>
              </w:rPr>
            </w:pPr>
          </w:p>
        </w:tc>
      </w:tr>
      <w:tr>
        <w:trPr>
          <w:trHeight w:val="200"/>
        </w:trPr>
        <w:tc>
          <w:tcPr>
            <w:tcW w:w="598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reallocation adjustment for participating securities</w:t>
            </w: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5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15,064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14,122</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shares - share-based awards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15,064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14,271</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59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line="209" w:lineRule="exact"/>
              <w:rPr>
                <w:sz w:val="20"/>
                <w:szCs w:val="20"/>
                <w:color w:val="auto"/>
              </w:rPr>
            </w:pPr>
            <w:r>
              <w:rPr>
                <w:rFonts w:ascii="Arial" w:cs="Arial" w:eastAsia="Arial" w:hAnsi="Arial"/>
                <w:sz w:val="16"/>
                <w:szCs w:val="16"/>
                <w:color w:val="auto"/>
                <w:w w:val="90"/>
              </w:rPr>
              <w:t xml:space="preserve">Basic net income (loss) per share attributable to Civeo Corporation common shareholders </w:t>
            </w:r>
            <w:r>
              <w:rPr>
                <w:rFonts w:ascii="Arial" w:cs="Arial" w:eastAsia="Arial" w:hAnsi="Arial"/>
                <w:sz w:val="20"/>
                <w:szCs w:val="20"/>
                <w:color w:val="auto"/>
                <w:w w:val="90"/>
                <w:vertAlign w:val="superscript"/>
              </w:rPr>
              <w:t>(1)</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0.55</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05"/>
        </w:trPr>
        <w:tc>
          <w:tcPr>
            <w:tcW w:w="5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5980" w:type="dxa"/>
            <w:vAlign w:val="bottom"/>
          </w:tcPr>
          <w:p>
            <w:pPr>
              <w:ind w:left="20"/>
              <w:spacing w:after="0"/>
              <w:rPr>
                <w:sz w:val="20"/>
                <w:szCs w:val="20"/>
                <w:color w:val="auto"/>
              </w:rPr>
            </w:pPr>
            <w:r>
              <w:rPr>
                <w:rFonts w:ascii="Arial" w:cs="Arial" w:eastAsia="Arial" w:hAnsi="Arial"/>
                <w:sz w:val="16"/>
                <w:szCs w:val="16"/>
                <w:color w:val="auto"/>
                <w:w w:val="89"/>
              </w:rPr>
              <w:t xml:space="preserve">Diluted net income (loss) per share attributable to Civeo Corporation common shareholders </w:t>
            </w:r>
            <w:r>
              <w:rPr>
                <w:rFonts w:ascii="Arial" w:cs="Arial" w:eastAsia="Arial" w:hAnsi="Arial"/>
                <w:sz w:val="20"/>
                <w:szCs w:val="20"/>
                <w:color w:val="auto"/>
                <w:w w:val="89"/>
                <w:vertAlign w:val="superscript"/>
              </w:rPr>
              <w:t>(1)</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0.54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29"/>
        </w:trPr>
        <w:tc>
          <w:tcPr>
            <w:tcW w:w="220" w:type="dxa"/>
            <w:vAlign w:val="bottom"/>
          </w:tcPr>
          <w:p>
            <w:pPr>
              <w:jc w:val="right"/>
              <w:ind w:right="49"/>
              <w:spacing w:after="0"/>
              <w:rPr>
                <w:sz w:val="20"/>
                <w:szCs w:val="20"/>
                <w:color w:val="auto"/>
              </w:rPr>
            </w:pPr>
            <w:r>
              <w:rPr>
                <w:rFonts w:ascii="Arial" w:cs="Arial" w:eastAsia="Arial" w:hAnsi="Arial"/>
                <w:sz w:val="10"/>
                <w:szCs w:val="10"/>
                <w:color w:val="auto"/>
                <w:w w:val="81"/>
              </w:rPr>
              <w:t>(1)</w:t>
            </w:r>
          </w:p>
        </w:tc>
        <w:tc>
          <w:tcPr>
            <w:tcW w:w="3160" w:type="dxa"/>
            <w:vAlign w:val="bottom"/>
            <w:vMerge w:val="restart"/>
          </w:tcPr>
          <w:p>
            <w:pPr>
              <w:ind w:left="100"/>
              <w:spacing w:after="0"/>
              <w:rPr>
                <w:sz w:val="20"/>
                <w:szCs w:val="20"/>
                <w:color w:val="auto"/>
              </w:rPr>
            </w:pPr>
            <w:r>
              <w:rPr>
                <w:rFonts w:ascii="Arial" w:cs="Arial" w:eastAsia="Arial" w:hAnsi="Arial"/>
                <w:sz w:val="16"/>
                <w:szCs w:val="16"/>
                <w:color w:val="auto"/>
                <w:w w:val="88"/>
              </w:rPr>
              <w:t>Computations may reflect rounding adjustments.</w:t>
            </w:r>
          </w:p>
        </w:tc>
        <w:tc>
          <w:tcPr>
            <w:tcW w:w="0" w:type="dxa"/>
            <w:vAlign w:val="bottom"/>
          </w:tcPr>
          <w:p>
            <w:pPr>
              <w:spacing w:after="0"/>
              <w:rPr>
                <w:sz w:val="1"/>
                <w:szCs w:val="1"/>
                <w:color w:val="auto"/>
              </w:rPr>
            </w:pPr>
          </w:p>
        </w:tc>
      </w:tr>
      <w:tr>
        <w:trPr>
          <w:trHeight w:val="81"/>
        </w:trPr>
        <w:tc>
          <w:tcPr>
            <w:tcW w:w="22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common share equivalents have been excluded from the calculation of weighted-average common shares outstanding because the effect is anti-dilutive for the periods presented (in millions of shares):</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9"/>
              </w:rPr>
              <w:t>Three Months Ended June 30,</w:t>
            </w:r>
          </w:p>
        </w:tc>
        <w:tc>
          <w:tcPr>
            <w:tcW w:w="160" w:type="dxa"/>
            <w:vAlign w:val="bottom"/>
          </w:tcPr>
          <w:p>
            <w:pPr>
              <w:spacing w:after="0"/>
              <w:rPr>
                <w:sz w:val="17"/>
                <w:szCs w:val="17"/>
                <w:color w:val="auto"/>
              </w:rPr>
            </w:pPr>
          </w:p>
        </w:tc>
        <w:tc>
          <w:tcPr>
            <w:tcW w:w="208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6"/>
                <w:szCs w:val="16"/>
                <w:b w:val="1"/>
                <w:bCs w:val="1"/>
                <w:color w:val="auto"/>
                <w:w w:val="92"/>
              </w:rPr>
              <w:t>Six Months Ended June 30,</w:t>
            </w:r>
          </w:p>
        </w:tc>
      </w:tr>
      <w:tr>
        <w:trPr>
          <w:trHeight w:val="203"/>
        </w:trPr>
        <w:tc>
          <w:tcPr>
            <w:tcW w:w="60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r>
      <w:tr>
        <w:trPr>
          <w:trHeight w:val="205"/>
        </w:trPr>
        <w:tc>
          <w:tcPr>
            <w:tcW w:w="67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Share-based awards </w:t>
            </w:r>
            <w:r>
              <w:rPr>
                <w:rFonts w:ascii="Arial" w:cs="Arial" w:eastAsia="Arial" w:hAnsi="Arial"/>
                <w:sz w:val="20"/>
                <w:szCs w:val="20"/>
                <w:color w:val="auto"/>
                <w:vertAlign w:val="superscript"/>
              </w:rPr>
              <w:t>(1)</w:t>
            </w:r>
          </w:p>
        </w:tc>
        <w:tc>
          <w:tcPr>
            <w:tcW w:w="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Preferred shares</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2.5</w:t>
            </w:r>
          </w:p>
        </w:tc>
      </w:tr>
    </w:tbl>
    <w:p>
      <w:pPr>
        <w:spacing w:after="0" w:line="312" w:lineRule="exact"/>
        <w:rPr>
          <w:sz w:val="20"/>
          <w:szCs w:val="20"/>
          <w:color w:val="auto"/>
        </w:rPr>
      </w:pPr>
    </w:p>
    <w:p>
      <w:pPr>
        <w:ind w:left="640" w:hanging="322"/>
        <w:spacing w:after="0"/>
        <w:tabs>
          <w:tab w:leader="none" w:pos="64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 xml:space="preserve">Share-based awards for the three and six months ended June 30, 2023 </w:t>
      </w:r>
      <w:r>
        <w:rPr>
          <w:rFonts w:ascii="Arial" w:cs="Arial" w:eastAsia="Arial" w:hAnsi="Arial"/>
          <w:sz w:val="17"/>
          <w:szCs w:val="17"/>
          <w:color w:val="auto"/>
        </w:rPr>
        <w:t>and</w:t>
      </w:r>
      <w:r>
        <w:rPr>
          <w:rFonts w:ascii="Arial" w:cs="Arial" w:eastAsia="Arial" w:hAnsi="Arial"/>
          <w:sz w:val="16"/>
          <w:szCs w:val="16"/>
          <w:color w:val="auto"/>
        </w:rPr>
        <w:t xml:space="preserve"> June 30, 2022 totaled fewer than 0.1 million shares.</w:t>
      </w:r>
    </w:p>
    <w:p>
      <w:pPr>
        <w:spacing w:after="0" w:line="200" w:lineRule="exact"/>
        <w:rPr>
          <w:rFonts w:ascii="Arial" w:cs="Arial" w:eastAsia="Arial" w:hAnsi="Arial"/>
          <w:sz w:val="20"/>
          <w:szCs w:val="20"/>
          <w:color w:val="auto"/>
          <w:vertAlign w:val="superscript"/>
        </w:rPr>
      </w:pPr>
    </w:p>
    <w:p>
      <w:pPr>
        <w:spacing w:after="0" w:line="362"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5"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2023 and December 31, 2022, long-term debt consisted of the following (in thousands):</w:t>
      </w:r>
    </w:p>
    <w:p>
      <w:pPr>
        <w:spacing w:after="0" w:line="35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2"/>
              </w:rPr>
              <w:t>June 30, 2023</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2"/>
              </w:rPr>
              <w:t>December 31, 2022</w:t>
            </w:r>
          </w:p>
        </w:tc>
      </w:t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Canadian term loan; weighted average interest rate of 7.9% for the six month period ended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15,106</w:t>
            </w:r>
          </w:p>
        </w:tc>
        <w:tc>
          <w:tcPr>
            <w:tcW w:w="600" w:type="dxa"/>
            <w:vAlign w:val="bottom"/>
            <w:gridSpan w:val="2"/>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29,532</w:t>
            </w:r>
          </w:p>
        </w:tc>
      </w:tr>
      <w:tr>
        <w:trPr>
          <w:trHeight w:val="105"/>
        </w:trPr>
        <w:tc>
          <w:tcPr>
            <w:tcW w:w="7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U.S. revolving credit facility; weighted average interest rate of 9.9% for the six month period ended June 30, 2023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05"/>
        </w:trPr>
        <w:tc>
          <w:tcPr>
            <w:tcW w:w="7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Canadian revolving credit facility; weighted average interest rate of 8.0% for the six month period ended June 30, 2023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120,999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101,147</w:t>
            </w:r>
          </w:p>
        </w:tc>
      </w:tr>
      <w:tr>
        <w:trPr>
          <w:trHeight w:val="105"/>
        </w:trPr>
        <w:tc>
          <w:tcPr>
            <w:tcW w:w="7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Australian revolving credit facility; weighted average interest rate of 6.5% for the six month period ended June 30, 2023</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r>
      <w:tr>
        <w:trPr>
          <w:trHeight w:val="202"/>
        </w:trPr>
        <w:tc>
          <w:tcPr>
            <w:tcW w:w="7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136,105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132,037</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r>
      <w:tr>
        <w:trPr>
          <w:trHeight w:val="199"/>
        </w:trPr>
        <w:tc>
          <w:tcPr>
            <w:tcW w:w="780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135,663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130,953</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28,448</w:t>
            </w:r>
          </w:p>
        </w:tc>
      </w:tr>
      <w:tr>
        <w:trPr>
          <w:trHeight w:val="205"/>
        </w:trPr>
        <w:tc>
          <w:tcPr>
            <w:tcW w:w="780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120,999</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102,505</w:t>
            </w:r>
          </w:p>
        </w:tc>
      </w:tr>
      <w:tr>
        <w:trPr>
          <w:trHeight w:val="20"/>
        </w:trPr>
        <w:tc>
          <w:tcPr>
            <w:tcW w:w="7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35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June 30,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Credit Agreement was amended effective March 31, 2023 to, among other things, change the benchmark interest rate for certain U.S. dollar-denominated loans in each of the Australian Revolving Facility, Canadian Revolving Facility, and U.S. Revolving Facility from London Inter-Bank Offered Rate to Term Secured Overnight Financing Rate (SOFR).</w:t>
      </w:r>
    </w:p>
    <w:p>
      <w:pPr>
        <w:spacing w:after="0" w:line="67"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U.S. dollar amounts outstanding under the facilities provided by the Credit Agreement bear interest at a variable rate equal to the Term SOFR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net debt to Consolidated EBITDA. Australian dollar amounts outstanding under the Credit Agreement bear interest at a variable rate equal to the Bank Bill Swap Bid Rate plus a margin of 3.00% to 4.00%, based on a ratio of our total net debt to Consolidated EBITDA. The future transition from CDOR as an interest rate benchmark is addressed in the Credit Agreement and at such time the transition from CDOR takes place, an alternate benchmark will be established based on the first alternative of the following, plus a benchmark replacement adjustment, Term Canadian Overnight Repo Rate Average (CORRA) and Compound CORRA.</w:t>
      </w:r>
    </w:p>
    <w:p>
      <w:pPr>
        <w:spacing w:after="0" w:line="8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June 30, 2023.</w:t>
      </w:r>
    </w:p>
    <w:p>
      <w:pPr>
        <w:spacing w:after="0" w:line="67"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June 30, 2023, we had seven lenders that were parties to the Credit Agreement, with total commitments (including both revolving commitments and term commitments) ranging from $22.5 million to $52.0 million. As of June 30, 2023, we had outstanding letters of credit of $0.3 million under the U.S. facility, zero under the Australian facility and $1.1 million under the Canadian facility. We also had outstanding bank guarantees of A$0.8 million under the Australian facility.</w:t>
      </w:r>
    </w:p>
    <w:p>
      <w:pPr>
        <w:spacing w:after="0" w:line="95"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operate in three jurisdictions, Canada, Australia and the U.S., where statutory tax rates range from 15% to 30%. Our effective tax rate will vary from period to period based on changes in earnings mix between these different jurisdictions.</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2023 and 2022, Canada and the U.S. were considered loss jurisdictions for tax accounting purposes and were removed from the annual effective tax rate computation for purposes of computing the interim tax provision.</w:t>
      </w:r>
    </w:p>
    <w:p>
      <w:pPr>
        <w:spacing w:after="0" w:line="188"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Our income tax expense for the three months ended June 30, 2023 totaled $2.9 million, or 40.9% of pretax income, compared to income tax expense of $1.8 million, or 15.1% of pretax income, for the three months ended June 30, 2022. Our effective tax rate for each of the three months ended June 30, 2023 and 2022 was impacted by considering Canada and the U.S. loss jurisdictions that were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19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income tax expense for the six months ended June 30, 2023 totaled $4.1 million, or 209.0% of pretax income, compared to income tax expense of $3.4 million, or 21.8% of pretax income, for the six months ended June 30, 2022. Our effective tax rate for each of the six months ended June 30, 2023 and 2022 was impacted by considering Canada and the U.S. loss jurisdictions that were removed from the annual effective tax rate computation for purposes of computing the interim tax provision.</w:t>
      </w:r>
    </w:p>
    <w:p>
      <w:pPr>
        <w:spacing w:after="0" w:line="196"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ACCUMULATED OTHER COMPREHENSIVE LOSS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accumulated other comprehensive loss increased $0.2 million from $385.2 million at December 31, 2022 to $385.4 million at June 30, 2023, as a result of foreign currency exchange rate fluctuations. Changes in other comprehensive loss during the first six months of 2023 were primarily driven by the Australian dollar decreasing in value compared to the U.S. dollar and the Canadian dollar increasing in value compared to the U.S. dollar. Excluding intercompany balances, our Canadian dollar and Australian dollar functional currency net assets totaled approximately C$186 million and A$217 million, respectively, at June 30, 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 REPURCHASE PROGRAMS</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August 2022 and August 2021, our Board of Directors (Board) authorized common share repurchase programs to repurchase up to 5.0% of our total common shares which were issued and outstanding, or approximately 685,000 common shares and 715,000 common shares, respectively, over a twelve month period.</w:t>
      </w:r>
    </w:p>
    <w:p>
      <w:pPr>
        <w:spacing w:after="0" w:line="19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Unaudited Consolidated Statements of Changes in Shareholders’ Equity in the period the payment is made.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our common share repurchases pursuant to our share repurchase programs (in thousands, except per share data).</w:t>
      </w:r>
    </w:p>
    <w:p>
      <w:pPr>
        <w:spacing w:after="0" w:line="3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3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right"/>
              <w:ind w:right="502"/>
              <w:spacing w:after="0"/>
              <w:rPr>
                <w:sz w:val="20"/>
                <w:szCs w:val="20"/>
                <w:color w:val="auto"/>
              </w:rPr>
            </w:pPr>
            <w:r>
              <w:rPr>
                <w:rFonts w:ascii="Arial" w:cs="Arial" w:eastAsia="Arial" w:hAnsi="Arial"/>
                <w:sz w:val="16"/>
                <w:szCs w:val="16"/>
                <w:b w:val="1"/>
                <w:bCs w:val="1"/>
                <w:color w:val="auto"/>
              </w:rPr>
              <w:t>Six Months Ended</w:t>
            </w:r>
          </w:p>
        </w:tc>
      </w:tr>
      <w:tr>
        <w:trPr>
          <w:trHeight w:val="206"/>
        </w:trPr>
        <w:tc>
          <w:tcPr>
            <w:tcW w:w="48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202"/>
        </w:trPr>
        <w:tc>
          <w:tcPr>
            <w:tcW w:w="48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r>
      <w:tr>
        <w:trPr>
          <w:trHeight w:val="205"/>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Dollar-value of shares repurchased</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4,199</w:t>
            </w:r>
          </w:p>
        </w:tc>
        <w:tc>
          <w:tcPr>
            <w:tcW w:w="98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7,970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r>
      <w:tr>
        <w:trPr>
          <w:trHeight w:val="206"/>
        </w:trPr>
        <w:tc>
          <w:tcPr>
            <w:tcW w:w="4840" w:type="dxa"/>
            <w:vAlign w:val="bottom"/>
          </w:tcPr>
          <w:p>
            <w:pPr>
              <w:ind w:left="20"/>
              <w:spacing w:after="0"/>
              <w:rPr>
                <w:sz w:val="20"/>
                <w:szCs w:val="20"/>
                <w:color w:val="auto"/>
              </w:rPr>
            </w:pPr>
            <w:r>
              <w:rPr>
                <w:rFonts w:ascii="Arial" w:cs="Arial" w:eastAsia="Arial" w:hAnsi="Arial"/>
                <w:sz w:val="16"/>
                <w:szCs w:val="16"/>
                <w:color w:val="auto"/>
              </w:rPr>
              <w:t>Shares repurchased</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212.2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380.9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2"/>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paid per share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19.75</w:t>
            </w:r>
          </w:p>
        </w:tc>
        <w:tc>
          <w:tcPr>
            <w:tcW w:w="98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22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awards, phantom share awards and dividend equivalents, awards of deferred shares, and share payments to our employees and non-employee directors. No more than 3,028,667 Civeo common shares are authorized to be issued under the Civeo Plan.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Awards</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 xml:space="preserve">Restricted Share Awards / Restricted Share Units / Deferred Share Awards. </w:t>
      </w:r>
      <w:r>
        <w:rPr>
          <w:rFonts w:ascii="Arial" w:cs="Arial" w:eastAsia="Arial" w:hAnsi="Arial"/>
          <w:sz w:val="17"/>
          <w:szCs w:val="17"/>
          <w:color w:val="auto"/>
        </w:rPr>
        <w:t>On May 17, 2023, we granted 49,598 restricted share and deferred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to our non-employee directors, which vest in their entirety on May 15, 2024.</w:t>
      </w:r>
    </w:p>
    <w:p>
      <w:pPr>
        <w:spacing w:after="0" w:line="184"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Compensation expense associated with restricted share awards, restricted share units and deferred share awards recognized in the three months ended June 30, 2023 and 2022 totaled $0.3 million and $0.3 million, respectively. Compensation expense associated with restricted share awards, restricted share units and deferred share awards recognized in the six months ended June 30, 2023 and 2022 totaled $0.5 million and $0.7 million, respectively. The total fair value of restricted share awards, restricted share units and deferred share awards that vested during the three months ended June 30, 2023 and 2022 was $0.8 million and $1.5 million, respectively. The total fair value of restricted share awards, restricted share units and deferred share awards that vested during the six months ended June 30, 2023 and 2022 was $0.9 million and $2.1 million, respectively.</w:t>
      </w:r>
    </w:p>
    <w:p>
      <w:pPr>
        <w:spacing w:after="0" w:line="17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At June 30, 2023, unrecognized compensation cost related to restricted share awards, restricted share units and deferred share awards was $0.9 million, which is expected to be recognized over a weighted average period of 0.9 years.</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 xml:space="preserve">Phantom Share Awards. </w:t>
      </w:r>
      <w:r>
        <w:rPr>
          <w:rFonts w:ascii="Arial" w:cs="Arial" w:eastAsia="Arial" w:hAnsi="Arial"/>
          <w:sz w:val="17"/>
          <w:szCs w:val="17"/>
          <w:color w:val="auto"/>
        </w:rPr>
        <w:t>On February 23, 2023, we granted 171,608 phantom share awards under the Civeo Plan, which vest in three equal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installments beginning on February 23, 2024. We also granted 56,387 phantom share awards under the Canadian Long-Term Incentive Plan, which vest in three equal annual installments beginning on February 23, 2024. Phantom share awards are settled in cash upon vesting.</w:t>
      </w:r>
    </w:p>
    <w:p>
      <w:pPr>
        <w:spacing w:after="0" w:line="1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During the three months ended June 30, 2023 and 2022, we recognized compensation expense associated with phantom shares totaling $1.4 million and $2.5 million, respectively. During the six months ended June 30, 2023 and 2022, we recognized compensation expense associated with phantom shares totaling $3.2 million and $4.9 million, respectively. At June 30, 2023, unrecognized compensation cost related to phantom shares was $8.3 million, as remeasured at June 30, 2023, which is expected to be recognized over a weighted average period of 2.0 years.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24"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On February 23, 2023, we granted 85,837 performance awards under the Civeo Plan, which cliff vest in three years on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23, 2026 subject to attainment of applicable performance criteria. These awards will be earned in amounts between 0% and 200% of the participant’s target performance share award, based equally on (i) the payout percentage associated with Civeo’s relative total shareholder return rank among a peer group that includes 16 other companies and (ii) the payout percentage associated with Civeo's cumulative operating cash flow over the performance period relative to a preset target. The portion of the performance awards tied to cumulative operating cash flow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w:t>
      </w:r>
    </w:p>
    <w:p>
      <w:pPr>
        <w:spacing w:after="0" w:line="19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During the three months ended June 30, 2023 and 2022, we recognized compensation expense associated with performance share awards totaling $0.9 million and $0.7 million, respectively. During the six months ended June 30, 2023 and 2022, we recognized compensation expense associated with performance share awards totaling $1.5 million and $1.3 million, respectively. No performance share awards vested during the three months ended June 30, 2023 and 2022. The total fair value of performance share awards that vested during the six months ended June 30, 2023 and 2022 was zero and $2.4 million, respectively. At June 30, 2023, unrecognized compensation cost related to performance share awards was $5.5 million, which is expected to be recognized over a weighted average period of 2.0 years.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SEGMENT AND RELATED INFORMATION</w:t>
      </w:r>
    </w:p>
    <w:p>
      <w:pPr>
        <w:spacing w:after="0" w:line="22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and Australia, which represent our strategic focus on hospitality services and workforce accommodations. Prior to the first quarter of 2023, we presented the U.S. operating segment as a separate reportable segment. Our operating segment in the U.S. no longer meets the reportable segment quantitative thresholds required by GAAP and is included below within the Corporate, other and eliminations category. Prior periods have been updated to be consistent with the presentation for the three and six months ended June 30, 2023.</w:t>
      </w:r>
    </w:p>
    <w:p>
      <w:pPr>
        <w:spacing w:after="0" w:line="1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Financial information by business segment for each of the three and six months ended June 30, 2023 and 2022 is summarized in the following table (in thousands):</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6"/>
                <w:szCs w:val="16"/>
                <w:b w:val="1"/>
                <w:bCs w:val="1"/>
                <w:color w:val="auto"/>
                <w:w w:val="88"/>
              </w:rPr>
              <w:t>Depreciation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Operating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2"/>
              <w:spacing w:after="0" w:line="157" w:lineRule="exact"/>
              <w:rPr>
                <w:sz w:val="20"/>
                <w:szCs w:val="20"/>
                <w:color w:val="auto"/>
              </w:rPr>
            </w:pPr>
            <w:r>
              <w:rPr>
                <w:rFonts w:ascii="Arial" w:cs="Arial" w:eastAsia="Arial" w:hAnsi="Arial"/>
                <w:sz w:val="16"/>
                <w:szCs w:val="16"/>
                <w:b w:val="1"/>
                <w:bCs w:val="1"/>
                <w:color w:val="auto"/>
                <w:w w:val="91"/>
              </w:rPr>
              <w:t>and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2"/>
              <w:spacing w:after="0" w:line="157" w:lineRule="exact"/>
              <w:rPr>
                <w:sz w:val="20"/>
                <w:szCs w:val="20"/>
                <w:color w:val="auto"/>
              </w:rPr>
            </w:pPr>
            <w:r>
              <w:rPr>
                <w:rFonts w:ascii="Arial" w:cs="Arial" w:eastAsia="Arial" w:hAnsi="Arial"/>
                <w:sz w:val="16"/>
                <w:szCs w:val="16"/>
                <w:b w:val="1"/>
                <w:bCs w:val="1"/>
                <w:color w:val="auto"/>
                <w:w w:val="85"/>
              </w:rPr>
              <w:t>income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Total assets</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90"/>
              </w:rPr>
              <w:t>amortization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4"/>
              </w:rPr>
              <w:t>(loss)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4"/>
              </w:rPr>
              <w:t>expenditures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2023</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95,470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13,363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3,177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2,608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737,764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82,544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191,062</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(369,864)</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178,843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20,701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558,962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109,023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14,998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11,197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1,847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753,303</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67,820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204,086</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(319,992)</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184,954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637,397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184,923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27,502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4,069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737,764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159,533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191,062</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(369,864)</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346,434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42,363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558,962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204,975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26,595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15,235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3,853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02"/>
              <w:spacing w:after="0"/>
              <w:rPr>
                <w:sz w:val="20"/>
                <w:szCs w:val="20"/>
                <w:color w:val="auto"/>
              </w:rPr>
            </w:pPr>
            <w:r>
              <w:rPr>
                <w:rFonts w:ascii="Arial" w:cs="Arial" w:eastAsia="Arial" w:hAnsi="Arial"/>
                <w:sz w:val="16"/>
                <w:szCs w:val="16"/>
                <w:color w:val="auto"/>
                <w:w w:val="89"/>
              </w:rPr>
              <w:t>753,303</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131,349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204,086</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14,308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0"/>
              </w:rPr>
              <w:t>(319,992)</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350,632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43,210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18,479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637,397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line="8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2023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2022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 addition, in certain places in this quarterly report, we may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35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Macroeconomic Environment</w:t>
      </w:r>
    </w:p>
    <w:p>
      <w:pPr>
        <w:spacing w:after="0" w:line="150" w:lineRule="exact"/>
        <w:rPr>
          <w:sz w:val="20"/>
          <w:szCs w:val="20"/>
          <w:color w:val="auto"/>
        </w:rPr>
      </w:pPr>
    </w:p>
    <w:p>
      <w:pPr>
        <w:jc w:val="both"/>
        <w:ind w:firstLine="470"/>
        <w:spacing w:after="0" w:line="258"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estimates of resource production and the expectations of our customers' shareholders. As a result, demand for our hospitality services is largely sensitive to expected commodity prices, principally related to oil, metallurgical (met) coal, liquefied natural gas (LNG) and iron ore,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the U.S. and other markets, including governmental measures introduced to fight climate change.</w:t>
      </w:r>
    </w:p>
    <w:p>
      <w:pPr>
        <w:spacing w:after="0" w:line="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6"/>
          <w:szCs w:val="16"/>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65%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day basis that covers lodging and meals and is based on the duration of customer needs, which can range from several weeks to several years. The remainder of our revenue is generated by our hospitality services at customer-owned locations in Canada and Australia and mobile assets in Canada.</w:t>
      </w:r>
    </w:p>
    <w:p>
      <w:pPr>
        <w:spacing w:after="0" w:line="8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Generally, our core Canadian oil sands and Australian mining customers make significant, upfront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9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During 2022 and through the first half of 2023, inflationary pressures and supply chain disruptions have been, and are being, 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spacing w:after="0" w:line="8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to the macro inflationary impacts on labor costs noted above, during the COVID-19 pandemic, we were, and continue to be, impacted by increased staff costs as a result of hospitality labor shortages in Australia as government-imposed and voluntary social distancing and quarantining impacted travel. This labor shortage has been exacerbated by significantly reduced migration in and around Australia affecting labor availability, which has subsequently led to an increased reliance on more expensive temporary labor resources.</w:t>
      </w:r>
    </w:p>
    <w:p>
      <w:pPr>
        <w:spacing w:after="0" w:line="11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Since historic lows in early 2020 during the start of the COVID-19 pandemic, global oil prices increased in late 2020 and throughout 2021 primarily due to improved global oil demand and lagging global oil supply due to oil production discipline from publicly traded oil producers and OPEC+ countries. These supply/demand dynamics continued in 2022 and were exacerbated by the ongoing conflict between Russia/Ukraine and related sanctions on Russia, as well as actions taken by OPEC+ to adjust production levels, which decreased global fossil fuel supply even further. This led to a significant increase in global oil prices to above $100 per barrel in the second quarter of 2022. Severe inflation and rising interest rates in the second half of 2022 led to concerns of an economic recession and lower oil demand which resulted in decreased oil prices through the remainder of 2022 and the first half of 2023. In an effort to support the price of oil amidst demand concerns, OPEC+ announced additional oil production cuts in April 2023. Further, Saudi Arabia announced voluntary oil production cuts in June 2023, which were extended through at least August 2023.</w:t>
      </w:r>
    </w:p>
    <w:p>
      <w:pPr>
        <w:spacing w:after="0" w:line="10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i w:val="1"/>
          <w:iCs w:val="1"/>
          <w:color w:val="auto"/>
        </w:rPr>
        <w:t xml:space="preserve">Alberta, Canada. </w:t>
      </w:r>
      <w:r>
        <w:rPr>
          <w:rFonts w:ascii="Arial" w:cs="Arial" w:eastAsia="Arial" w:hAnsi="Arial"/>
          <w:sz w:val="17"/>
          <w:szCs w:val="17"/>
          <w:color w:val="auto"/>
        </w:rPr>
        <w:t>In Canada, Western Canadian Select (WCS) crude is the benchmark price for our oil sands customers. Pricing for WCS is driven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factors, including the underlying price for West Texas Intermediate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1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continues to progress towards completion. TMX recently announced that the project is approximately 80% complete, with mechanical completion expected to occur at the end of 2023, and the pipeline is expected to be in-service in the first quarter of 2024.</w:t>
      </w:r>
    </w:p>
    <w:p>
      <w:pPr>
        <w:spacing w:after="0" w:line="9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WCS prices in the second quarter of 2023 averaged $60.25 per barrel compared to an average of $92.89 in the second quarter of 2022. The WCS Differential decreased from $27.62 per barrel at the end of the fourth quarter of 2022 to $11.30 at the end of the second quarter of 2023. As of July 24, 2023, the WTI price was $63.14 and the WCS price was $78.89, resulting in a WCS Differential of $15.75.</w:t>
      </w:r>
    </w:p>
    <w:p>
      <w:pPr>
        <w:spacing w:after="0" w:line="9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Although oil prices reached multi-year highs in the first half of 2022, they fluctuated through the second half of 2022 and the first half of 2023. There is continued uncertainty around commodity price levels, including the impact of inflationary pressures, actions taken by OPEC+ to adjust production levels, geopolitical events such as the ongoing Russia/Ukraine conflict, and regulatory implications on such prices, which could cause our Canadian oil sands and pipeline customers to reduce production, delay expansionary and maintenance spending and defer additional investments in their oil sands assets.</w:t>
      </w:r>
    </w:p>
    <w:p>
      <w:pPr>
        <w:spacing w:after="0" w:line="97"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We did not renew our expiring land lease associated with our McClelland Lake Lodge in Alberta, Canada, which expired in June 2023, ten years earlier than originally expected, in order to support our customer’s intent to mine the land where the lodge is located. In addition, the accompanying hospitality services contract at McClelland Lake Lodge expired in July 2023, however; we will continue to provide hospitality services to the customer at our other owned lodges through January 31, 2024 under a short-term take-or-pay commitment. Our assets will be demobilized and removed from the existing site by February 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2024. Based on ongoing discussions with customers in the region, our current assessment is there are no commercially viable opportunities that support the reinstallation of these assets in a different location within the Regional Municipality of Wood Buffalo. Accordingly, we are actively marketing these assets for new opportunities within Canada and the U.S. and have discussed with a number of parties. Based on our knowledge and understanding of the marketplace, we believe there is demand for these assets for sale or redeployment. Should our marketing efforts fail to identify an economic alternative, other options will be considered. Revenues for the full year 2022 associated with our McClelland Lake Lodge were approximately C$60 million. We expect to have further clarity on potential sales or redeployment opportunities for these assets as we move through 2023.</w:t>
      </w:r>
    </w:p>
    <w:p>
      <w:pPr>
        <w:spacing w:after="0" w:line="10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i w:val="1"/>
          <w:iCs w:val="1"/>
          <w:color w:val="auto"/>
        </w:rPr>
        <w:t xml:space="preserve">British Columbia, Canada. </w:t>
      </w:r>
      <w:r>
        <w:rPr>
          <w:rFonts w:ascii="Arial" w:cs="Arial" w:eastAsia="Arial" w:hAnsi="Arial"/>
          <w:sz w:val="17"/>
          <w:szCs w:val="17"/>
          <w:color w:val="auto"/>
        </w:rPr>
        <w:t>Our Sitka Lodge supports the LNG Canada project and related pipeline projects (see discussion below).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 between Russia/Ukraine has further highlighted the need for secure natural gas supply globally, particularly in Europe. Accordingly, additional investment in LNG supply will be needed to meet the resulting expected long-term LNG demand growth.</w:t>
      </w:r>
    </w:p>
    <w:p>
      <w:pPr>
        <w:spacing w:after="0" w:line="11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designated portions of the related pipeline construction activity. While our current expectation is that our contracted commitments associated with the CGL pipeline project will be completed in the second half of 2023, any new delays in facility or pipeline construction may result in extensions to these dates.</w:t>
      </w:r>
    </w:p>
    <w:p>
      <w:pPr>
        <w:spacing w:after="0" w:line="10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b w:val="1"/>
          <w:bCs w:val="1"/>
          <w:i w:val="1"/>
          <w:iCs w:val="1"/>
          <w:color w:val="auto"/>
        </w:rPr>
        <w:t xml:space="preserve">Australia. </w:t>
      </w:r>
      <w:r>
        <w:rPr>
          <w:rFonts w:ascii="Arial" w:cs="Arial" w:eastAsia="Arial" w:hAnsi="Arial"/>
          <w:sz w:val="17"/>
          <w:szCs w:val="17"/>
          <w:color w:val="auto"/>
        </w:rPr>
        <w:t>In Australia, 84% of our rooms are located in the Bowen Basin of Queensland, Australia and primarily serve met coal mines in that region. Met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coal pricing and production growth in the Bowen Basin region is predominantly influenced by the level of global steel production, which decreased by 1.1% through June 2023 compared to the same period of 2022. The decrease was the result of continuing weakness in the Chinese residential sector, slowing growth due to global monetary tightening and the continuation of the Russia/Ukraine conflict. As of July 24, 2023, met coal spot prices were $234.65 per tonne. Steel output for 2023 is expected to remain at similar levels to 2022.</w:t>
      </w:r>
    </w:p>
    <w:p>
      <w:pPr>
        <w:spacing w:after="0" w:line="2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Following historic highs in early 2022, met coal prices have since stabilized and were further supported in the first half of 2023 with seasonal weather-related supply interruptions in Australia. Analysts forecast met coal prices to face downward pressure through the second half of 2023 with supply recovery and weaker demand sentiment impacted by the global financial markets. Downward pressure on prices could accelerate in the short term if demand in China worsens.</w:t>
      </w:r>
    </w:p>
    <w:p>
      <w:pPr>
        <w:spacing w:after="0" w:line="20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Civeo's activity in Western Australia is driven primarily by iron ore production, which is a key steel-making ingredient. Iron ore prices have stabilized in early 2023 after fluctuating in the second half of 2022. As of July 21, 2023, iron ore spot prices were $111.32 per tonne. Analysts forecast Chinese steel production in 2023 to be at similar levels to 2022 and expect forecast iron ore pricing in 2023 to remain between $100 and $115.</w:t>
      </w:r>
    </w:p>
    <w:p>
      <w:pPr>
        <w:spacing w:after="0" w:line="179"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In the first quarter of 2023, we sold our U.S. Acadian Acres lodge assets. In addition, in the second half of 2022, we sold both our U.S. wellsite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and offshore businesses. Our remaining U.S. business supports completion activity in the Bakken. U.S. oil completion activity will continue to be impacted by oil prices, pipeline capacity, federal energy policies and availability of capital to support exploration and production completion plans.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Recent Commodity Prices. </w:t>
      </w:r>
      <w:r>
        <w:rPr>
          <w:rFonts w:ascii="Arial" w:cs="Arial" w:eastAsia="Arial" w:hAnsi="Arial"/>
          <w:sz w:val="17"/>
          <w:szCs w:val="17"/>
          <w:color w:val="auto"/>
        </w:rPr>
        <w:t>Recent WTI crude, WCS crude, met coal and iron ore pricing trends are as follows: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7"/>
                <w:szCs w:val="17"/>
                <w:color w:val="auto"/>
              </w:rPr>
              <w:t xml:space="preserve">Average Price </w:t>
            </w:r>
            <w:r>
              <w:rPr>
                <w:rFonts w:ascii="Arial" w:cs="Arial" w:eastAsia="Arial" w:hAnsi="Arial"/>
                <w:sz w:val="22"/>
                <w:szCs w:val="22"/>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3"/>
              <w:spacing w:after="0" w:line="176" w:lineRule="exact"/>
              <w:rPr>
                <w:sz w:val="20"/>
                <w:szCs w:val="20"/>
                <w:color w:val="auto"/>
              </w:rPr>
            </w:pPr>
            <w:r>
              <w:rPr>
                <w:rFonts w:ascii="Arial" w:cs="Arial" w:eastAsia="Arial" w:hAnsi="Arial"/>
                <w:sz w:val="17"/>
                <w:szCs w:val="17"/>
                <w:color w:val="auto"/>
                <w:w w:val="97"/>
              </w:rPr>
              <w:t>Hard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3"/>
              </w:rPr>
              <w:t>Quarter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93"/>
              <w:spacing w:after="0" w:line="170" w:lineRule="exact"/>
              <w:rPr>
                <w:sz w:val="20"/>
                <w:szCs w:val="20"/>
                <w:color w:val="auto"/>
              </w:rPr>
            </w:pPr>
            <w:r>
              <w:rPr>
                <w:rFonts w:ascii="Arial" w:cs="Arial" w:eastAsia="Arial" w:hAnsi="Arial"/>
                <w:sz w:val="17"/>
                <w:szCs w:val="17"/>
                <w:color w:val="auto"/>
              </w:rPr>
              <w:t>WTI</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center"/>
              <w:ind w:right="193"/>
              <w:spacing w:after="0" w:line="170" w:lineRule="exact"/>
              <w:rPr>
                <w:sz w:val="20"/>
                <w:szCs w:val="20"/>
                <w:color w:val="auto"/>
              </w:rPr>
            </w:pPr>
            <w:r>
              <w:rPr>
                <w:rFonts w:ascii="Arial" w:cs="Arial" w:eastAsia="Arial" w:hAnsi="Arial"/>
                <w:sz w:val="17"/>
                <w:szCs w:val="17"/>
                <w:color w:val="auto"/>
                <w:w w:val="95"/>
              </w:rPr>
              <w:t>WCS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3"/>
              <w:spacing w:after="0" w:line="170" w:lineRule="exact"/>
              <w:rPr>
                <w:sz w:val="20"/>
                <w:szCs w:val="20"/>
                <w:color w:val="auto"/>
              </w:rPr>
            </w:pPr>
            <w:r>
              <w:rPr>
                <w:rFonts w:ascii="Arial" w:cs="Arial" w:eastAsia="Arial" w:hAnsi="Arial"/>
                <w:sz w:val="17"/>
                <w:szCs w:val="17"/>
                <w:color w:val="auto"/>
                <w:w w:val="94"/>
              </w:rPr>
              <w:t>Coking Coal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3"/>
              <w:spacing w:after="0" w:line="170" w:lineRule="exact"/>
              <w:rPr>
                <w:sz w:val="20"/>
                <w:szCs w:val="20"/>
                <w:color w:val="auto"/>
              </w:rPr>
            </w:pPr>
            <w:r>
              <w:rPr>
                <w:rFonts w:ascii="Arial" w:cs="Arial" w:eastAsia="Arial" w:hAnsi="Arial"/>
                <w:sz w:val="17"/>
                <w:szCs w:val="17"/>
                <w:color w:val="auto"/>
              </w:rPr>
              <w:t>Iron</w:t>
            </w:r>
          </w:p>
        </w:tc>
        <w:tc>
          <w:tcPr>
            <w:tcW w:w="0" w:type="dxa"/>
            <w:vAlign w:val="bottom"/>
          </w:tcPr>
          <w:p>
            <w:pPr>
              <w:spacing w:after="0"/>
              <w:rPr>
                <w:sz w:val="1"/>
                <w:szCs w:val="1"/>
                <w:color w:val="auto"/>
              </w:rPr>
            </w:pPr>
          </w:p>
        </w:tc>
      </w:tr>
      <w:tr>
        <w:trPr>
          <w:trHeight w:val="170"/>
        </w:trPr>
        <w:tc>
          <w:tcPr>
            <w:tcW w:w="3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93"/>
              <w:spacing w:after="0" w:line="170" w:lineRule="exact"/>
              <w:rPr>
                <w:sz w:val="20"/>
                <w:szCs w:val="20"/>
                <w:color w:val="auto"/>
              </w:rPr>
            </w:pPr>
            <w:r>
              <w:rPr>
                <w:rFonts w:ascii="Arial" w:cs="Arial" w:eastAsia="Arial" w:hAnsi="Arial"/>
                <w:sz w:val="17"/>
                <w:szCs w:val="17"/>
                <w:color w:val="auto"/>
                <w:w w:val="94"/>
              </w:rPr>
              <w:t>Crude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center"/>
              <w:ind w:right="193"/>
              <w:spacing w:after="0" w:line="170" w:lineRule="exact"/>
              <w:rPr>
                <w:sz w:val="20"/>
                <w:szCs w:val="20"/>
                <w:color w:val="auto"/>
              </w:rPr>
            </w:pPr>
            <w:r>
              <w:rPr>
                <w:rFonts w:ascii="Arial" w:cs="Arial" w:eastAsia="Arial" w:hAnsi="Arial"/>
                <w:sz w:val="17"/>
                <w:szCs w:val="17"/>
                <w:color w:val="auto"/>
                <w:w w:val="90"/>
              </w:rPr>
              <w:t>Crude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3"/>
              <w:spacing w:after="0" w:line="170" w:lineRule="exact"/>
              <w:rPr>
                <w:sz w:val="20"/>
                <w:szCs w:val="20"/>
                <w:color w:val="auto"/>
              </w:rPr>
            </w:pPr>
            <w:r>
              <w:rPr>
                <w:rFonts w:ascii="Arial" w:cs="Arial" w:eastAsia="Arial" w:hAnsi="Arial"/>
                <w:sz w:val="17"/>
                <w:szCs w:val="17"/>
                <w:color w:val="auto"/>
                <w:w w:val="95"/>
              </w:rPr>
              <w:t>(Met Coal)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3"/>
              <w:spacing w:after="0" w:line="170" w:lineRule="exact"/>
              <w:rPr>
                <w:sz w:val="20"/>
                <w:szCs w:val="20"/>
                <w:color w:val="auto"/>
              </w:rPr>
            </w:pPr>
            <w:r>
              <w:rPr>
                <w:rFonts w:ascii="Arial" w:cs="Arial" w:eastAsia="Arial" w:hAnsi="Arial"/>
                <w:sz w:val="17"/>
                <w:szCs w:val="17"/>
                <w:color w:val="auto"/>
                <w:w w:val="91"/>
              </w:rPr>
              <w:t>Ore</w:t>
            </w:r>
          </w:p>
        </w:tc>
        <w:tc>
          <w:tcPr>
            <w:tcW w:w="0" w:type="dxa"/>
            <w:vAlign w:val="bottom"/>
          </w:tcPr>
          <w:p>
            <w:pPr>
              <w:spacing w:after="0"/>
              <w:rPr>
                <w:sz w:val="1"/>
                <w:szCs w:val="1"/>
                <w:color w:val="auto"/>
              </w:rPr>
            </w:pPr>
          </w:p>
        </w:tc>
      </w:tr>
      <w:tr>
        <w:trPr>
          <w:trHeight w:val="228"/>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ended</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7"/>
                <w:szCs w:val="17"/>
                <w:color w:val="auto"/>
                <w:w w:val="94"/>
              </w:rPr>
              <w:t>(per bbl)</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3"/>
              <w:spacing w:after="0"/>
              <w:rPr>
                <w:sz w:val="20"/>
                <w:szCs w:val="20"/>
                <w:color w:val="auto"/>
              </w:rPr>
            </w:pPr>
            <w:r>
              <w:rPr>
                <w:rFonts w:ascii="Arial" w:cs="Arial" w:eastAsia="Arial" w:hAnsi="Arial"/>
                <w:sz w:val="17"/>
                <w:szCs w:val="17"/>
                <w:color w:val="auto"/>
                <w:w w:val="94"/>
              </w:rPr>
              <w:t>(per bbl)</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color w:val="auto"/>
                <w:w w:val="91"/>
              </w:rPr>
              <w:t>(per tonne)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color w:val="auto"/>
                <w:w w:val="93"/>
              </w:rPr>
              <w:t>(per tonne)</w:t>
            </w: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Third Quarter through July 24, 2023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109.43</w:t>
            </w:r>
          </w:p>
        </w:tc>
        <w:tc>
          <w:tcPr>
            <w:tcW w:w="0" w:type="dxa"/>
            <w:vAlign w:val="bottom"/>
          </w:tcPr>
          <w:p>
            <w:pPr>
              <w:spacing w:after="0"/>
              <w:rPr>
                <w:sz w:val="1"/>
                <w:szCs w:val="1"/>
                <w:color w:val="auto"/>
              </w:rPr>
            </w:pPr>
          </w:p>
        </w:tc>
      </w:tr>
      <w:tr>
        <w:trPr>
          <w:trHeight w:val="222"/>
        </w:trPr>
        <w:tc>
          <w:tcPr>
            <w:tcW w:w="3580" w:type="dxa"/>
            <w:vAlign w:val="bottom"/>
          </w:tcPr>
          <w:p>
            <w:pPr>
              <w:jc w:val="center"/>
              <w:spacing w:after="0"/>
              <w:rPr>
                <w:sz w:val="20"/>
                <w:szCs w:val="20"/>
                <w:color w:val="auto"/>
              </w:rPr>
            </w:pPr>
            <w:r>
              <w:rPr>
                <w:rFonts w:ascii="Arial" w:cs="Arial" w:eastAsia="Arial" w:hAnsi="Arial"/>
                <w:sz w:val="17"/>
                <w:szCs w:val="17"/>
                <w:color w:val="auto"/>
                <w:w w:val="92"/>
              </w:rPr>
              <w:t>6/30/2023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73.54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106.98</w:t>
            </w:r>
          </w:p>
        </w:tc>
        <w:tc>
          <w:tcPr>
            <w:tcW w:w="0" w:type="dxa"/>
            <w:vAlign w:val="bottom"/>
          </w:tcPr>
          <w:p>
            <w:pPr>
              <w:spacing w:after="0"/>
              <w:rPr>
                <w:sz w:val="1"/>
                <w:szCs w:val="1"/>
                <w:color w:val="auto"/>
              </w:rPr>
            </w:pPr>
          </w:p>
        </w:tc>
      </w:tr>
      <w:tr>
        <w:trPr>
          <w:trHeight w:val="235"/>
        </w:trPr>
        <w:tc>
          <w:tcPr>
            <w:tcW w:w="3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3/31/2023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117.08</w:t>
            </w:r>
          </w:p>
        </w:tc>
        <w:tc>
          <w:tcPr>
            <w:tcW w:w="0" w:type="dxa"/>
            <w:vAlign w:val="bottom"/>
          </w:tcPr>
          <w:p>
            <w:pPr>
              <w:spacing w:after="0"/>
              <w:rPr>
                <w:sz w:val="1"/>
                <w:szCs w:val="1"/>
                <w:color w:val="auto"/>
              </w:rPr>
            </w:pPr>
          </w:p>
        </w:tc>
      </w:tr>
      <w:tr>
        <w:trPr>
          <w:trHeight w:val="222"/>
        </w:trPr>
        <w:tc>
          <w:tcPr>
            <w:tcW w:w="3580" w:type="dxa"/>
            <w:vAlign w:val="bottom"/>
          </w:tcPr>
          <w:p>
            <w:pPr>
              <w:jc w:val="center"/>
              <w:spacing w:after="0"/>
              <w:rPr>
                <w:sz w:val="20"/>
                <w:szCs w:val="20"/>
                <w:color w:val="auto"/>
              </w:rPr>
            </w:pPr>
            <w:r>
              <w:rPr>
                <w:rFonts w:ascii="Arial" w:cs="Arial" w:eastAsia="Arial" w:hAnsi="Arial"/>
                <w:sz w:val="17"/>
                <w:szCs w:val="17"/>
                <w:color w:val="auto"/>
                <w:w w:val="93"/>
              </w:rPr>
              <w:t>12/31/2022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276.19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94.93</w:t>
            </w: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9/30/2022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99.21</w:t>
            </w: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7"/>
                <w:szCs w:val="17"/>
                <w:color w:val="auto"/>
                <w:w w:val="92"/>
              </w:rPr>
              <w:t>6/30/2022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108.77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128.80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3/31/2022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940" w:right="100" w:hanging="308"/>
        <w:spacing w:after="0" w:line="224" w:lineRule="auto"/>
        <w:tabs>
          <w:tab w:leader="none" w:pos="94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Source: WTI crude prices are from U.S. Energy Information Administration, WCS crude prices and iron ore prices are from Bloomberg and hard coking coal prices are from IHS Markit.</w:t>
      </w:r>
    </w:p>
    <w:p>
      <w:pPr>
        <w:spacing w:after="0" w:line="218" w:lineRule="exact"/>
        <w:rPr>
          <w:sz w:val="20"/>
          <w:szCs w:val="20"/>
          <w:color w:val="auto"/>
        </w:rPr>
      </w:pPr>
    </w:p>
    <w:p>
      <w:pPr>
        <w:jc w:val="both"/>
        <w:ind w:right="100" w:firstLine="470"/>
        <w:spacing w:after="0" w:line="269"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57"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left="116"/>
              <w:spacing w:after="0"/>
              <w:rPr>
                <w:sz w:val="20"/>
                <w:szCs w:val="20"/>
                <w:color w:val="auto"/>
              </w:rPr>
            </w:pPr>
            <w:r>
              <w:rPr>
                <w:rFonts w:ascii="Arial" w:cs="Arial" w:eastAsia="Arial" w:hAnsi="Arial"/>
                <w:sz w:val="17"/>
                <w:szCs w:val="17"/>
                <w:b w:val="1"/>
                <w:bCs w:val="1"/>
                <w:color w:val="auto"/>
                <w:w w:val="93"/>
              </w:rPr>
              <w:t>Six Months Ended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1"/>
        </w:trPr>
        <w:tc>
          <w:tcPr>
            <w:tcW w:w="3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7"/>
                <w:szCs w:val="17"/>
                <w:b w:val="1"/>
                <w:bCs w:val="1"/>
                <w:color w:val="auto"/>
              </w:rPr>
              <w:t>June 30,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7"/>
                <w:szCs w:val="17"/>
                <w:b w:val="1"/>
                <w:bCs w:val="1"/>
                <w:color w:val="auto"/>
                <w:w w:val="91"/>
              </w:rPr>
              <w:t>June 30,</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03"/>
        </w:trPr>
        <w:tc>
          <w:tcPr>
            <w:tcW w:w="34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r>
      <w:tr>
        <w:trPr>
          <w:trHeight w:val="218"/>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Canadian dollar to U.S. dollar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120" w:type="dxa"/>
            <w:vAlign w:val="bottom"/>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95"/>
              </w:rPr>
              <w:t>(5.0)%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$0.787</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($0.04)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3460" w:type="dxa"/>
            <w:vAlign w:val="bottom"/>
          </w:tcPr>
          <w:p>
            <w:pPr>
              <w:ind w:left="20"/>
              <w:spacing w:after="0"/>
              <w:rPr>
                <w:sz w:val="20"/>
                <w:szCs w:val="20"/>
                <w:color w:val="auto"/>
              </w:rPr>
            </w:pPr>
            <w:r>
              <w:rPr>
                <w:rFonts w:ascii="Arial" w:cs="Arial" w:eastAsia="Arial" w:hAnsi="Arial"/>
                <w:sz w:val="17"/>
                <w:szCs w:val="17"/>
                <w:color w:val="auto"/>
              </w:rPr>
              <w:t>Average Australian dollar to U.S. dollar</w:t>
            </w:r>
          </w:p>
        </w:tc>
        <w:tc>
          <w:tcPr>
            <w:tcW w:w="820" w:type="dxa"/>
            <w:vAlign w:val="bottom"/>
          </w:tcPr>
          <w:p>
            <w:pPr>
              <w:jc w:val="right"/>
              <w:spacing w:after="0"/>
              <w:rPr>
                <w:sz w:val="20"/>
                <w:szCs w:val="20"/>
                <w:color w:val="auto"/>
              </w:rPr>
            </w:pPr>
            <w:r>
              <w:rPr>
                <w:rFonts w:ascii="Arial" w:cs="Arial" w:eastAsia="Arial" w:hAnsi="Arial"/>
                <w:sz w:val="17"/>
                <w:szCs w:val="17"/>
                <w:color w:val="auto"/>
              </w:rPr>
              <w:t>$0.668</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$0.715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($0.05)</w:t>
            </w:r>
          </w:p>
        </w:tc>
        <w:tc>
          <w:tcPr>
            <w:tcW w:w="1120" w:type="dxa"/>
            <w:vAlign w:val="bottom"/>
            <w:gridSpan w:val="2"/>
          </w:tcPr>
          <w:p>
            <w:pPr>
              <w:jc w:val="center"/>
              <w:ind w:left="33"/>
              <w:spacing w:after="0"/>
              <w:rPr>
                <w:sz w:val="20"/>
                <w:szCs w:val="20"/>
                <w:color w:val="auto"/>
              </w:rPr>
            </w:pPr>
            <w:r>
              <w:rPr>
                <w:rFonts w:ascii="Arial" w:cs="Arial" w:eastAsia="Arial" w:hAnsi="Arial"/>
                <w:sz w:val="17"/>
                <w:szCs w:val="17"/>
                <w:color w:val="auto"/>
                <w:w w:val="95"/>
              </w:rPr>
              <w:t>(6.6)%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$0.676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$0.719</w:t>
            </w:r>
          </w:p>
        </w:tc>
        <w:tc>
          <w:tcPr>
            <w:tcW w:w="940" w:type="dxa"/>
            <w:vAlign w:val="bottom"/>
            <w:gridSpan w:val="2"/>
          </w:tcPr>
          <w:p>
            <w:pPr>
              <w:ind w:left="280"/>
              <w:spacing w:after="0"/>
              <w:rPr>
                <w:sz w:val="20"/>
                <w:szCs w:val="20"/>
                <w:color w:val="auto"/>
              </w:rPr>
            </w:pPr>
            <w:r>
              <w:rPr>
                <w:rFonts w:ascii="Arial" w:cs="Arial" w:eastAsia="Arial" w:hAnsi="Arial"/>
                <w:sz w:val="17"/>
                <w:szCs w:val="17"/>
                <w:color w:val="auto"/>
              </w:rPr>
              <w:t>($0.04)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(6.0)</w:t>
            </w:r>
          </w:p>
        </w:tc>
      </w:tr>
    </w:tbl>
    <w:p>
      <w:pPr>
        <w:spacing w:after="0" w:line="113" w:lineRule="exact"/>
        <w:rPr>
          <w:sz w:val="20"/>
          <w:szCs w:val="20"/>
          <w:color w:val="auto"/>
        </w:rPr>
      </w:pPr>
    </w:p>
    <w:tbl>
      <w:tblPr>
        <w:tblLayout w:type="fixed"/>
        <w:tblInd w:w="138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As of</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00"/>
        </w:trPr>
        <w:tc>
          <w:tcPr>
            <w:tcW w:w="3100" w:type="dxa"/>
            <w:vAlign w:val="bottom"/>
          </w:tcPr>
          <w:p>
            <w:pPr>
              <w:spacing w:after="0"/>
              <w:rPr>
                <w:sz w:val="17"/>
                <w:szCs w:val="17"/>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June 30, 2023</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December 31, 2022</w:t>
            </w: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Percentage</w:t>
            </w:r>
          </w:p>
        </w:tc>
      </w:tr>
      <w:tr>
        <w:trPr>
          <w:trHeight w:val="231"/>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Canadian dollar to U.S. dollar</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360" w:type="dxa"/>
            <w:vAlign w:val="bottom"/>
            <w:gridSpan w:val="2"/>
            <w:shd w:val="clear" w:color="auto" w:fill="CCEEFF"/>
          </w:tcPr>
          <w:p>
            <w:pPr>
              <w:jc w:val="right"/>
              <w:ind w:right="342"/>
              <w:spacing w:after="0"/>
              <w:rPr>
                <w:sz w:val="20"/>
                <w:szCs w:val="20"/>
                <w:color w:val="auto"/>
              </w:rPr>
            </w:pPr>
            <w:r>
              <w:rPr>
                <w:rFonts w:ascii="Arial" w:cs="Arial" w:eastAsia="Arial" w:hAnsi="Arial"/>
                <w:sz w:val="17"/>
                <w:szCs w:val="17"/>
                <w:color w:val="auto"/>
              </w:rPr>
              <w:t>2.3%</w:t>
            </w:r>
          </w:p>
        </w:tc>
      </w:tr>
      <w:tr>
        <w:trPr>
          <w:trHeight w:val="222"/>
        </w:trPr>
        <w:tc>
          <w:tcPr>
            <w:tcW w:w="3100" w:type="dxa"/>
            <w:vAlign w:val="bottom"/>
          </w:tcPr>
          <w:p>
            <w:pPr>
              <w:ind w:left="20"/>
              <w:spacing w:after="0"/>
              <w:rPr>
                <w:sz w:val="20"/>
                <w:szCs w:val="20"/>
                <w:color w:val="auto"/>
              </w:rPr>
            </w:pPr>
            <w:r>
              <w:rPr>
                <w:rFonts w:ascii="Arial" w:cs="Arial" w:eastAsia="Arial" w:hAnsi="Arial"/>
                <w:sz w:val="17"/>
                <w:szCs w:val="17"/>
                <w:color w:val="auto"/>
              </w:rPr>
              <w:t>Australian dollar to U.S. dollar</w:t>
            </w:r>
          </w:p>
        </w:tc>
        <w:tc>
          <w:tcPr>
            <w:tcW w:w="1660" w:type="dxa"/>
            <w:vAlign w:val="bottom"/>
          </w:tcPr>
          <w:p>
            <w:pPr>
              <w:jc w:val="right"/>
              <w:spacing w:after="0"/>
              <w:rPr>
                <w:sz w:val="20"/>
                <w:szCs w:val="20"/>
                <w:color w:val="auto"/>
              </w:rPr>
            </w:pPr>
            <w:r>
              <w:rPr>
                <w:rFonts w:ascii="Arial" w:cs="Arial" w:eastAsia="Arial" w:hAnsi="Arial"/>
                <w:sz w:val="17"/>
                <w:szCs w:val="17"/>
                <w:color w:val="auto"/>
              </w:rPr>
              <w:t>$0.666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$0.679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($0.01)</w:t>
            </w:r>
          </w:p>
        </w:tc>
        <w:tc>
          <w:tcPr>
            <w:tcW w:w="1360" w:type="dxa"/>
            <w:vAlign w:val="bottom"/>
            <w:gridSpan w:val="2"/>
          </w:tcPr>
          <w:p>
            <w:pPr>
              <w:jc w:val="right"/>
              <w:ind w:right="282"/>
              <w:spacing w:after="0"/>
              <w:rPr>
                <w:sz w:val="20"/>
                <w:szCs w:val="20"/>
                <w:color w:val="auto"/>
              </w:rPr>
            </w:pPr>
            <w:r>
              <w:rPr>
                <w:rFonts w:ascii="Arial" w:cs="Arial" w:eastAsia="Arial" w:hAnsi="Arial"/>
                <w:sz w:val="17"/>
                <w:szCs w:val="17"/>
                <w:color w:val="auto"/>
              </w:rPr>
              <w:t>(2.0)%</w:t>
            </w:r>
          </w:p>
        </w:tc>
      </w:tr>
    </w:tbl>
    <w:p>
      <w:pPr>
        <w:spacing w:after="0" w:line="197"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65" w:lineRule="exact"/>
        <w:rPr>
          <w:sz w:val="20"/>
          <w:szCs w:val="20"/>
          <w:color w:val="auto"/>
        </w:rPr>
      </w:pPr>
    </w:p>
    <w:p>
      <w:pPr>
        <w:jc w:val="both"/>
        <w:ind w:right="100" w:firstLine="470"/>
        <w:spacing w:after="0" w:line="250" w:lineRule="auto"/>
        <w:rPr>
          <w:sz w:val="20"/>
          <w:szCs w:val="20"/>
          <w:color w:val="auto"/>
        </w:rPr>
      </w:pPr>
      <w:r>
        <w:rPr>
          <w:rFonts w:ascii="Arial" w:cs="Arial" w:eastAsia="Arial" w:hAnsi="Arial"/>
          <w:sz w:val="17"/>
          <w:szCs w:val="17"/>
          <w:b w:val="1"/>
          <w:bCs w:val="1"/>
          <w:color w:val="auto"/>
        </w:rPr>
        <w:t xml:space="preserve">Capital Expenditures. </w:t>
      </w:r>
      <w:r>
        <w:rPr>
          <w:rFonts w:ascii="Arial" w:cs="Arial" w:eastAsia="Arial" w:hAnsi="Arial"/>
          <w:sz w:val="17"/>
          <w:szCs w:val="17"/>
          <w:color w:val="auto"/>
        </w:rPr>
        <w:t>We continue to monitor the global economy, commodity prices, demand for crude oil, met coal, LNG and iron ore, inflation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resultant impact on the capital spending plans of our customers in order to plan our business activities. We currently expect that our 2023 capital expenditures will be in the range of approximately $35 million to $40 million, compared to 2022 capital expenditures of $25.4 million. The 2023 capital expenditures include $10 million related to village enhancements in Australia, for which our customer will reimburse us, resulting in a net negligible cash flow impact in 2023. We may adjust our capital expenditure plans in the future as we continue to monitor customer activity.</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below for further discussion of our 2023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2" w:name="page23"/>
    <w:bookmarkEnd w:id="22"/>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5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Unless otherwise indicated, discussion of results for the three and six months ended June 30, 2023, is based on a comparison to the corresponding period of 2022.</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Three Months Ended June 30, 2023 Compared to Three Months Ended June 30, 2022</w:t>
      </w:r>
    </w:p>
    <w:p>
      <w:pPr>
        <w:spacing w:after="0" w:line="3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5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89"/>
        </w:trPr>
        <w:tc>
          <w:tcPr>
            <w:tcW w:w="5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Change</w:t>
            </w:r>
          </w:p>
        </w:tc>
      </w:tr>
      <w:tr>
        <w:trPr>
          <w:trHeight w:val="212"/>
        </w:trPr>
        <w:tc>
          <w:tcPr>
            <w:tcW w:w="5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10"/>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
        </w:trPr>
        <w:tc>
          <w:tcPr>
            <w:tcW w:w="5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7"/>
        </w:trPr>
        <w:tc>
          <w:tcPr>
            <w:tcW w:w="5000" w:type="dxa"/>
            <w:vAlign w:val="bottom"/>
          </w:tcPr>
          <w:p>
            <w:pPr>
              <w:ind w:left="12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95,470</w:t>
            </w:r>
          </w:p>
        </w:tc>
        <w:tc>
          <w:tcPr>
            <w:tcW w:w="640" w:type="dxa"/>
            <w:vAlign w:val="bottom"/>
            <w:gridSpan w:val="2"/>
          </w:tcPr>
          <w:p>
            <w:pPr>
              <w:jc w:val="right"/>
              <w:ind w:right="39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109,023</w:t>
            </w:r>
          </w:p>
        </w:tc>
        <w:tc>
          <w:tcPr>
            <w:tcW w:w="50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(13,553)</w:t>
            </w:r>
          </w:p>
        </w:tc>
      </w:tr>
      <w:tr>
        <w:trPr>
          <w:trHeight w:val="205"/>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82,544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67,820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14,724</w:t>
            </w:r>
          </w:p>
        </w:tc>
      </w:tr>
      <w:tr>
        <w:trPr>
          <w:trHeight w:val="181"/>
        </w:trPr>
        <w:tc>
          <w:tcPr>
            <w:tcW w:w="5000" w:type="dxa"/>
            <w:vAlign w:val="bottom"/>
          </w:tcPr>
          <w:p>
            <w:pPr>
              <w:ind w:left="1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(7,282)</w:t>
            </w:r>
          </w:p>
        </w:tc>
      </w:tr>
      <w:tr>
        <w:trPr>
          <w:trHeight w:val="192"/>
        </w:trPr>
        <w:tc>
          <w:tcPr>
            <w:tcW w:w="50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178,843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184,954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(6,111)</w:t>
            </w:r>
          </w:p>
        </w:tc>
      </w:tr>
      <w:tr>
        <w:trPr>
          <w:trHeight w:val="187"/>
        </w:trPr>
        <w:tc>
          <w:tcPr>
            <w:tcW w:w="500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2"/>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7"/>
        </w:trPr>
        <w:tc>
          <w:tcPr>
            <w:tcW w:w="5000" w:type="dxa"/>
            <w:vAlign w:val="bottom"/>
          </w:tcPr>
          <w:p>
            <w:pPr>
              <w:ind w:left="32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6"/>
                <w:szCs w:val="16"/>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71,845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75,009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(3,164)</w:t>
            </w:r>
          </w:p>
        </w:tc>
      </w:tr>
      <w:tr>
        <w:trPr>
          <w:trHeight w:val="205"/>
        </w:trPr>
        <w:tc>
          <w:tcPr>
            <w:tcW w:w="50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58,545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47,692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10,853</w:t>
            </w:r>
          </w:p>
        </w:tc>
      </w:tr>
      <w:tr>
        <w:trPr>
          <w:trHeight w:val="181"/>
        </w:trPr>
        <w:tc>
          <w:tcPr>
            <w:tcW w:w="5000" w:type="dxa"/>
            <w:vAlign w:val="bottom"/>
          </w:tcPr>
          <w:p>
            <w:pPr>
              <w:ind w:left="3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(6,317)</w:t>
            </w:r>
          </w:p>
        </w:tc>
      </w:tr>
      <w:tr>
        <w:trPr>
          <w:trHeight w:val="192"/>
        </w:trPr>
        <w:tc>
          <w:tcPr>
            <w:tcW w:w="5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131,425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130,053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w:t>
            </w:r>
          </w:p>
        </w:tc>
      </w:tr>
      <w:tr>
        <w:trPr>
          <w:trHeight w:val="187"/>
        </w:trPr>
        <w:tc>
          <w:tcPr>
            <w:tcW w:w="50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6"/>
                <w:szCs w:val="16"/>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16,459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17,682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(1,223)</w:t>
            </w:r>
          </w:p>
        </w:tc>
      </w:tr>
      <w:tr>
        <w:trPr>
          <w:trHeight w:val="192"/>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20,701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w:t>
            </w:r>
          </w:p>
        </w:tc>
      </w:tr>
      <w:tr>
        <w:trPr>
          <w:trHeight w:val="191"/>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r>
      <w:tr>
        <w:trPr>
          <w:trHeight w:val="194"/>
        </w:trPr>
        <w:tc>
          <w:tcPr>
            <w:tcW w:w="50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168,671</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170,712</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w:t>
            </w:r>
          </w:p>
        </w:tc>
      </w:tr>
      <w:tr>
        <w:trPr>
          <w:trHeight w:val="174"/>
        </w:trPr>
        <w:tc>
          <w:tcPr>
            <w:tcW w:w="5000" w:type="dxa"/>
            <w:vAlign w:val="bottom"/>
          </w:tcPr>
          <w:p>
            <w:pPr>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10,172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14,242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(4,070)</w:t>
            </w:r>
          </w:p>
        </w:tc>
      </w:tr>
      <w:tr>
        <w:trPr>
          <w:trHeight w:val="212"/>
        </w:trPr>
        <w:tc>
          <w:tcPr>
            <w:tcW w:w="5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7"/>
        </w:trPr>
        <w:tc>
          <w:tcPr>
            <w:tcW w:w="5000" w:type="dxa"/>
            <w:vAlign w:val="bottom"/>
          </w:tcPr>
          <w:p>
            <w:pPr>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(3,554)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(2,606)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(948)</w:t>
            </w:r>
          </w:p>
        </w:tc>
      </w:tr>
      <w:tr>
        <w:trPr>
          <w:trHeight w:val="205"/>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74"/>
        </w:trPr>
        <w:tc>
          <w:tcPr>
            <w:tcW w:w="5000" w:type="dxa"/>
            <w:vAlign w:val="bottom"/>
          </w:tcPr>
          <w:p>
            <w:pPr>
              <w:ind w:left="3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7,045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12,051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(5,006)</w:t>
            </w:r>
          </w:p>
        </w:tc>
      </w:tr>
      <w:tr>
        <w:trPr>
          <w:trHeight w:val="198"/>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r>
      <w:tr>
        <w:trPr>
          <w:trHeight w:val="180"/>
        </w:trPr>
        <w:tc>
          <w:tcPr>
            <w:tcW w:w="5000" w:type="dxa"/>
            <w:vAlign w:val="bottom"/>
          </w:tcPr>
          <w:p>
            <w:pPr>
              <w:ind w:left="3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4,167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(6,063)</w:t>
            </w:r>
          </w:p>
        </w:tc>
      </w:tr>
      <w:tr>
        <w:trPr>
          <w:trHeight w:val="18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w:t>
            </w:r>
          </w:p>
        </w:tc>
        <w:tc>
          <w:tcPr>
            <w:tcW w:w="4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w:t>
            </w:r>
          </w:p>
        </w:tc>
      </w:tr>
      <w:tr>
        <w:trPr>
          <w:trHeight w:val="183"/>
        </w:trPr>
        <w:tc>
          <w:tcPr>
            <w:tcW w:w="5000" w:type="dxa"/>
            <w:vAlign w:val="bottom"/>
          </w:tcPr>
          <w:p>
            <w:pPr>
              <w:spacing w:after="0"/>
              <w:rPr>
                <w:sz w:val="20"/>
                <w:szCs w:val="20"/>
                <w:color w:val="auto"/>
              </w:rPr>
            </w:pPr>
            <w:r>
              <w:rPr>
                <w:rFonts w:ascii="Arial" w:cs="Arial" w:eastAsia="Arial" w:hAnsi="Arial"/>
                <w:sz w:val="14"/>
                <w:szCs w:val="14"/>
                <w:color w:val="auto"/>
              </w:rPr>
              <w:t>Net income attributable to Civeo Corporation</w:t>
            </w:r>
          </w:p>
        </w:tc>
        <w:tc>
          <w:tcPr>
            <w:tcW w:w="42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4,463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(5,105)</w:t>
            </w:r>
          </w:p>
        </w:tc>
      </w:tr>
      <w:tr>
        <w:trPr>
          <w:trHeight w:val="205"/>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176"/>
        </w:trPr>
        <w:tc>
          <w:tcPr>
            <w:tcW w:w="5000" w:type="dxa"/>
            <w:vAlign w:val="bottom"/>
          </w:tcPr>
          <w:p>
            <w:pPr>
              <w:spacing w:after="0"/>
              <w:rPr>
                <w:sz w:val="20"/>
                <w:szCs w:val="20"/>
                <w:color w:val="auto"/>
              </w:rPr>
            </w:pPr>
            <w:r>
              <w:rPr>
                <w:rFonts w:ascii="Arial" w:cs="Arial" w:eastAsia="Arial" w:hAnsi="Arial"/>
                <w:sz w:val="14"/>
                <w:szCs w:val="14"/>
                <w:color w:val="auto"/>
              </w:rPr>
              <w:t>Net income attributable to Civeo common shareholders</w:t>
            </w: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4,463</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9,078</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(4,615)</w:t>
            </w:r>
          </w:p>
        </w:tc>
      </w:tr>
      <w:tr>
        <w:trPr>
          <w:trHeight w:val="20"/>
        </w:trPr>
        <w:tc>
          <w:tcPr>
            <w:tcW w:w="5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reported net income attributable to Civeo for the quarter ended June 30, 2023 of $4.5 million, or $0.30 per diluted shares compared to net income attributable to Civeo for the quarter ended June 30, 2022 of $9.1 million, or $0.54 per diluted share.</w:t>
      </w:r>
    </w:p>
    <w:p>
      <w:pPr>
        <w:spacing w:after="0" w:line="48" w:lineRule="exact"/>
        <w:rPr>
          <w:sz w:val="20"/>
          <w:szCs w:val="20"/>
          <w:color w:val="auto"/>
        </w:rPr>
      </w:pPr>
    </w:p>
    <w:p>
      <w:pPr>
        <w:jc w:val="both"/>
        <w:ind w:firstLine="470"/>
        <w:spacing w:after="0" w:line="306" w:lineRule="auto"/>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15"/>
          <w:szCs w:val="15"/>
          <w:color w:val="auto"/>
        </w:rPr>
        <w:t>Consolidated revenues decreased $6.1 million, or 3%, in the second quarter of 2023 compared to the second quarter of 2022. This decrease</w:t>
      </w:r>
      <w:r>
        <w:rPr>
          <w:rFonts w:ascii="Arial" w:cs="Arial" w:eastAsia="Arial" w:hAnsi="Arial"/>
          <w:sz w:val="15"/>
          <w:szCs w:val="15"/>
          <w:b w:val="1"/>
          <w:bCs w:val="1"/>
          <w:color w:val="auto"/>
        </w:rPr>
        <w:t xml:space="preserve"> </w:t>
      </w:r>
      <w:r>
        <w:rPr>
          <w:rFonts w:ascii="Arial" w:cs="Arial" w:eastAsia="Arial" w:hAnsi="Arial"/>
          <w:sz w:val="15"/>
          <w:szCs w:val="15"/>
          <w:color w:val="auto"/>
        </w:rPr>
        <w:t>was primarily due to (i) decreased mobile asset activity from pipeline projects in Canada, (ii) lower billed rooms at our Canadian lodges, (iii) reduced activity in the U.S. operations due to the sale of our wellsite and offshore businesses in the second half of 2022 and (iv) a weaker Australian and Canadian dollar relative to the U.S. dollar in the second quarter of 2023 compared to the second quarter of 2022. These items were partially offset by (i) increased activity at our integrated services villages in Western Australia with billed rooms up 33% period-over-period and (ii) increased occupancy at our Civeo owned villages in the Australian Bowen and Gunnedah Basins with billed rooms up 16% period-over-period. See the discussion of segment results of operations below for further information.</w:t>
      </w:r>
    </w:p>
    <w:p>
      <w:pPr>
        <w:spacing w:after="0" w:line="66" w:lineRule="exact"/>
        <w:rPr>
          <w:sz w:val="20"/>
          <w:szCs w:val="20"/>
          <w:color w:val="auto"/>
        </w:rPr>
      </w:pPr>
    </w:p>
    <w:p>
      <w:pPr>
        <w:jc w:val="both"/>
        <w:ind w:firstLine="470"/>
        <w:spacing w:after="0" w:line="303" w:lineRule="auto"/>
        <w:rPr>
          <w:sz w:val="20"/>
          <w:szCs w:val="20"/>
          <w:color w:val="auto"/>
        </w:rPr>
      </w:pPr>
      <w:r>
        <w:rPr>
          <w:rFonts w:ascii="Arial" w:cs="Arial" w:eastAsia="Arial" w:hAnsi="Arial"/>
          <w:sz w:val="15"/>
          <w:szCs w:val="15"/>
          <w:b w:val="1"/>
          <w:bCs w:val="1"/>
          <w:color w:val="auto"/>
        </w:rPr>
        <w:t xml:space="preserve">Cost of Sales and Services. </w:t>
      </w:r>
      <w:r>
        <w:rPr>
          <w:rFonts w:ascii="Arial" w:cs="Arial" w:eastAsia="Arial" w:hAnsi="Arial"/>
          <w:sz w:val="15"/>
          <w:szCs w:val="15"/>
          <w:color w:val="auto"/>
        </w:rPr>
        <w:t>Our consolidated cost of sales and services increased $1.4 million, or 1%, in the second quarter of 2023 compared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second quarter of 2022. This increase was primarily due to (i) increased occupancy at our Civeo owned villages in the Australian Bowen and Gunnedah Basins,</w:t>
      </w:r>
    </w:p>
    <w:p>
      <w:pPr>
        <w:spacing w:after="0" w:line="1" w:lineRule="exact"/>
        <w:rPr>
          <w:sz w:val="20"/>
          <w:szCs w:val="20"/>
          <w:color w:val="auto"/>
        </w:rPr>
      </w:pPr>
    </w:p>
    <w:p>
      <w:pPr>
        <w:jc w:val="both"/>
        <w:ind w:firstLine="5"/>
        <w:spacing w:after="0" w:line="265" w:lineRule="auto"/>
        <w:tabs>
          <w:tab w:leader="none" w:pos="2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activity at our integrated services villages in Western Australia and (iii) increased operating costs due to inflationary pressures in Canada. These items were partially offset by (i) reduced activity in the U.S. operations due to the sale of our wellsite and offshore businesses in the second half of 2022, (ii) lower costs related to reduced mobile asset activity in Canada, (iii) reduced lodge occupancy in Canada and (iv) a weaker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1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Australian and Canadian dollar relative to the U.S. dollar in the second quarter of 2023 compared to the second quarter of 2022. See the discussion of segment results of operations below for further information.</w:t>
      </w:r>
    </w:p>
    <w:p>
      <w:pPr>
        <w:spacing w:after="0" w:line="8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decreased $1.2 million, or 7%, in the second quarter of 2023 compared to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2022. This decrease was primarily due to lower incentive compensation costs, lower share-based compensation expense and a weaker Australian and Canadian dollar relative to the U.S. dollar in the second quarter of 2023 compared to the second quarter of 2022. The decrease in share-based compensation expense was due to a relative decrease in our stock price during 2023 compared to 2022. These items were partially offset by higher information technology expense. The increase in information technology expense was related to ongoing investment in our newly implemented human capital management (HCM) system and set-up costs incurred in a cloud computing arrangement for the HCM system, which are being amortized through SG&amp;A expense instead of depreciation and amortization expense.</w:t>
      </w:r>
    </w:p>
    <w:p>
      <w:pPr>
        <w:spacing w:after="0" w:line="108"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$2.4 million, or 10%, in the second quarter of 2023</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second quarter of 2022. The decrease was primarily due to (i) the sale of our wellsite and offshore businesses in the U.S. in the second half of 2022, (ii) certain assets becoming fully depreciated in Canada in the second quarter of 2023 and (iii) lower depreciation and amortization expense due to a weaker Australian and Canadian dollar relative to the U.S. dollar in the second quarter of 2023 compared to the second quarter of 2022.</w:t>
      </w:r>
    </w:p>
    <w:p>
      <w:pPr>
        <w:spacing w:after="0" w:line="75"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decreased $4.1 million, or 29%, in the second quarter of 2023 compared to the second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2022, primarily due to increased operating costs due to inflationary pressures in Canada and Australia and reduced mobile asset activity in Canada in the second quarter of 2023 compared to the second quarter of 2022.</w:t>
      </w:r>
    </w:p>
    <w:p>
      <w:pPr>
        <w:spacing w:after="0" w:line="97" w:lineRule="exact"/>
        <w:rPr>
          <w:sz w:val="20"/>
          <w:szCs w:val="20"/>
          <w:color w:val="auto"/>
        </w:rPr>
      </w:pPr>
    </w:p>
    <w:p>
      <w:pPr>
        <w:jc w:val="both"/>
        <w:ind w:firstLine="470"/>
        <w:spacing w:after="0" w:line="329" w:lineRule="auto"/>
        <w:rPr>
          <w:sz w:val="20"/>
          <w:szCs w:val="20"/>
          <w:color w:val="auto"/>
        </w:rPr>
      </w:pPr>
      <w:r>
        <w:rPr>
          <w:rFonts w:ascii="Arial" w:cs="Arial" w:eastAsia="Arial" w:hAnsi="Arial"/>
          <w:sz w:val="16"/>
          <w:szCs w:val="16"/>
          <w:b w:val="1"/>
          <w:bCs w:val="1"/>
          <w:color w:val="auto"/>
        </w:rPr>
        <w:t xml:space="preserve">Interest Expense, net. </w:t>
      </w:r>
      <w:r>
        <w:rPr>
          <w:rFonts w:ascii="Arial" w:cs="Arial" w:eastAsia="Arial" w:hAnsi="Arial"/>
          <w:sz w:val="16"/>
          <w:szCs w:val="16"/>
          <w:color w:val="auto"/>
        </w:rPr>
        <w:t>Net interest expense increased by $0.9 million, or 36%, in the second quarter of 2023 compared to the second quarter of 2022,</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related to higher interest rates on credit facility borrowings during 2023 compared to 2022, partially offset by lower average debt levels.</w:t>
      </w:r>
    </w:p>
    <w:p>
      <w:pPr>
        <w:spacing w:after="0" w:line="149" w:lineRule="exact"/>
        <w:rPr>
          <w:sz w:val="20"/>
          <w:szCs w:val="20"/>
          <w:color w:val="auto"/>
        </w:rPr>
      </w:pPr>
    </w:p>
    <w:p>
      <w:pPr>
        <w:jc w:val="both"/>
        <w:ind w:firstLine="470"/>
        <w:spacing w:after="0" w:line="286" w:lineRule="auto"/>
        <w:rPr>
          <w:sz w:val="20"/>
          <w:szCs w:val="20"/>
          <w:color w:val="auto"/>
        </w:rPr>
      </w:pPr>
      <w:r>
        <w:rPr>
          <w:rFonts w:ascii="Arial" w:cs="Arial" w:eastAsia="Arial" w:hAnsi="Arial"/>
          <w:sz w:val="16"/>
          <w:szCs w:val="16"/>
          <w:b w:val="1"/>
          <w:bCs w:val="1"/>
          <w:color w:val="auto"/>
        </w:rPr>
        <w:t xml:space="preserve">Income Tax (Expense) Benefit. </w:t>
      </w:r>
      <w:r>
        <w:rPr>
          <w:rFonts w:ascii="Arial" w:cs="Arial" w:eastAsia="Arial" w:hAnsi="Arial"/>
          <w:sz w:val="16"/>
          <w:szCs w:val="16"/>
          <w:color w:val="auto"/>
        </w:rPr>
        <w:t>Our income tax expense for the three months ended June 30, 2023 totaled $2.9 million, or 40.9% of pretax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an income tax expense of $1.8 million, or 15.1% of pretax income, for the three months ended June 30, 2022. Our effective tax rate for each of the three months ended June 30, 2023 and 2022 was impacted by considering Canada and the U.S. loss jurisdictions that were removed from the annual effective tax rate computation for purposes of computing the interim tax provision. Additionally, under Accounting Standards Codification 740-270, “Accounting for Income Taxes,” the quarterly tax provision is based on our current estimate of the annual effective tax rate less the prior quarter’s year to date provision.</w:t>
      </w:r>
    </w:p>
    <w:p>
      <w:pPr>
        <w:spacing w:after="0" w:line="184"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b w:val="1"/>
          <w:bCs w:val="1"/>
          <w:color w:val="auto"/>
        </w:rPr>
        <w:t xml:space="preserve">Other Comprehensive (Loss) Income. </w:t>
      </w:r>
      <w:r>
        <w:rPr>
          <w:rFonts w:ascii="Arial" w:cs="Arial" w:eastAsia="Arial" w:hAnsi="Arial"/>
          <w:sz w:val="17"/>
          <w:szCs w:val="17"/>
          <w:color w:val="auto"/>
        </w:rPr>
        <w:t>Other comprehensive income increased $22.1 million in the second quarter of 2023 compared to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2022, primarily as a result of foreign currency translation adjustments due to changes in the Canadian and Australian dollar exchange rates compared to the U.S. dollar. The Canadian dollar exchange rate compared to the U.S. dollar increased 2% in the second quarter of 2023 compared to a 3% decrease in the second quarter of 2022. The Australian dollar exchange rate compared to the U.S. dollar decreased 1% in the second quarter of 2023 compared to a 8% decrease in the second quarter of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48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9"/>
        </w:trPr>
        <w:tc>
          <w:tcPr>
            <w:tcW w:w="48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7"/>
        </w:trPr>
        <w:tc>
          <w:tcPr>
            <w:tcW w:w="4860" w:type="dxa"/>
            <w:vAlign w:val="bottom"/>
          </w:tcPr>
          <w:p>
            <w:pPr>
              <w:ind w:left="12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72,355</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79,431</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(7,076)</w:t>
            </w:r>
          </w:p>
        </w:tc>
      </w:tr>
      <w:tr>
        <w:trPr>
          <w:trHeight w:val="205"/>
        </w:trPr>
        <w:tc>
          <w:tcPr>
            <w:tcW w:w="4860" w:type="dxa"/>
            <w:vAlign w:val="bottom"/>
            <w:shd w:val="clear" w:color="auto" w:fill="CCEEFF"/>
          </w:tcPr>
          <w:p>
            <w:pPr>
              <w:ind w:left="120"/>
              <w:spacing w:after="0" w:line="205" w:lineRule="exact"/>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18"/>
                <w:szCs w:val="18"/>
                <w:color w:val="auto"/>
                <w:vertAlign w:val="superscript"/>
              </w:rPr>
              <w:t>(2)</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17,407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24,058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(6,651)</w:t>
            </w:r>
          </w:p>
        </w:tc>
      </w:tr>
      <w:tr>
        <w:trPr>
          <w:trHeight w:val="183"/>
        </w:trPr>
        <w:tc>
          <w:tcPr>
            <w:tcW w:w="4860" w:type="dxa"/>
            <w:vAlign w:val="bottom"/>
            <w:tcBorders>
              <w:bottom w:val="single" w:sz="8" w:color="CCEEFF"/>
            </w:tcBorders>
          </w:tcPr>
          <w:p>
            <w:pPr>
              <w:ind w:left="120"/>
              <w:spacing w:after="0" w:line="183" w:lineRule="exact"/>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18"/>
                <w:szCs w:val="18"/>
                <w:color w:val="auto"/>
                <w:vertAlign w:val="superscript"/>
              </w:rPr>
              <w:t>(3)</w:t>
            </w: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5,708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5,534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174</w:t>
            </w:r>
          </w:p>
        </w:tc>
      </w:tr>
      <w:tr>
        <w:trPr>
          <w:trHeight w:val="176"/>
        </w:trPr>
        <w:tc>
          <w:tcPr>
            <w:tcW w:w="4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110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95,470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109,023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(13,553)</w:t>
            </w:r>
          </w:p>
        </w:tc>
      </w:tr>
      <w:tr>
        <w:trPr>
          <w:trHeight w:val="144"/>
        </w:trPr>
        <w:tc>
          <w:tcPr>
            <w:tcW w:w="4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Cost of sales and services ($ in thousands)</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81"/>
        </w:trPr>
        <w:tc>
          <w:tcPr>
            <w:tcW w:w="4860" w:type="dxa"/>
            <w:vAlign w:val="bottom"/>
          </w:tcPr>
          <w:p>
            <w:pPr>
              <w:ind w:left="120"/>
              <w:spacing w:after="0"/>
              <w:rPr>
                <w:sz w:val="20"/>
                <w:szCs w:val="20"/>
                <w:color w:val="auto"/>
              </w:rPr>
            </w:pPr>
            <w:r>
              <w:rPr>
                <w:rFonts w:ascii="Arial" w:cs="Arial" w:eastAsia="Arial" w:hAnsi="Arial"/>
                <w:sz w:val="14"/>
                <w:szCs w:val="14"/>
                <w:color w:val="auto"/>
              </w:rPr>
              <w:t>Accommodation cost</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52,431</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53,108</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(677)</w:t>
            </w:r>
          </w:p>
        </w:tc>
      </w:tr>
      <w:tr>
        <w:trPr>
          <w:trHeight w:val="198"/>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Mobile facility rental cost</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11,598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14,458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(2,860)</w:t>
            </w:r>
          </w:p>
        </w:tc>
      </w:tr>
      <w:tr>
        <w:trPr>
          <w:trHeight w:val="187"/>
        </w:trPr>
        <w:tc>
          <w:tcPr>
            <w:tcW w:w="4860" w:type="dxa"/>
            <w:vAlign w:val="bottom"/>
          </w:tcPr>
          <w:p>
            <w:pPr>
              <w:ind w:left="120"/>
              <w:spacing w:after="0"/>
              <w:rPr>
                <w:sz w:val="20"/>
                <w:szCs w:val="20"/>
                <w:color w:val="auto"/>
              </w:rPr>
            </w:pPr>
            <w:r>
              <w:rPr>
                <w:rFonts w:ascii="Arial" w:cs="Arial" w:eastAsia="Arial" w:hAnsi="Arial"/>
                <w:sz w:val="14"/>
                <w:szCs w:val="14"/>
                <w:color w:val="auto"/>
              </w:rPr>
              <w:t>Food service and other services cost</w:t>
            </w:r>
          </w:p>
        </w:tc>
        <w:tc>
          <w:tcPr>
            <w:tcW w:w="110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5,060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4,976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84</w:t>
            </w:r>
          </w:p>
        </w:tc>
      </w:tr>
      <w:tr>
        <w:trPr>
          <w:trHeight w:val="189"/>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Indirect other costs</w:t>
            </w: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2,756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2,467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289</w:t>
            </w:r>
          </w:p>
        </w:tc>
      </w:tr>
      <w:tr>
        <w:trPr>
          <w:trHeight w:val="183"/>
        </w:trPr>
        <w:tc>
          <w:tcPr>
            <w:tcW w:w="486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71,845</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75,009</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(3,164)</w:t>
            </w:r>
          </w:p>
        </w:tc>
      </w:tr>
      <w:tr>
        <w:trPr>
          <w:trHeight w:val="153"/>
        </w:trPr>
        <w:tc>
          <w:tcPr>
            <w:tcW w:w="48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1"/>
        </w:trPr>
        <w:tc>
          <w:tcPr>
            <w:tcW w:w="4860" w:type="dxa"/>
            <w:vAlign w:val="bottom"/>
          </w:tcPr>
          <w:p>
            <w:pPr>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31.2 %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46"/>
        </w:trPr>
        <w:tc>
          <w:tcPr>
            <w:tcW w:w="48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96"/>
        </w:trPr>
        <w:tc>
          <w:tcPr>
            <w:tcW w:w="4860" w:type="dxa"/>
            <w:vAlign w:val="bottom"/>
          </w:tcPr>
          <w:p>
            <w:pPr>
              <w:spacing w:after="0" w:line="196" w:lineRule="exact"/>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18"/>
                <w:szCs w:val="18"/>
                <w:color w:val="auto"/>
                <w:vertAlign w:val="superscript"/>
              </w:rPr>
              <w:t>(4)</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103</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(3)</w:t>
            </w:r>
          </w:p>
        </w:tc>
      </w:tr>
      <w:tr>
        <w:trPr>
          <w:trHeight w:val="131"/>
        </w:trPr>
        <w:tc>
          <w:tcPr>
            <w:tcW w:w="48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87"/>
        </w:trPr>
        <w:tc>
          <w:tcPr>
            <w:tcW w:w="4860" w:type="dxa"/>
            <w:vAlign w:val="bottom"/>
          </w:tcPr>
          <w:p>
            <w:pPr>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10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724,299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771,267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(46,968)</w:t>
            </w:r>
          </w:p>
        </w:tc>
      </w:tr>
      <w:tr>
        <w:trPr>
          <w:trHeight w:val="153"/>
        </w:trPr>
        <w:tc>
          <w:tcPr>
            <w:tcW w:w="48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78"/>
        </w:trPr>
        <w:tc>
          <w:tcPr>
            <w:tcW w:w="4860" w:type="dxa"/>
            <w:vAlign w:val="bottom"/>
          </w:tcPr>
          <w:p>
            <w:pPr>
              <w:spacing w:after="0"/>
              <w:rPr>
                <w:sz w:val="20"/>
                <w:szCs w:val="20"/>
                <w:color w:val="auto"/>
              </w:rPr>
            </w:pPr>
            <w:r>
              <w:rPr>
                <w:rFonts w:ascii="Arial" w:cs="Arial" w:eastAsia="Arial" w:hAnsi="Arial"/>
                <w:sz w:val="14"/>
                <w:szCs w:val="14"/>
                <w:color w:val="auto"/>
              </w:rPr>
              <w:t>Average Canadian dollar to U.S. dollar</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0.745</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0.784</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(0.039)</w:t>
            </w:r>
          </w:p>
        </w:tc>
      </w:tr>
    </w:tbl>
    <w:p>
      <w:pPr>
        <w:spacing w:after="0" w:line="276" w:lineRule="exact"/>
        <w:rPr>
          <w:sz w:val="20"/>
          <w:szCs w:val="20"/>
          <w:color w:val="auto"/>
        </w:rPr>
      </w:pPr>
    </w:p>
    <w:p>
      <w:pPr>
        <w:ind w:left="320" w:hanging="315"/>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Canadian segment reported revenues in the second quarter of 2023 that were $13.6 million, or 12%, lower than the second quarter of 2022. The weakening of the average exchange rate for the Canadian dollar relative to the U.S. dollar by 5.0% in the second quarter of 2023 compared to the second quarter of 2022 resulted in a $5.1 million period-over-period decrease in revenues. Excluding the impact of the weaker Canadian exchange rate, the revenue decrease was driven by (i) reduced mobile asset activity from pipeline projects and (ii) lower billed rooms at our lodges.</w:t>
      </w:r>
    </w:p>
    <w:p>
      <w:pPr>
        <w:spacing w:after="0" w:line="18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Canadian segment cost of sales and services decreased $3.2 million, or 4%, in the second quarter of 2023 compared to the second quarter of 2022. The weakening of the average exchange rate for the Canadian dollar relative to the U.S. dollar by 5.0% in the second quarter of 2023 compared to the second quarter of 2022 resulted in a $3.8 million period-over-period decrease in cost of sales and services. Excluding the impact of the weaker Canadian exchange rate, the increase in cost of sales and services was driven by increased operating costs at our lodges due to inflationary pressures, partially offset by (i) lower costs related to the reduced mobile asset activity and (ii) reduced lodge occupancy.</w:t>
      </w:r>
    </w:p>
    <w:p>
      <w:pPr>
        <w:spacing w:after="0" w:line="2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Canadian segment gross margin as a percentage of revenues decreased from 31.2% in the second quarter of 2022 to 24.7% in the second quarter of 2023. This was primarily driven by reduced margins at our lodges due to inflationary pressures and reduced margins from our mobile asset activity as certain higher margin components were recognized over the initial contract terms through late 2022, with 2023 representing continuing operations.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9"/>
        </w:trPr>
        <w:tc>
          <w:tcPr>
            <w:tcW w:w="4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3"/>
        </w:trPr>
        <w:tc>
          <w:tcPr>
            <w:tcW w:w="4720" w:type="dxa"/>
            <w:vAlign w:val="bottom"/>
          </w:tcPr>
          <w:p>
            <w:pPr>
              <w:ind w:left="120"/>
              <w:spacing w:after="0" w:line="183" w:lineRule="exact"/>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18"/>
                <w:szCs w:val="18"/>
                <w:color w:val="auto"/>
                <w:vertAlign w:val="superscript"/>
              </w:rPr>
              <w:t>(1)</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44,342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39,052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5,290</w:t>
            </w:r>
          </w:p>
        </w:tc>
      </w:tr>
      <w:tr>
        <w:trPr>
          <w:trHeight w:val="196"/>
        </w:trPr>
        <w:tc>
          <w:tcPr>
            <w:tcW w:w="47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18"/>
                <w:szCs w:val="18"/>
                <w:color w:val="auto"/>
                <w:vertAlign w:val="superscript"/>
              </w:rPr>
              <w:t>(2)</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38,202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28,768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9,434</w:t>
            </w:r>
          </w:p>
        </w:tc>
      </w:tr>
      <w:tr>
        <w:trPr>
          <w:trHeight w:val="180"/>
        </w:trPr>
        <w:tc>
          <w:tcPr>
            <w:tcW w:w="472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82,544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67,820</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14,724</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4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Accommodation cost</w:t>
            </w:r>
          </w:p>
        </w:tc>
        <w:tc>
          <w:tcPr>
            <w:tcW w:w="112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20,948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18,840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2,108</w:t>
            </w:r>
          </w:p>
        </w:tc>
      </w:tr>
      <w:tr>
        <w:trPr>
          <w:trHeight w:val="187"/>
        </w:trPr>
        <w:tc>
          <w:tcPr>
            <w:tcW w:w="4720" w:type="dxa"/>
            <w:vAlign w:val="bottom"/>
          </w:tcPr>
          <w:p>
            <w:pPr>
              <w:ind w:left="12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35,372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27,008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8,364</w:t>
            </w:r>
          </w:p>
        </w:tc>
      </w:tr>
      <w:tr>
        <w:trPr>
          <w:trHeight w:val="189"/>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Indirect other cost</w:t>
            </w:r>
          </w:p>
        </w:tc>
        <w:tc>
          <w:tcPr>
            <w:tcW w:w="1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2,225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1,844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381</w:t>
            </w:r>
          </w:p>
        </w:tc>
      </w:tr>
      <w:tr>
        <w:trPr>
          <w:trHeight w:val="183"/>
        </w:trPr>
        <w:tc>
          <w:tcPr>
            <w:tcW w:w="47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58,545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47,692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10,853</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29.7 %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18"/>
                <w:szCs w:val="18"/>
                <w:color w:val="auto"/>
                <w:vertAlign w:val="superscript"/>
              </w:rPr>
              <w:t>(3)</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(2)</w:t>
            </w:r>
          </w:p>
        </w:tc>
      </w:tr>
      <w:tr>
        <w:trPr>
          <w:trHeight w:val="209"/>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587,855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505,310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82,545</w:t>
            </w:r>
          </w:p>
        </w:tc>
      </w:tr>
      <w:tr>
        <w:trPr>
          <w:trHeight w:val="218"/>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20" w:type="dxa"/>
            <w:vAlign w:val="bottom"/>
          </w:tcPr>
          <w:p>
            <w:pPr>
              <w:spacing w:after="0"/>
              <w:rPr>
                <w:sz w:val="20"/>
                <w:szCs w:val="20"/>
                <w:color w:val="auto"/>
              </w:rPr>
            </w:pPr>
            <w:r>
              <w:rPr>
                <w:rFonts w:ascii="Arial" w:cs="Arial" w:eastAsia="Arial" w:hAnsi="Arial"/>
                <w:sz w:val="14"/>
                <w:szCs w:val="14"/>
                <w:color w:val="auto"/>
              </w:rPr>
              <w:t>Australian dollar to U.S. dollar</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0.668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0.715</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(0.047)</w:t>
            </w:r>
          </w:p>
        </w:tc>
      </w:tr>
    </w:tbl>
    <w:p>
      <w:pPr>
        <w:spacing w:after="0" w:line="276"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3"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Australian segment reported revenues in the second quarter of 2023 that were $14.7 million, or 22%, higher than the second quarter of 2022. The weakening of the average exchange rate for Australian dollars relative to the U.S. dollar by 6.6% in the second quarter of 2023 compared to the second quarter of 2022 resulted in a $5.7 million period-over-period decrease in revenues. On a constant currency basis, the Australian segment experienced a 30% period-over-period increase in revenues. Excluding the impact of the weaker Australian exchange rate, the increase in the Australian segment was driven by increased activity at our Civeo owned villages in the Bowen Basin and Gunnedah Basin and our integrated services villages in Western Australia.</w:t>
      </w:r>
    </w:p>
    <w:p>
      <w:pPr>
        <w:spacing w:after="0" w:line="19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Australian segment cost of sales and services increased $10.9 million, or 23%, in the second quarter of 2023 compared to the second quarter of 2022. The weakening of the average exchange rate for Australian dollars relative to the U.S. dollar by 6.6% in the second quarter of 2023 compared to the second quarter of 2022 resulted in a $4.0 million period-over-period decrease in cost of sales and services. Excluding the impact of the weaker Australian exchange rate, the increase in cost of sales and services was largely driven by increased occupancy at our Bowen Basin and Gunnedah Basin owned villages and our integrated services villages in Western Australia.</w:t>
      </w:r>
    </w:p>
    <w:p>
      <w:pPr>
        <w:spacing w:after="0" w:line="20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Australian segment gross margin as a percentage of revenues decreased to 29.1% in the second quarter of 2023 from 29.7% in the second quarter of 2022. This was primarily driven by an increased relative revenue contribution from our integrated services business, which has a service-only business model, and therefore generates lower overall gross margins than our accommodation business. This decrease was partially offset by improved margins at Civeo owned villages in the Bowen Basin and Gunnedah Basin as a result of increased activity. Additionally, we experienced improved margins at our integrated services villages resulting from the renegotiation of rates on a material contract, which included an approximate $1.5 million adjustment recognized in the second quarter of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Results of Operations – Six Months Ended June 30, 2023 Compared to Six Months Ended June 30, 2022</w:t>
      </w:r>
    </w:p>
    <w:p>
      <w:pPr>
        <w:spacing w:after="0" w:line="31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2"/>
        </w:trPr>
        <w:tc>
          <w:tcPr>
            <w:tcW w:w="5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center"/>
              <w:ind w:right="47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1"/>
        </w:trPr>
        <w:tc>
          <w:tcPr>
            <w:tcW w:w="50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5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Change</w:t>
            </w:r>
          </w:p>
        </w:tc>
      </w:tr>
      <w:tr>
        <w:trPr>
          <w:trHeight w:val="228"/>
        </w:trPr>
        <w:tc>
          <w:tcPr>
            <w:tcW w:w="5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10"/>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87"/>
        </w:trPr>
        <w:tc>
          <w:tcPr>
            <w:tcW w:w="5000" w:type="dxa"/>
            <w:vAlign w:val="bottom"/>
          </w:tcPr>
          <w:p>
            <w:pPr>
              <w:ind w:left="12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184,923</w:t>
            </w:r>
          </w:p>
        </w:tc>
        <w:tc>
          <w:tcPr>
            <w:tcW w:w="640" w:type="dxa"/>
            <w:vAlign w:val="bottom"/>
            <w:gridSpan w:val="2"/>
          </w:tcPr>
          <w:p>
            <w:pPr>
              <w:jc w:val="right"/>
              <w:ind w:right="39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204,975</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(20,052)</w:t>
            </w:r>
          </w:p>
        </w:tc>
      </w:tr>
      <w:tr>
        <w:trPr>
          <w:trHeight w:val="192"/>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159,533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131,349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28,184</w:t>
            </w:r>
          </w:p>
        </w:tc>
      </w:tr>
      <w:tr>
        <w:trPr>
          <w:trHeight w:val="191"/>
        </w:trPr>
        <w:tc>
          <w:tcPr>
            <w:tcW w:w="5000" w:type="dxa"/>
            <w:vAlign w:val="bottom"/>
          </w:tcPr>
          <w:p>
            <w:pPr>
              <w:ind w:left="1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14,308</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(12,330)</w:t>
            </w:r>
          </w:p>
        </w:tc>
      </w:tr>
      <w:tr>
        <w:trPr>
          <w:trHeight w:val="194"/>
        </w:trPr>
        <w:tc>
          <w:tcPr>
            <w:tcW w:w="50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346,434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350,632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w:t>
            </w:r>
          </w:p>
        </w:tc>
      </w:tr>
      <w:tr>
        <w:trPr>
          <w:trHeight w:val="181"/>
        </w:trPr>
        <w:tc>
          <w:tcPr>
            <w:tcW w:w="500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8"/>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87"/>
        </w:trPr>
        <w:tc>
          <w:tcPr>
            <w:tcW w:w="5000" w:type="dxa"/>
            <w:vAlign w:val="bottom"/>
          </w:tcPr>
          <w:p>
            <w:pPr>
              <w:ind w:left="32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6"/>
                <w:szCs w:val="16"/>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145,750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150,215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(4,465)</w:t>
            </w:r>
          </w:p>
        </w:tc>
      </w:tr>
      <w:tr>
        <w:trPr>
          <w:trHeight w:val="192"/>
        </w:trPr>
        <w:tc>
          <w:tcPr>
            <w:tcW w:w="50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116,853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92,206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24,647</w:t>
            </w:r>
          </w:p>
        </w:tc>
      </w:tr>
      <w:tr>
        <w:trPr>
          <w:trHeight w:val="191"/>
        </w:trPr>
        <w:tc>
          <w:tcPr>
            <w:tcW w:w="5000" w:type="dxa"/>
            <w:vAlign w:val="bottom"/>
          </w:tcPr>
          <w:p>
            <w:pPr>
              <w:ind w:left="32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(11,139)</w:t>
            </w:r>
          </w:p>
        </w:tc>
      </w:tr>
      <w:tr>
        <w:trPr>
          <w:trHeight w:val="194"/>
        </w:trPr>
        <w:tc>
          <w:tcPr>
            <w:tcW w:w="5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264,939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255,896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9,043</w:t>
            </w:r>
          </w:p>
        </w:tc>
      </w:tr>
      <w:tr>
        <w:trPr>
          <w:trHeight w:val="181"/>
        </w:trPr>
        <w:tc>
          <w:tcPr>
            <w:tcW w:w="50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32,649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32,895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198"/>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42,363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r>
      <w:tr>
        <w:trPr>
          <w:trHeight w:val="189"/>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operating expense</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181"/>
        </w:trPr>
        <w:tc>
          <w:tcPr>
            <w:tcW w:w="5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340,166</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332,153</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8,013</w:t>
            </w:r>
          </w:p>
        </w:tc>
      </w:tr>
      <w:tr>
        <w:trPr>
          <w:trHeight w:val="183"/>
        </w:trPr>
        <w:tc>
          <w:tcPr>
            <w:tcW w:w="5000" w:type="dxa"/>
            <w:vAlign w:val="bottom"/>
          </w:tcPr>
          <w:p>
            <w:pPr>
              <w:spacing w:after="0"/>
              <w:rPr>
                <w:sz w:val="20"/>
                <w:szCs w:val="20"/>
                <w:color w:val="auto"/>
              </w:rPr>
            </w:pPr>
            <w:r>
              <w:rPr>
                <w:rFonts w:ascii="Arial" w:cs="Arial" w:eastAsia="Arial" w:hAnsi="Arial"/>
                <w:sz w:val="14"/>
                <w:szCs w:val="14"/>
                <w:color w:val="auto"/>
              </w:rPr>
              <w:t>Operating income</w:t>
            </w:r>
          </w:p>
        </w:tc>
        <w:tc>
          <w:tcPr>
            <w:tcW w:w="42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6,268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18,479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(12,211)</w:t>
            </w:r>
          </w:p>
        </w:tc>
      </w:tr>
      <w:tr>
        <w:trPr>
          <w:trHeight w:val="218"/>
        </w:trPr>
        <w:tc>
          <w:tcPr>
            <w:tcW w:w="5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7"/>
        </w:trPr>
        <w:tc>
          <w:tcPr>
            <w:tcW w:w="5000" w:type="dxa"/>
            <w:vAlign w:val="bottom"/>
          </w:tcPr>
          <w:p>
            <w:pPr>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(7,178)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(2,104)</w:t>
            </w:r>
          </w:p>
        </w:tc>
      </w:tr>
      <w:tr>
        <w:trPr>
          <w:trHeight w:val="18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2,877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r>
      <w:tr>
        <w:trPr>
          <w:trHeight w:val="183"/>
        </w:trPr>
        <w:tc>
          <w:tcPr>
            <w:tcW w:w="5000" w:type="dxa"/>
            <w:vAlign w:val="bottom"/>
          </w:tcPr>
          <w:p>
            <w:pPr>
              <w:ind w:left="3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5"/>
                <w:szCs w:val="15"/>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15,516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(13,549)</w:t>
            </w:r>
          </w:p>
        </w:tc>
      </w:tr>
      <w:tr>
        <w:trPr>
          <w:trHeight w:val="205"/>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174"/>
        </w:trPr>
        <w:tc>
          <w:tcPr>
            <w:tcW w:w="5000" w:type="dxa"/>
            <w:vAlign w:val="bottom"/>
          </w:tcPr>
          <w:p>
            <w:pPr>
              <w:ind w:left="320"/>
              <w:spacing w:after="0"/>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12,138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(14,282)</w:t>
            </w:r>
          </w:p>
        </w:tc>
      </w:tr>
      <w:tr>
        <w:trPr>
          <w:trHeight w:val="198"/>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w:t>
            </w:r>
          </w:p>
        </w:tc>
      </w:tr>
      <w:tr>
        <w:trPr>
          <w:trHeight w:val="180"/>
        </w:trPr>
        <w:tc>
          <w:tcPr>
            <w:tcW w:w="500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(1,890)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10,978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(12,868)</w:t>
            </w:r>
          </w:p>
        </w:tc>
      </w:tr>
      <w:tr>
        <w:trPr>
          <w:trHeight w:val="18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192"/>
        </w:trPr>
        <w:tc>
          <w:tcPr>
            <w:tcW w:w="500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(1,890)</w:t>
            </w:r>
          </w:p>
        </w:tc>
        <w:tc>
          <w:tcPr>
            <w:tcW w:w="640" w:type="dxa"/>
            <w:vAlign w:val="bottom"/>
            <w:gridSpan w:val="2"/>
          </w:tcPr>
          <w:p>
            <w:pPr>
              <w:jc w:val="right"/>
              <w:ind w:right="39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10,001</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(11,891)</w:t>
            </w:r>
          </w:p>
        </w:tc>
      </w:tr>
      <w:tr>
        <w:trPr>
          <w:trHeight w:val="20"/>
        </w:trPr>
        <w:tc>
          <w:tcPr>
            <w:tcW w:w="5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reported net loss attributable to Civeo for the six months ended June 30, 2023 of $1.9 million, or $0.13 per diluted shares compared to net income attributable to Civeo for the six months ended June 30, 2022 of $10.0 million, or $0.60 per diluted share.</w:t>
      </w:r>
    </w:p>
    <w:p>
      <w:pPr>
        <w:spacing w:after="0" w:line="4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$4.2 million, or 3%, in the six months ended June 30, 2023 compared to the six months ended June 30, 2022.</w:t>
      </w:r>
      <w:r>
        <w:rPr>
          <w:rFonts w:ascii="Arial" w:cs="Arial" w:eastAsia="Arial" w:hAnsi="Arial"/>
          <w:sz w:val="16"/>
          <w:szCs w:val="16"/>
          <w:b w:val="1"/>
          <w:bCs w:val="1"/>
          <w:color w:val="auto"/>
        </w:rPr>
        <w:t xml:space="preserve"> </w:t>
      </w:r>
      <w:r>
        <w:rPr>
          <w:rFonts w:ascii="Arial" w:cs="Arial" w:eastAsia="Arial" w:hAnsi="Arial"/>
          <w:sz w:val="16"/>
          <w:szCs w:val="16"/>
          <w:color w:val="auto"/>
        </w:rPr>
        <w:t>This decrease was primarily due to (i) decreased mobile asset activity from pipeline projects in Canada, (ii) lower billed rooms at our Canadian lodges, (iii) reduced activity in the U.S. operations due to the sale of our wellsite and offshore businesses in the second half of 2022 and (iv) a weaker Australian and Canadian dollar relative to the U.S. dollar in the six months ended June 30, 2023 compared to the six months ended June 30, 2022. These items were partially offset by increased occupancy at our Civeo owned villages in the Australian Bowen and Gunnedah Basins and increased activity at our integrated services villages in Western Australia. See the discussion of segment results of operations below for further information.</w:t>
      </w:r>
    </w:p>
    <w:p>
      <w:pPr>
        <w:spacing w:after="0" w:line="184"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$9.0 million, or 4%, in the six months ended June 30, 2023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six months ended June 30, 2022. This increase was primarily due to (i) increased occupancy at our Civeo owned villages in the Australian Bowen and Gunnedah Basins, (ii) increased activity at our integrated services villages in Western Australia and (iii) increased operating costs due to inflationary pressures in Canada and Australia. These items were partially offset by (i) reduced activity in the U.S. operations due to the sale of our wellsite and offshore businesses in the second half of 2022, (ii) lower costs related to reduced mobile asset activity in Canada, (iii) reduced lodge occupancy in Canada and (iv) a weaker Australian and Canadian dollar relative to the U.S. dollar in the six months ended June 30, 2023 compared to the six months ended June 30, 2022. See the discussion of segment results of operations below for further information.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1" w:lineRule="exact"/>
        <w:rPr>
          <w:sz w:val="20"/>
          <w:szCs w:val="20"/>
          <w:color w:val="auto"/>
        </w:rPr>
      </w:pPr>
    </w:p>
    <w:p>
      <w:pPr>
        <w:jc w:val="both"/>
        <w:ind w:firstLine="470"/>
        <w:spacing w:after="0" w:line="303" w:lineRule="auto"/>
        <w:rPr>
          <w:sz w:val="20"/>
          <w:szCs w:val="20"/>
          <w:color w:val="auto"/>
        </w:rPr>
      </w:pPr>
      <w:r>
        <w:rPr>
          <w:rFonts w:ascii="Arial" w:cs="Arial" w:eastAsia="Arial" w:hAnsi="Arial"/>
          <w:sz w:val="15"/>
          <w:szCs w:val="15"/>
          <w:b w:val="1"/>
          <w:bCs w:val="1"/>
          <w:color w:val="auto"/>
        </w:rPr>
        <w:t xml:space="preserve">Selling, General and Administrative Expenses. </w:t>
      </w:r>
      <w:r>
        <w:rPr>
          <w:rFonts w:ascii="Arial" w:cs="Arial" w:eastAsia="Arial" w:hAnsi="Arial"/>
          <w:sz w:val="15"/>
          <w:szCs w:val="15"/>
          <w:color w:val="auto"/>
        </w:rPr>
        <w:t>SG&amp;A expense decreased $0.2 million, or 1%, in the six months ended June 30, 2023 compared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six months ended June 30, 2022. This decrease was primarily due to lower share-based compensation expense, lower incentive compensation costs and a weaker Australian and Canadian dollar relative to the U.S. dollar in the six months ended June 30, 2023 compared to the six months ended June 30, 2022. The decrease in share-based compensation expense was due to a relative decrease in our stock price during 2023 compared to 2022. These items were partially offset by higher compensation expense and information technology expense. The increase in compensation expense was primarily due to increased staff and recruitment costs. The increase in information technology expense was related to ongoing investment in our newly implemented HCM system and set-up costs incurred in a cloud computing arrangement for the HCM system, which are being amortized through SG&amp;A expense instead of depreciation and amortization expense.</w:t>
      </w:r>
    </w:p>
    <w:p>
      <w:pPr>
        <w:spacing w:after="0" w:line="83" w:lineRule="exact"/>
        <w:rPr>
          <w:sz w:val="20"/>
          <w:szCs w:val="20"/>
          <w:color w:val="auto"/>
        </w:rPr>
      </w:pPr>
    </w:p>
    <w:p>
      <w:pPr>
        <w:jc w:val="both"/>
        <w:ind w:firstLine="470"/>
        <w:spacing w:after="0" w:line="286"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$0.8 million, or 2%, in the six months ended June 30, 2023</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six months ended June 30, 2022. The decrease was primarily due to (i) the sale of our wellsite and offshore businesses in the U.S. in the second half of 2022, (ii) certain assets becoming fully depreciated in Canada in the second quarter of 2023 and (iii) lower depreciation and amortization expense due to a weaker Australian and Canadian dollar relative to the U.S. dollar in the six months ended June 30, 2023 compared to the six months ended June 30, 2022. This was partially offset by the shortening of the useful lives on certain assets in Canada, including the McClelland Lake Lodge.</w:t>
      </w:r>
    </w:p>
    <w:p>
      <w:pPr>
        <w:spacing w:after="0" w:line="93"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decreased $12.2 million, or 66%, in the six months ended June 30, 2023 compared to the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2022, primarily due to increased operating costs due to inflationary pressures in Canada and Australia and reduced mobile asset activity in Canada in the six months ended June 30, 2023 compared to the six months ended June 30, 2022.</w:t>
      </w:r>
    </w:p>
    <w:p>
      <w:pPr>
        <w:spacing w:after="0" w:line="84"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7"/>
          <w:szCs w:val="17"/>
          <w:b w:val="1"/>
          <w:bCs w:val="1"/>
          <w:color w:val="auto"/>
        </w:rPr>
        <w:t xml:space="preserve">Interest Expense, net. </w:t>
      </w:r>
      <w:r>
        <w:rPr>
          <w:rFonts w:ascii="Arial" w:cs="Arial" w:eastAsia="Arial" w:hAnsi="Arial"/>
          <w:sz w:val="17"/>
          <w:szCs w:val="17"/>
          <w:color w:val="auto"/>
        </w:rPr>
        <w:t>Net interest expense increased by $2.1 million, or 41%, in the six months ended June 30, 2023 compared to the six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2022, primarily related to higher interest rates on credit facility borrowings during 2023 compared to 2022, partially offset by lower average debt levels on credit facility borrowings.</w:t>
      </w:r>
    </w:p>
    <w:p>
      <w:pPr>
        <w:spacing w:after="0" w:line="188"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increased $0.8 million in the six months ended June 30, 2023 compared to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2022, primarily due to higher gain on the sale of assets related to the sale of our Acadian Acres accommodation assets in the U.S. in the six months ended June 30, 2023 compared to the six months ended June 30, 2022. The six months ended June 30, 2022 included gain on the sale of assets primarily related to various mobile assets across Canada, Australia and the U.S.</w:t>
      </w:r>
    </w:p>
    <w:p>
      <w:pPr>
        <w:spacing w:after="0" w:line="169"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b w:val="1"/>
          <w:bCs w:val="1"/>
          <w:color w:val="auto"/>
        </w:rPr>
        <w:t xml:space="preserve">Income Tax (Expense) Benefit. </w:t>
      </w:r>
      <w:r>
        <w:rPr>
          <w:rFonts w:ascii="Arial" w:cs="Arial" w:eastAsia="Arial" w:hAnsi="Arial"/>
          <w:sz w:val="17"/>
          <w:szCs w:val="17"/>
          <w:color w:val="auto"/>
        </w:rPr>
        <w:t>Our income tax expense for the six months ended June 30, 2023 totaled $4.1 million, or 209% of pretax income,</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an income tax expense of $3.4 million, or 22% of pretax income, for the six months ended June 30, 2022. Our effective tax rate for each of the six months ended June 30, 2023 and 2022 was impacted by considering Canada and the U.S. loss jurisdictions that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b w:val="1"/>
          <w:bCs w:val="1"/>
          <w:color w:val="auto"/>
        </w:rPr>
        <w:t xml:space="preserve">Other Comprehensive (Loss) Income. </w:t>
      </w:r>
      <w:r>
        <w:rPr>
          <w:rFonts w:ascii="Arial" w:cs="Arial" w:eastAsia="Arial" w:hAnsi="Arial"/>
          <w:sz w:val="17"/>
          <w:szCs w:val="17"/>
          <w:color w:val="auto"/>
        </w:rPr>
        <w:t>Other comprehensive loss increased $11.9 million in the six months ended June 30, 2023 compared to the six</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June 30, 2022, primarily as a result of foreign currency translation adjustments due to changes in the Canadian and Australian dollar exchange rates compared to the U.S. dollar. The Canadian dollar exchange rate compared to the U.S. dollar increased 2% in the six months ended June 30, 2023 compared to a 2% decrease in the six months ended June 30, 2022. The Australian dollar exchange rate compared to the U.S. dollar decreased 2% in the six months ended June 30, 2023 compared to a 5% decrease in the six months ended June 30,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5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48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9"/>
        </w:trPr>
        <w:tc>
          <w:tcPr>
            <w:tcW w:w="4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7"/>
        </w:trPr>
        <w:tc>
          <w:tcPr>
            <w:tcW w:w="4840" w:type="dxa"/>
            <w:vAlign w:val="bottom"/>
          </w:tcPr>
          <w:p>
            <w:pPr>
              <w:ind w:left="12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136,583</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0"/>
              <w:spacing w:after="0"/>
              <w:rPr>
                <w:sz w:val="20"/>
                <w:szCs w:val="20"/>
                <w:color w:val="auto"/>
              </w:rPr>
            </w:pPr>
            <w:r>
              <w:rPr>
                <w:rFonts w:ascii="Arial" w:cs="Arial" w:eastAsia="Arial" w:hAnsi="Arial"/>
                <w:sz w:val="14"/>
                <w:szCs w:val="14"/>
                <w:color w:val="auto"/>
              </w:rPr>
              <w:t>146,625</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(10,042)</w:t>
            </w:r>
          </w:p>
        </w:tc>
      </w:tr>
      <w:tr>
        <w:trPr>
          <w:trHeight w:val="205"/>
        </w:trPr>
        <w:tc>
          <w:tcPr>
            <w:tcW w:w="4840" w:type="dxa"/>
            <w:vAlign w:val="bottom"/>
            <w:shd w:val="clear" w:color="auto" w:fill="CCEEFF"/>
          </w:tcPr>
          <w:p>
            <w:pPr>
              <w:ind w:left="120"/>
              <w:spacing w:after="0" w:line="205" w:lineRule="exact"/>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18"/>
                <w:szCs w:val="18"/>
                <w:color w:val="auto"/>
                <w:vertAlign w:val="superscript"/>
              </w:rPr>
              <w:t>(2)</w:t>
            </w: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37,438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48,076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(10,638)</w:t>
            </w:r>
          </w:p>
        </w:tc>
      </w:tr>
      <w:tr>
        <w:trPr>
          <w:trHeight w:val="183"/>
        </w:trPr>
        <w:tc>
          <w:tcPr>
            <w:tcW w:w="4840" w:type="dxa"/>
            <w:vAlign w:val="bottom"/>
            <w:tcBorders>
              <w:bottom w:val="single" w:sz="8" w:color="CCEEFF"/>
            </w:tcBorders>
          </w:tcPr>
          <w:p>
            <w:pPr>
              <w:ind w:left="120"/>
              <w:spacing w:after="0" w:line="183" w:lineRule="exact"/>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18"/>
                <w:szCs w:val="18"/>
                <w:color w:val="auto"/>
                <w:vertAlign w:val="superscript"/>
              </w:rPr>
              <w:t>(3)</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10,902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10,274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628</w:t>
            </w:r>
          </w:p>
        </w:tc>
      </w:tr>
      <w:tr>
        <w:trPr>
          <w:trHeight w:val="176"/>
        </w:trPr>
        <w:tc>
          <w:tcPr>
            <w:tcW w:w="4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184,923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204,975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(20,052)</w:t>
            </w:r>
          </w:p>
        </w:tc>
      </w:tr>
      <w:tr>
        <w:trPr>
          <w:trHeight w:val="144"/>
        </w:trPr>
        <w:tc>
          <w:tcPr>
            <w:tcW w:w="4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96"/>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Cost of sales and services ($ in thousands)</w:t>
            </w: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81"/>
        </w:trPr>
        <w:tc>
          <w:tcPr>
            <w:tcW w:w="4840" w:type="dxa"/>
            <w:vAlign w:val="bottom"/>
          </w:tcPr>
          <w:p>
            <w:pPr>
              <w:ind w:left="120"/>
              <w:spacing w:after="0"/>
              <w:rPr>
                <w:sz w:val="20"/>
                <w:szCs w:val="20"/>
                <w:color w:val="auto"/>
              </w:rPr>
            </w:pPr>
            <w:r>
              <w:rPr>
                <w:rFonts w:ascii="Arial" w:cs="Arial" w:eastAsia="Arial" w:hAnsi="Arial"/>
                <w:sz w:val="14"/>
                <w:szCs w:val="14"/>
                <w:color w:val="auto"/>
              </w:rPr>
              <w:t>Accommodation cost</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104,529</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0"/>
              <w:spacing w:after="0"/>
              <w:rPr>
                <w:sz w:val="20"/>
                <w:szCs w:val="20"/>
                <w:color w:val="auto"/>
              </w:rPr>
            </w:pPr>
            <w:r>
              <w:rPr>
                <w:rFonts w:ascii="Arial" w:cs="Arial" w:eastAsia="Arial" w:hAnsi="Arial"/>
                <w:sz w:val="14"/>
                <w:szCs w:val="14"/>
                <w:color w:val="auto"/>
              </w:rPr>
              <w:t>106,235</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(1,706)</w:t>
            </w:r>
          </w:p>
        </w:tc>
      </w:tr>
      <w:tr>
        <w:trPr>
          <w:trHeight w:val="198"/>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Mobile facility rental cost</w:t>
            </w: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26,100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29,342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(3,242)</w:t>
            </w:r>
          </w:p>
        </w:tc>
      </w:tr>
      <w:tr>
        <w:trPr>
          <w:trHeight w:val="187"/>
        </w:trPr>
        <w:tc>
          <w:tcPr>
            <w:tcW w:w="4840" w:type="dxa"/>
            <w:vAlign w:val="bottom"/>
          </w:tcPr>
          <w:p>
            <w:pPr>
              <w:ind w:left="120"/>
              <w:spacing w:after="0"/>
              <w:rPr>
                <w:sz w:val="20"/>
                <w:szCs w:val="20"/>
                <w:color w:val="auto"/>
              </w:rPr>
            </w:pPr>
            <w:r>
              <w:rPr>
                <w:rFonts w:ascii="Arial" w:cs="Arial" w:eastAsia="Arial" w:hAnsi="Arial"/>
                <w:sz w:val="14"/>
                <w:szCs w:val="14"/>
                <w:color w:val="auto"/>
              </w:rPr>
              <w:t>Food service and other services cost</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9,834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90"/>
              <w:spacing w:after="0"/>
              <w:rPr>
                <w:sz w:val="20"/>
                <w:szCs w:val="20"/>
                <w:color w:val="auto"/>
              </w:rPr>
            </w:pPr>
            <w:r>
              <w:rPr>
                <w:rFonts w:ascii="Arial" w:cs="Arial" w:eastAsia="Arial" w:hAnsi="Arial"/>
                <w:sz w:val="14"/>
                <w:szCs w:val="14"/>
                <w:color w:val="auto"/>
              </w:rPr>
              <w:t>9,335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499</w:t>
            </w:r>
          </w:p>
        </w:tc>
      </w:tr>
      <w:tr>
        <w:trPr>
          <w:trHeight w:val="189"/>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Indirect other costs</w:t>
            </w:r>
          </w:p>
        </w:tc>
        <w:tc>
          <w:tcPr>
            <w:tcW w:w="10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5,287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5,303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w:t>
            </w:r>
          </w:p>
        </w:tc>
      </w:tr>
      <w:tr>
        <w:trPr>
          <w:trHeight w:val="183"/>
        </w:trPr>
        <w:tc>
          <w:tcPr>
            <w:tcW w:w="484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145,750</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0"/>
              <w:spacing w:after="0"/>
              <w:rPr>
                <w:sz w:val="20"/>
                <w:szCs w:val="20"/>
                <w:color w:val="auto"/>
              </w:rPr>
            </w:pPr>
            <w:r>
              <w:rPr>
                <w:rFonts w:ascii="Arial" w:cs="Arial" w:eastAsia="Arial" w:hAnsi="Arial"/>
                <w:sz w:val="14"/>
                <w:szCs w:val="14"/>
                <w:color w:val="auto"/>
              </w:rPr>
              <w:t>150,215</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(4,465)</w:t>
            </w:r>
          </w:p>
        </w:tc>
      </w:tr>
      <w:tr>
        <w:trPr>
          <w:trHeight w:val="153"/>
        </w:trPr>
        <w:tc>
          <w:tcPr>
            <w:tcW w:w="48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1"/>
        </w:trPr>
        <w:tc>
          <w:tcPr>
            <w:tcW w:w="4840" w:type="dxa"/>
            <w:vAlign w:val="bottom"/>
          </w:tcPr>
          <w:p>
            <w:pPr>
              <w:spacing w:after="0"/>
              <w:rPr>
                <w:sz w:val="20"/>
                <w:szCs w:val="20"/>
                <w:color w:val="auto"/>
              </w:rPr>
            </w:pPr>
            <w:r>
              <w:rPr>
                <w:rFonts w:ascii="Arial" w:cs="Arial" w:eastAsia="Arial" w:hAnsi="Arial"/>
                <w:sz w:val="14"/>
                <w:szCs w:val="14"/>
                <w:color w:val="auto"/>
              </w:rPr>
              <w:t>Gross margin as a % of revenues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26.7 %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46"/>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18"/>
                <w:szCs w:val="18"/>
                <w:color w:val="auto"/>
                <w:vertAlign w:val="superscript"/>
              </w:rPr>
              <w:t>(4)</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98</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0"/>
              <w:spacing w:after="0"/>
              <w:rPr>
                <w:sz w:val="20"/>
                <w:szCs w:val="20"/>
                <w:color w:val="auto"/>
              </w:rPr>
            </w:pPr>
            <w:r>
              <w:rPr>
                <w:rFonts w:ascii="Arial" w:cs="Arial" w:eastAsia="Arial" w:hAnsi="Arial"/>
                <w:sz w:val="14"/>
                <w:szCs w:val="14"/>
                <w:color w:val="auto"/>
              </w:rPr>
              <w:t>104</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(6)</w:t>
            </w:r>
          </w:p>
        </w:tc>
      </w:tr>
      <w:tr>
        <w:trPr>
          <w:trHeight w:val="131"/>
        </w:trPr>
        <w:tc>
          <w:tcPr>
            <w:tcW w:w="48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87"/>
        </w:trPr>
        <w:tc>
          <w:tcPr>
            <w:tcW w:w="4840" w:type="dxa"/>
            <w:vAlign w:val="bottom"/>
          </w:tcPr>
          <w:p>
            <w:pPr>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w w:val="89"/>
              </w:rPr>
              <w:t>1,367,095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90"/>
              <w:spacing w:after="0"/>
              <w:rPr>
                <w:sz w:val="20"/>
                <w:szCs w:val="20"/>
                <w:color w:val="auto"/>
              </w:rPr>
            </w:pPr>
            <w:r>
              <w:rPr>
                <w:rFonts w:ascii="Arial" w:cs="Arial" w:eastAsia="Arial" w:hAnsi="Arial"/>
                <w:sz w:val="14"/>
                <w:szCs w:val="14"/>
                <w:color w:val="auto"/>
              </w:rPr>
              <w:t>1,406,822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(39,727)</w:t>
            </w:r>
          </w:p>
        </w:tc>
      </w:tr>
      <w:tr>
        <w:trPr>
          <w:trHeight w:val="153"/>
        </w:trPr>
        <w:tc>
          <w:tcPr>
            <w:tcW w:w="48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78"/>
        </w:trPr>
        <w:tc>
          <w:tcPr>
            <w:tcW w:w="4840" w:type="dxa"/>
            <w:vAlign w:val="bottom"/>
          </w:tcPr>
          <w:p>
            <w:pPr>
              <w:spacing w:after="0"/>
              <w:rPr>
                <w:sz w:val="20"/>
                <w:szCs w:val="20"/>
                <w:color w:val="auto"/>
              </w:rPr>
            </w:pPr>
            <w:r>
              <w:rPr>
                <w:rFonts w:ascii="Arial" w:cs="Arial" w:eastAsia="Arial" w:hAnsi="Arial"/>
                <w:sz w:val="14"/>
                <w:szCs w:val="14"/>
                <w:color w:val="auto"/>
              </w:rPr>
              <w:t>Average Canadian dollar to U.S. dollar</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0.742</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0"/>
              <w:spacing w:after="0"/>
              <w:rPr>
                <w:sz w:val="20"/>
                <w:szCs w:val="20"/>
                <w:color w:val="auto"/>
              </w:rPr>
            </w:pPr>
            <w:r>
              <w:rPr>
                <w:rFonts w:ascii="Arial" w:cs="Arial" w:eastAsia="Arial" w:hAnsi="Arial"/>
                <w:sz w:val="14"/>
                <w:szCs w:val="14"/>
                <w:color w:val="auto"/>
              </w:rPr>
              <w:t>0.787</w:t>
            </w:r>
          </w:p>
        </w:tc>
        <w:tc>
          <w:tcPr>
            <w:tcW w:w="500" w:type="dxa"/>
            <w:vAlign w:val="bottom"/>
            <w:gridSpan w:val="2"/>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(0.045)</w:t>
            </w:r>
          </w:p>
        </w:tc>
      </w:tr>
    </w:tbl>
    <w:p>
      <w:pPr>
        <w:spacing w:after="0" w:line="276" w:lineRule="exact"/>
        <w:rPr>
          <w:sz w:val="20"/>
          <w:szCs w:val="20"/>
          <w:color w:val="auto"/>
        </w:rPr>
      </w:pPr>
    </w:p>
    <w:p>
      <w:pPr>
        <w:ind w:left="320" w:hanging="315"/>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Canadian segment reported revenues in the six months ended June 30, 2023 that were $20.1 million, or 10%, lower than the six months ended June 30, 2022. The weakening of the average exchange rate for the Canadian dollar relative to the U.S. dollar by 5.7% in the six months ended June 30, 2023 compared to the six months ended June 30, 2022 resulted in a $11.1 million period-over-period decrease in revenues. Excluding the impact of the weaker Canadian exchange rate, the revenue decrease was driven by (i) reduced mobile asset activity from pipeline projects and (ii) lower billed rooms at our lodges.</w:t>
      </w:r>
    </w:p>
    <w:p>
      <w:pPr>
        <w:spacing w:after="0" w:line="18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Canadian segment cost of sales and services decreased $4.5 million, or 3%, in the six months ended June 30, 2023 compared to the six months ended June 30, 2022. The weakening of the average exchange rate for the Canadian dollar relative to the U.S. dollar by 5.7% in the six months ended June 30, 2023 compared to the six months ended June 30, 2022 resulted in a $8.8 million period-over-period decrease in cost of sales and services. Excluding the impact of the weaker Canadian exchange rate, the increase in cost of sales and services was driven by increased operating costs at our lodges due to inflationary pressures, partially offset by (i) lower costs related to the reduced mobile asset activity and (ii) reduced lodge occupancy.</w:t>
      </w:r>
    </w:p>
    <w:p>
      <w:pPr>
        <w:spacing w:after="0" w:line="192"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Our Canadian segment gross margin as a percentage of revenues decreased from 26.7% in the six months ended June 30, 2022 to 21.2% in the six months ended June 30, 2023. This was primarily driven by reduced margins at our lodges due to inflationary pressures and reduced margins from our mobile asset activity as certain higher margin components were recognized over the initial contract terms through late 2022, with 2023 representing continuing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50"/>
              <w:spacing w:after="0"/>
              <w:rPr>
                <w:sz w:val="20"/>
                <w:szCs w:val="20"/>
                <w:color w:val="auto"/>
              </w:rPr>
            </w:pPr>
            <w:r>
              <w:rPr>
                <w:rFonts w:ascii="Arial" w:cs="Arial" w:eastAsia="Arial" w:hAnsi="Arial"/>
                <w:sz w:val="14"/>
                <w:szCs w:val="14"/>
                <w:b w:val="1"/>
                <w:bCs w:val="1"/>
                <w:color w:val="auto"/>
                <w:w w:val="90"/>
              </w:rPr>
              <w:t>Six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9"/>
        </w:trPr>
        <w:tc>
          <w:tcPr>
            <w:tcW w:w="47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3"/>
        </w:trPr>
        <w:tc>
          <w:tcPr>
            <w:tcW w:w="4720" w:type="dxa"/>
            <w:vAlign w:val="bottom"/>
          </w:tcPr>
          <w:p>
            <w:pPr>
              <w:ind w:left="120"/>
              <w:spacing w:after="0" w:line="183" w:lineRule="exact"/>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18"/>
                <w:szCs w:val="18"/>
                <w:color w:val="auto"/>
                <w:vertAlign w:val="superscript"/>
              </w:rPr>
              <w:t>(1)</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84,941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76,651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8,290</w:t>
            </w:r>
          </w:p>
        </w:tc>
      </w:tr>
      <w:tr>
        <w:trPr>
          <w:trHeight w:val="196"/>
        </w:trPr>
        <w:tc>
          <w:tcPr>
            <w:tcW w:w="47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18"/>
                <w:szCs w:val="18"/>
                <w:color w:val="auto"/>
                <w:vertAlign w:val="superscript"/>
              </w:rPr>
              <w:t>(2)</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74,592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54,698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19,894</w:t>
            </w:r>
          </w:p>
        </w:tc>
      </w:tr>
      <w:tr>
        <w:trPr>
          <w:trHeight w:val="180"/>
        </w:trPr>
        <w:tc>
          <w:tcPr>
            <w:tcW w:w="472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159,533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131,349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28,184</w:t>
            </w:r>
          </w:p>
        </w:tc>
      </w:tr>
      <w:tr>
        <w:trPr>
          <w:trHeight w:val="218"/>
        </w:trPr>
        <w:tc>
          <w:tcPr>
            <w:tcW w:w="4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4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41,266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37,247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4,019</w:t>
            </w:r>
          </w:p>
        </w:tc>
      </w:tr>
      <w:tr>
        <w:trPr>
          <w:trHeight w:val="187"/>
        </w:trPr>
        <w:tc>
          <w:tcPr>
            <w:tcW w:w="4720" w:type="dxa"/>
            <w:vAlign w:val="bottom"/>
          </w:tcPr>
          <w:p>
            <w:pPr>
              <w:ind w:left="12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71,234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51,371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19,863</w:t>
            </w:r>
          </w:p>
        </w:tc>
      </w:tr>
      <w:tr>
        <w:trPr>
          <w:trHeight w:val="189"/>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4,353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3,588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765</w:t>
            </w:r>
          </w:p>
        </w:tc>
      </w:tr>
      <w:tr>
        <w:trPr>
          <w:trHeight w:val="183"/>
        </w:trPr>
        <w:tc>
          <w:tcPr>
            <w:tcW w:w="47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116,853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92,206</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24,647</w:t>
            </w:r>
          </w:p>
        </w:tc>
      </w:tr>
      <w:tr>
        <w:trPr>
          <w:trHeight w:val="218"/>
        </w:trPr>
        <w:tc>
          <w:tcPr>
            <w:tcW w:w="4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18"/>
        </w:trPr>
        <w:tc>
          <w:tcPr>
            <w:tcW w:w="4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18"/>
                <w:szCs w:val="18"/>
                <w:color w:val="auto"/>
                <w:vertAlign w:val="superscript"/>
              </w:rPr>
              <w:t>(3)</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76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78</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(2)</w:t>
            </w:r>
          </w:p>
        </w:tc>
      </w:tr>
      <w:tr>
        <w:trPr>
          <w:trHeight w:val="209"/>
        </w:trPr>
        <w:tc>
          <w:tcPr>
            <w:tcW w:w="4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7"/>
        </w:trPr>
        <w:tc>
          <w:tcPr>
            <w:tcW w:w="4720" w:type="dxa"/>
            <w:vAlign w:val="bottom"/>
          </w:tcPr>
          <w:p>
            <w:pPr>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w w:val="86"/>
              </w:rPr>
              <w:t>1,110,568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979,784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130,784</w:t>
            </w:r>
          </w:p>
        </w:tc>
      </w:tr>
      <w:tr>
        <w:trPr>
          <w:trHeight w:val="218"/>
        </w:trPr>
        <w:tc>
          <w:tcPr>
            <w:tcW w:w="4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20" w:type="dxa"/>
            <w:vAlign w:val="bottom"/>
          </w:tcPr>
          <w:p>
            <w:pPr>
              <w:spacing w:after="0"/>
              <w:rPr>
                <w:sz w:val="20"/>
                <w:szCs w:val="20"/>
                <w:color w:val="auto"/>
              </w:rPr>
            </w:pPr>
            <w:r>
              <w:rPr>
                <w:rFonts w:ascii="Arial" w:cs="Arial" w:eastAsia="Arial" w:hAnsi="Arial"/>
                <w:sz w:val="14"/>
                <w:szCs w:val="14"/>
                <w:color w:val="auto"/>
              </w:rPr>
              <w:t>Australian dollar to U.S. dollar</w:t>
            </w:r>
          </w:p>
        </w:tc>
        <w:tc>
          <w:tcPr>
            <w:tcW w:w="1080" w:type="dxa"/>
            <w:vAlign w:val="bottom"/>
          </w:tcPr>
          <w:p>
            <w:pPr>
              <w:jc w:val="right"/>
              <w:ind w:right="93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0.676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0.719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(0.043)</w:t>
            </w:r>
          </w:p>
        </w:tc>
      </w:tr>
    </w:tbl>
    <w:p>
      <w:pPr>
        <w:spacing w:after="0" w:line="276"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1" w:lineRule="exact"/>
        <w:rPr>
          <w:rFonts w:ascii="Arial" w:cs="Arial" w:eastAsia="Arial" w:hAnsi="Arial"/>
          <w:sz w:val="23"/>
          <w:szCs w:val="23"/>
          <w:color w:val="auto"/>
          <w:vertAlign w:val="superscript"/>
        </w:rPr>
      </w:pPr>
    </w:p>
    <w:p>
      <w:pPr>
        <w:ind w:left="320" w:hanging="315"/>
        <w:spacing w:after="0" w:line="188"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3"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Our Australian segment reported revenues in the six months ended June 30, 2023 that were $28.2 million, or 21%, higher than the six months ended June 30, 2022. The weakening of the average exchange rate for Australian dollars relative to the U.S. dollar by 6.0% in the six months ended June 30, 2023 compared to the six months ended June 30, 2022 resulted in a $10.3 million period-over-period decrease in revenues. On a constant currency basis, the Australian segment experienced a 29% period-over-period increase in revenues. Excluding the impact of the weaker Australian exchange rate, the increase in the Australian segment was driven by increased activity at our Civeo owned villages in the Bowen Basin and Gunnedah Basin and our integrated services villages in Western Australia.</w:t>
      </w:r>
    </w:p>
    <w:p>
      <w:pPr>
        <w:spacing w:after="0" w:line="17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Australian segment cost of sales and services increased $24.6 million, or 27%, in the six months ended June 30, 2023 compared to the six months ended June 30, 2022. The weakening of the average exchange rate for Australian dollars relative to the U.S. dollar by 6.0% in the six months ended June 30, 2023 compared to the six months ended June 30, 2022 resulted in a $7.5 million period-over-period decrease in cost of sales and services. Excluding the impact of the weaker Australian exchange rate, the increase in cost of sales and services was largely driven by (i) increased occupancy at our Bowen Basin and Gunnedah Basin owned villages and our integrated services villages in Western Australia and (ii) increased operating costs due to inflationary pressures.</w:t>
      </w:r>
    </w:p>
    <w:p>
      <w:pPr>
        <w:spacing w:after="0" w:line="19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Australian segment gross margin as a percentage of revenues decreased to 26.8% in the six months ended June 30, 2023 from 29.8% in the six months ended June 30, 2022. This was primarily driven by an increased relative revenue contribution from our integrated services business, which has a service-only business model, and therefore generates lower overall gross margins than our accommodation business and increased operating costs due to inflationary pressures. This decrease was partially offset by improved margins at Civeo owned villages in the Bowen and Gunnedah Basins as a result of increased activity. Additionally, we experienced improved margins at our integrated services villages resulting from the renegotiation of rates on a material contract, which included an approximate $1.5 million adjustment recognized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repurchase our common shares and preferred shares and fund strategic business acquisitions. In the future, capital may be required to move lodges from one site to another.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or refinance debt.</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consolidated liquidity position as of June 30, 2023 and December 31, 2022 (in thousands):</w:t>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7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41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ind w:right="250"/>
              <w:spacing w:after="0"/>
              <w:rPr>
                <w:sz w:val="20"/>
                <w:szCs w:val="20"/>
                <w:color w:val="auto"/>
              </w:rPr>
            </w:pPr>
            <w:r>
              <w:rPr>
                <w:rFonts w:ascii="Arial" w:cs="Arial" w:eastAsia="Arial" w:hAnsi="Arial"/>
                <w:sz w:val="14"/>
                <w:szCs w:val="14"/>
                <w:b w:val="1"/>
                <w:bCs w:val="1"/>
                <w:color w:val="auto"/>
                <w:w w:val="96"/>
              </w:rPr>
              <w:t>December 31, 2022</w:t>
            </w:r>
          </w:p>
        </w:tc>
      </w:tr>
      <w:tr>
        <w:trPr>
          <w:trHeight w:val="23"/>
        </w:trPr>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Lender commitments</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r>
      <w:tr>
        <w:trPr>
          <w:trHeight w:val="187"/>
        </w:trPr>
        <w:tc>
          <w:tcPr>
            <w:tcW w:w="7120" w:type="dxa"/>
            <w:vAlign w:val="bottom"/>
          </w:tcPr>
          <w:p>
            <w:pPr>
              <w:ind w:left="140"/>
              <w:spacing w:after="0"/>
              <w:rPr>
                <w:sz w:val="20"/>
                <w:szCs w:val="20"/>
                <w:color w:val="auto"/>
              </w:rPr>
            </w:pPr>
            <w:r>
              <w:rPr>
                <w:rFonts w:ascii="Arial" w:cs="Arial" w:eastAsia="Arial" w:hAnsi="Arial"/>
                <w:sz w:val="14"/>
                <w:szCs w:val="14"/>
                <w:color w:val="auto"/>
              </w:rPr>
              <w:t>Borrowings against revolving credit capacity</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(120,999)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(102,505)</w:t>
            </w:r>
          </w:p>
        </w:tc>
      </w:tr>
      <w:tr>
        <w:trPr>
          <w:trHeight w:val="205"/>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letters of credit</w:t>
            </w: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r>
      <w:tr>
        <w:trPr>
          <w:trHeight w:val="174"/>
        </w:trPr>
        <w:tc>
          <w:tcPr>
            <w:tcW w:w="7120" w:type="dxa"/>
            <w:vAlign w:val="bottom"/>
          </w:tcPr>
          <w:p>
            <w:pPr>
              <w:ind w:left="20"/>
              <w:spacing w:after="0"/>
              <w:rPr>
                <w:sz w:val="20"/>
                <w:szCs w:val="20"/>
                <w:color w:val="auto"/>
              </w:rPr>
            </w:pPr>
            <w:r>
              <w:rPr>
                <w:rFonts w:ascii="Arial" w:cs="Arial" w:eastAsia="Arial" w:hAnsi="Arial"/>
                <w:sz w:val="14"/>
                <w:szCs w:val="14"/>
                <w:color w:val="auto"/>
              </w:rPr>
              <w:t>Unused availability</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77,611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96,130</w:t>
            </w:r>
          </w:p>
        </w:tc>
      </w:tr>
      <w:tr>
        <w:trPr>
          <w:trHeight w:val="198"/>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7,954</w:t>
            </w:r>
          </w:p>
        </w:tc>
      </w:tr>
      <w:tr>
        <w:trPr>
          <w:trHeight w:val="189"/>
        </w:trPr>
        <w:tc>
          <w:tcPr>
            <w:tcW w:w="7120" w:type="dxa"/>
            <w:vAlign w:val="bottom"/>
          </w:tcPr>
          <w:p>
            <w:pPr>
              <w:ind w:left="20"/>
              <w:spacing w:after="0"/>
              <w:rPr>
                <w:sz w:val="20"/>
                <w:szCs w:val="20"/>
                <w:color w:val="auto"/>
              </w:rPr>
            </w:pPr>
            <w:r>
              <w:rPr>
                <w:rFonts w:ascii="Arial" w:cs="Arial" w:eastAsia="Arial" w:hAnsi="Arial"/>
                <w:sz w:val="14"/>
                <w:szCs w:val="14"/>
                <w:color w:val="auto"/>
              </w:rPr>
              <w:t>Total available liquidity</w:t>
            </w: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89,032</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104,084</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Cash totaling $19.8 million was provided by operations during the six months ended June 30, 2023, compared to $23.6 million provided by operations during the six months ended June 30, 2022. During the six months ended June 30, 2023 and 2022, $25.2 million and $36.6 million was used in working capital, respectively. The year-over-over decrease in cash used in working capital in 2023 compared to 2022 is largely due to a payment received from a customer for village enhancements in Australia, partially offset by the timing of payments during the six months ended June 30, 2023 compared to the six months ended June 30, 2022.</w:t>
      </w:r>
    </w:p>
    <w:p>
      <w:pPr>
        <w:spacing w:after="0" w:line="20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Cash was used in investing activities during the six months ended June 30, 2023 in the amount of $9.0 million, compared to cash used in investing activities during the six months ended June 30, 2022 in the amount of $5.2 million. The increase in cash used in investing activities was primarily due to higher capital expenditures. Capital expenditures totaled $11.7 million and $8.6 million during the six months ended June 30, 2023 and 2022, respectively. Capital expenditures in both periods were primarily related to maintenance. We received proceeds from the sale of property, plant and equipment of $2.7 million during the six months ended June 30, 2023 primarily related to the sale of our Acadian Acres accommodation assets in the U.S., compared to $3.3 million during the six months ended June 30, 2022 primarily related to the sale of undeveloped land holdings in Australia and various mobile assets in Canada.</w:t>
      </w:r>
    </w:p>
    <w:p>
      <w:pPr>
        <w:spacing w:after="0" w:line="19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expect our capital expenditures for 2023 to be in the range of $35 million to $40 million, which excludes any unannounced and uncommitted projects, the spending for which is contingent on obtaining customer contracts or commitments. Whether planned expenditures will actually be spent in 2023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and the resultant impact on the capital spending plans of our customers in order to plan our business activities, and we may adjust our capital expenditure plans in the future.</w:t>
      </w:r>
    </w:p>
    <w:p>
      <w:pPr>
        <w:spacing w:after="0" w:line="17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Net cash of $6.9 million was used in financing activities during the six months ended June 30, 2023 primarily due to term loan repayments of $14.9 million and repurchases of our common shares of $8.0 million, partially offset by net borrowings under our revolving credit facilities of $16.0 million. Net cash of $19.9 million was used in financing activities during the six months ended June 30, 2022 primarily due to net repayments under our revolving credit facilities of $2.6 million, term loan repayments of $15.8 million, repurchases of our common shares of $0.5 million and payments to settle tax obligations on vested shares under our share-based compensation plans of $1.0 million.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debt outstanding during the six months ended June 30, 2023 (in thousands):</w:t>
      </w:r>
    </w:p>
    <w:p>
      <w:pPr>
        <w:spacing w:after="0" w:line="327" w:lineRule="exact"/>
        <w:rPr>
          <w:sz w:val="20"/>
          <w:szCs w:val="20"/>
          <w:color w:val="auto"/>
        </w:rPr>
      </w:pPr>
    </w:p>
    <w:tbl>
      <w:tblPr>
        <w:tblLayout w:type="fixed"/>
        <w:tblInd w:w="2440" w:type="dxa"/>
        <w:tblCellMar>
          <w:top w:w="0" w:type="dxa"/>
          <w:left w:w="0" w:type="dxa"/>
          <w:bottom w:w="0" w:type="dxa"/>
          <w:right w:w="0" w:type="dxa"/>
        </w:tblCellMar>
      </w:tblPr>
      <w:tr>
        <w:trPr>
          <w:trHeight w:val="196"/>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2022</w:t>
            </w: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8"/>
              </w:rPr>
              <w:t>132,037</w:t>
            </w:r>
          </w:p>
        </w:tc>
      </w:tr>
      <w:tr>
        <w:trPr>
          <w:trHeight w:val="181"/>
        </w:trPr>
        <w:tc>
          <w:tcPr>
            <w:tcW w:w="5000" w:type="dxa"/>
            <w:vAlign w:val="bottom"/>
          </w:tcPr>
          <w:p>
            <w:pPr>
              <w:ind w:left="140"/>
              <w:spacing w:after="0"/>
              <w:rPr>
                <w:sz w:val="20"/>
                <w:szCs w:val="20"/>
                <w:color w:val="auto"/>
              </w:rPr>
            </w:pPr>
            <w:r>
              <w:rPr>
                <w:rFonts w:ascii="Arial" w:cs="Arial" w:eastAsia="Arial" w:hAnsi="Arial"/>
                <w:sz w:val="14"/>
                <w:szCs w:val="14"/>
                <w:color w:val="auto"/>
              </w:rPr>
              <w:t>Borrowings under revolving credit facilities</w:t>
            </w:r>
          </w:p>
        </w:tc>
        <w:tc>
          <w:tcPr>
            <w:tcW w:w="460" w:type="dxa"/>
            <w:vAlign w:val="bottom"/>
          </w:tcPr>
          <w:p>
            <w:pPr>
              <w:spacing w:after="0"/>
              <w:rPr>
                <w:sz w:val="15"/>
                <w:szCs w:val="15"/>
                <w:color w:val="auto"/>
              </w:rPr>
            </w:pPr>
          </w:p>
        </w:tc>
        <w:tc>
          <w:tcPr>
            <w:tcW w:w="900" w:type="dxa"/>
            <w:vAlign w:val="bottom"/>
          </w:tcPr>
          <w:p>
            <w:pPr>
              <w:ind w:left="380"/>
              <w:spacing w:after="0"/>
              <w:rPr>
                <w:sz w:val="20"/>
                <w:szCs w:val="20"/>
                <w:color w:val="auto"/>
              </w:rPr>
            </w:pPr>
            <w:r>
              <w:rPr>
                <w:rFonts w:ascii="Arial" w:cs="Arial" w:eastAsia="Arial" w:hAnsi="Arial"/>
                <w:sz w:val="14"/>
                <w:szCs w:val="14"/>
                <w:color w:val="auto"/>
                <w:w w:val="98"/>
              </w:rPr>
              <w:t>114,674</w:t>
            </w:r>
          </w:p>
        </w:tc>
      </w:tr>
      <w:tr>
        <w:trPr>
          <w:trHeight w:val="198"/>
        </w:trPr>
        <w:tc>
          <w:tcPr>
            <w:tcW w:w="5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borrowings under revolving credit facilities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1"/>
              </w:rPr>
              <w:t>(98,681)</w:t>
            </w:r>
          </w:p>
        </w:tc>
      </w:tr>
      <w:tr>
        <w:trPr>
          <w:trHeight w:val="187"/>
        </w:trPr>
        <w:tc>
          <w:tcPr>
            <w:tcW w:w="5000" w:type="dxa"/>
            <w:vAlign w:val="bottom"/>
          </w:tcPr>
          <w:p>
            <w:pPr>
              <w:ind w:left="140"/>
              <w:spacing w:after="0"/>
              <w:rPr>
                <w:sz w:val="20"/>
                <w:szCs w:val="20"/>
                <w:color w:val="auto"/>
              </w:rPr>
            </w:pPr>
            <w:r>
              <w:rPr>
                <w:rFonts w:ascii="Arial" w:cs="Arial" w:eastAsia="Arial" w:hAnsi="Arial"/>
                <w:sz w:val="14"/>
                <w:szCs w:val="14"/>
                <w:color w:val="auto"/>
              </w:rPr>
              <w:t>Repayments of term loans</w:t>
            </w:r>
          </w:p>
        </w:tc>
        <w:tc>
          <w:tcPr>
            <w:tcW w:w="460" w:type="dxa"/>
            <w:vAlign w:val="bottom"/>
          </w:tcPr>
          <w:p>
            <w:pPr>
              <w:spacing w:after="0"/>
              <w:rPr>
                <w:sz w:val="16"/>
                <w:szCs w:val="16"/>
                <w:color w:val="auto"/>
              </w:rPr>
            </w:pPr>
          </w:p>
        </w:tc>
        <w:tc>
          <w:tcPr>
            <w:tcW w:w="900" w:type="dxa"/>
            <w:vAlign w:val="bottom"/>
          </w:tcPr>
          <w:p>
            <w:pPr>
              <w:ind w:left="400"/>
              <w:spacing w:after="0"/>
              <w:rPr>
                <w:sz w:val="20"/>
                <w:szCs w:val="20"/>
                <w:color w:val="auto"/>
              </w:rPr>
            </w:pPr>
            <w:r>
              <w:rPr>
                <w:rFonts w:ascii="Arial" w:cs="Arial" w:eastAsia="Arial" w:hAnsi="Arial"/>
                <w:sz w:val="14"/>
                <w:szCs w:val="14"/>
                <w:color w:val="auto"/>
                <w:w w:val="91"/>
              </w:rPr>
              <w:t>(14,942)</w:t>
            </w:r>
          </w:p>
        </w:tc>
      </w:tr>
      <w:tr>
        <w:trPr>
          <w:trHeight w:val="189"/>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Translation</w:t>
            </w: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3,017</w:t>
            </w:r>
          </w:p>
        </w:tc>
      </w:tr>
      <w:tr>
        <w:trPr>
          <w:trHeight w:val="192"/>
        </w:trPr>
        <w:tc>
          <w:tcPr>
            <w:tcW w:w="5000" w:type="dxa"/>
            <w:vAlign w:val="bottom"/>
          </w:tcPr>
          <w:p>
            <w:pPr>
              <w:ind w:left="40"/>
              <w:spacing w:after="0"/>
              <w:rPr>
                <w:sz w:val="20"/>
                <w:szCs w:val="20"/>
                <w:color w:val="auto"/>
              </w:rPr>
            </w:pPr>
            <w:r>
              <w:rPr>
                <w:rFonts w:ascii="Arial" w:cs="Arial" w:eastAsia="Arial" w:hAnsi="Arial"/>
                <w:sz w:val="14"/>
                <w:szCs w:val="14"/>
                <w:color w:val="auto"/>
              </w:rPr>
              <w:t>Balance at June 30, 2023</w:t>
            </w:r>
          </w:p>
        </w:tc>
        <w:tc>
          <w:tcPr>
            <w:tcW w:w="4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98"/>
              </w:rPr>
              <w:t>136,105</w:t>
            </w:r>
          </w:p>
        </w:tc>
      </w:tr>
      <w:tr>
        <w:trPr>
          <w:trHeight w:val="20"/>
        </w:trPr>
        <w:tc>
          <w:tcPr>
            <w:tcW w:w="5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9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August 2022, our Board authorized a common share repurchase program to repurchase up to 5.0% of our total common shares which are issued and outstanding, or 685,614 common shares, over a twelve month period. See Note 11 – Share Repurchase Programs to the notes to the unaudited consolidated financial statements included in Item 1 of this quarterly report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w:t>
      </w:r>
    </w:p>
    <w:p>
      <w:pPr>
        <w:spacing w:after="0" w:line="25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June 30, 2023,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2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June 30, 2023, we had outstanding letters of credit of $0.3 million under the U.S. facility, zero under the Australian facility and $1.1 million under the Canadian facility. We also had outstanding bank guarantees of A$0.8 million under the Australian facility.</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7 – Debt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5"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9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preferred shares we issued in the Noralta acquisition were entitled to receive a 2% annual dividend on the liquidation preference (initially $10,000 per share), paid quarterly in cash or, at our option, by increasing the preferred shares’ liquidation preference, or any combination thereof. Following the repurchase and conversion of our outstanding preferred shares in the fourth quarter of 2022, no further dividends on the preferred shares will be paid.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2022.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principal market risks are our exposure to changes in interest rates and foreign currency exchange rates.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June 30, 2023, we had $136.1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$1.4 million annually, based on our floating-rate debt obligations and interest rates in effect as of June 30, 2023.</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29"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C$186 million and A$217 million, respectively, at June 30, 2023. We use a sensitivity analysis model to measure the impact of a 10% adverse movement of foreign currency exchange rates against the U.S. dollar. A hypothetical 10% adverse change in the value of the Canadian dollar and Australian dollar relative to the U.S. dollar as of June 30, 2023 would result in translation adjustments of approximately $19 million and $22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9"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2023,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During the three months ended June 30, 2023,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0"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ind w:right="100" w:firstLine="314"/>
        <w:spacing w:after="0" w:line="280"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29"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For additional information about our risk factors, you should carefully read the section entitled "Risk Factors” included in our Annual Report on Form 10-K for the year ended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purchases of our common shares during the three months ended June 30, 2023.</w:t>
      </w:r>
    </w:p>
    <w:p>
      <w:pPr>
        <w:spacing w:after="0" w:line="26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20" w:type="dxa"/>
            <w:vAlign w:val="bottom"/>
          </w:tcPr>
          <w:p>
            <w:pPr>
              <w:jc w:val="center"/>
              <w:ind w:left="82"/>
              <w:spacing w:after="0"/>
              <w:rPr>
                <w:sz w:val="20"/>
                <w:szCs w:val="20"/>
                <w:color w:val="auto"/>
              </w:rPr>
            </w:pPr>
            <w:r>
              <w:rPr>
                <w:rFonts w:ascii="Arial" w:cs="Arial" w:eastAsia="Arial" w:hAnsi="Arial"/>
                <w:sz w:val="16"/>
                <w:szCs w:val="16"/>
                <w:b w:val="1"/>
                <w:bCs w:val="1"/>
                <w:color w:val="auto"/>
                <w:w w:val="87"/>
              </w:rPr>
              <w:t>Total number of shares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Maximum 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38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Total Number of</w:t>
            </w:r>
          </w:p>
        </w:tc>
        <w:tc>
          <w:tcPr>
            <w:tcW w:w="420" w:type="dxa"/>
            <w:vAlign w:val="bottom"/>
          </w:tcPr>
          <w:p>
            <w:pPr>
              <w:spacing w:after="0"/>
              <w:rPr>
                <w:sz w:val="13"/>
                <w:szCs w:val="13"/>
                <w:color w:val="auto"/>
              </w:rPr>
            </w:pPr>
          </w:p>
        </w:tc>
        <w:tc>
          <w:tcPr>
            <w:tcW w:w="15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86"/>
              </w:rPr>
              <w:t>Average Price Paid</w:t>
            </w:r>
          </w:p>
        </w:tc>
        <w:tc>
          <w:tcPr>
            <w:tcW w:w="2020" w:type="dxa"/>
            <w:vAlign w:val="bottom"/>
          </w:tcPr>
          <w:p>
            <w:pPr>
              <w:jc w:val="center"/>
              <w:ind w:left="82"/>
              <w:spacing w:after="0" w:line="157" w:lineRule="exact"/>
              <w:rPr>
                <w:sz w:val="20"/>
                <w:szCs w:val="20"/>
                <w:color w:val="auto"/>
              </w:rPr>
            </w:pPr>
            <w:r>
              <w:rPr>
                <w:rFonts w:ascii="Arial" w:cs="Arial" w:eastAsia="Arial" w:hAnsi="Arial"/>
                <w:sz w:val="16"/>
                <w:szCs w:val="16"/>
                <w:b w:val="1"/>
                <w:bCs w:val="1"/>
                <w:color w:val="auto"/>
                <w:w w:val="87"/>
              </w:rPr>
              <w:t>purchased as part of</w:t>
            </w:r>
          </w:p>
        </w:tc>
        <w:tc>
          <w:tcPr>
            <w:tcW w:w="16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shares that may be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2020" w:type="dxa"/>
            <w:vAlign w:val="bottom"/>
          </w:tcPr>
          <w:p>
            <w:pPr>
              <w:jc w:val="center"/>
              <w:ind w:left="82"/>
              <w:spacing w:after="0" w:line="157" w:lineRule="exact"/>
              <w:rPr>
                <w:sz w:val="20"/>
                <w:szCs w:val="20"/>
                <w:color w:val="auto"/>
              </w:rPr>
            </w:pPr>
            <w:r>
              <w:rPr>
                <w:rFonts w:ascii="Arial" w:cs="Arial" w:eastAsia="Arial" w:hAnsi="Arial"/>
                <w:sz w:val="16"/>
                <w:szCs w:val="16"/>
                <w:b w:val="1"/>
                <w:bCs w:val="1"/>
                <w:color w:val="auto"/>
                <w:w w:val="86"/>
              </w:rPr>
              <w:t>publicly announced plans</w:t>
            </w:r>
          </w:p>
        </w:tc>
        <w:tc>
          <w:tcPr>
            <w:tcW w:w="16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7"/>
              </w:rPr>
              <w:t>purchased under the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2380" w:type="dxa"/>
            <w:vAlign w:val="bottom"/>
          </w:tcPr>
          <w:p>
            <w:pPr>
              <w:jc w:val="right"/>
              <w:ind w:right="262"/>
              <w:spacing w:after="0"/>
              <w:rPr>
                <w:sz w:val="20"/>
                <w:szCs w:val="20"/>
                <w:color w:val="auto"/>
              </w:rPr>
            </w:pPr>
            <w:r>
              <w:rPr>
                <w:rFonts w:ascii="Arial" w:cs="Arial" w:eastAsia="Arial" w:hAnsi="Arial"/>
                <w:sz w:val="16"/>
                <w:szCs w:val="16"/>
                <w:b w:val="1"/>
                <w:bCs w:val="1"/>
                <w:color w:val="auto"/>
              </w:rPr>
              <w:t>Shares Purchased</w:t>
            </w:r>
          </w:p>
        </w:tc>
        <w:tc>
          <w:tcPr>
            <w:tcW w:w="420" w:type="dxa"/>
            <w:vAlign w:val="bottom"/>
          </w:tcPr>
          <w:p>
            <w:pPr>
              <w:spacing w:after="0"/>
              <w:rPr>
                <w:sz w:val="17"/>
                <w:szCs w:val="17"/>
                <w:color w:val="auto"/>
              </w:rPr>
            </w:pPr>
          </w:p>
        </w:tc>
        <w:tc>
          <w:tcPr>
            <w:tcW w:w="1540" w:type="dxa"/>
            <w:vAlign w:val="bottom"/>
          </w:tcPr>
          <w:p>
            <w:pPr>
              <w:jc w:val="right"/>
              <w:ind w:right="502"/>
              <w:spacing w:after="0"/>
              <w:rPr>
                <w:sz w:val="20"/>
                <w:szCs w:val="20"/>
                <w:color w:val="auto"/>
              </w:rPr>
            </w:pPr>
            <w:r>
              <w:rPr>
                <w:rFonts w:ascii="Arial" w:cs="Arial" w:eastAsia="Arial" w:hAnsi="Arial"/>
                <w:sz w:val="16"/>
                <w:szCs w:val="16"/>
                <w:b w:val="1"/>
                <w:bCs w:val="1"/>
                <w:color w:val="auto"/>
              </w:rPr>
              <w:t>per Share</w:t>
            </w:r>
          </w:p>
        </w:tc>
        <w:tc>
          <w:tcPr>
            <w:tcW w:w="2020" w:type="dxa"/>
            <w:vAlign w:val="bottom"/>
          </w:tcPr>
          <w:p>
            <w:pPr>
              <w:jc w:val="center"/>
              <w:ind w:left="62"/>
              <w:spacing w:after="0"/>
              <w:rPr>
                <w:sz w:val="20"/>
                <w:szCs w:val="20"/>
                <w:color w:val="auto"/>
              </w:rPr>
            </w:pPr>
            <w:r>
              <w:rPr>
                <w:rFonts w:ascii="Arial" w:cs="Arial" w:eastAsia="Arial" w:hAnsi="Arial"/>
                <w:sz w:val="16"/>
                <w:szCs w:val="16"/>
                <w:b w:val="1"/>
                <w:bCs w:val="1"/>
                <w:color w:val="auto"/>
                <w:w w:val="89"/>
              </w:rPr>
              <w:t>or programs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plans or programs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2023 - April 30, 2023</w:t>
            </w:r>
          </w:p>
        </w:tc>
        <w:tc>
          <w:tcPr>
            <w:tcW w:w="238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516,958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6"/>
                <w:szCs w:val="16"/>
                <w:color w:val="auto"/>
              </w:rPr>
              <w:t>May 1, 2023 - May 31, 2023</w:t>
            </w:r>
          </w:p>
        </w:tc>
        <w:tc>
          <w:tcPr>
            <w:tcW w:w="2380" w:type="dxa"/>
            <w:vAlign w:val="bottom"/>
          </w:tcPr>
          <w:p>
            <w:pPr>
              <w:jc w:val="right"/>
              <w:ind w:right="262"/>
              <w:spacing w:after="0"/>
              <w:rPr>
                <w:sz w:val="20"/>
                <w:szCs w:val="20"/>
                <w:color w:val="auto"/>
              </w:rPr>
            </w:pPr>
            <w:r>
              <w:rPr>
                <w:rFonts w:ascii="Arial" w:cs="Arial" w:eastAsia="Arial" w:hAnsi="Arial"/>
                <w:sz w:val="16"/>
                <w:szCs w:val="16"/>
                <w:color w:val="auto"/>
              </w:rPr>
              <w:t>97,420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42"/>
              <w:spacing w:after="0"/>
              <w:rPr>
                <w:sz w:val="20"/>
                <w:szCs w:val="20"/>
                <w:color w:val="auto"/>
              </w:rPr>
            </w:pPr>
            <w:r>
              <w:rPr>
                <w:rFonts w:ascii="Arial" w:cs="Arial" w:eastAsia="Arial" w:hAnsi="Arial"/>
                <w:sz w:val="16"/>
                <w:szCs w:val="16"/>
                <w:color w:val="auto"/>
              </w:rPr>
              <w:t>20.11</w:t>
            </w:r>
          </w:p>
        </w:tc>
        <w:tc>
          <w:tcPr>
            <w:tcW w:w="2020" w:type="dxa"/>
            <w:vAlign w:val="bottom"/>
          </w:tcPr>
          <w:p>
            <w:pPr>
              <w:ind w:left="17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419,538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2023 - June 30, 2023</w:t>
            </w:r>
          </w:p>
        </w:tc>
        <w:tc>
          <w:tcPr>
            <w:tcW w:w="238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114,802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19.45</w:t>
            </w:r>
          </w:p>
        </w:tc>
        <w:tc>
          <w:tcPr>
            <w:tcW w:w="202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rPr>
                <w:sz w:val="20"/>
                <w:szCs w:val="20"/>
                <w:color w:val="auto"/>
              </w:rPr>
            </w:pPr>
            <w:r>
              <w:rPr>
                <w:rFonts w:ascii="Arial" w:cs="Arial" w:eastAsia="Arial" w:hAnsi="Arial"/>
                <w:sz w:val="16"/>
                <w:szCs w:val="16"/>
                <w:color w:val="auto"/>
              </w:rPr>
              <w:t>Total</w:t>
            </w:r>
          </w:p>
        </w:tc>
        <w:tc>
          <w:tcPr>
            <w:tcW w:w="2380" w:type="dxa"/>
            <w:vAlign w:val="bottom"/>
          </w:tcPr>
          <w:p>
            <w:pPr>
              <w:jc w:val="right"/>
              <w:ind w:right="262"/>
              <w:spacing w:after="0"/>
              <w:rPr>
                <w:sz w:val="20"/>
                <w:szCs w:val="20"/>
                <w:color w:val="auto"/>
              </w:rPr>
            </w:pPr>
            <w:r>
              <w:rPr>
                <w:rFonts w:ascii="Arial" w:cs="Arial" w:eastAsia="Arial" w:hAnsi="Arial"/>
                <w:sz w:val="16"/>
                <w:szCs w:val="16"/>
                <w:color w:val="auto"/>
              </w:rPr>
              <w:t>212,222</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42"/>
              <w:spacing w:after="0"/>
              <w:rPr>
                <w:sz w:val="20"/>
                <w:szCs w:val="20"/>
                <w:color w:val="auto"/>
              </w:rPr>
            </w:pPr>
            <w:r>
              <w:rPr>
                <w:rFonts w:ascii="Arial" w:cs="Arial" w:eastAsia="Arial" w:hAnsi="Arial"/>
                <w:sz w:val="16"/>
                <w:szCs w:val="16"/>
                <w:color w:val="auto"/>
              </w:rPr>
              <w:t>19.75</w:t>
            </w:r>
          </w:p>
        </w:tc>
        <w:tc>
          <w:tcPr>
            <w:tcW w:w="2020" w:type="dxa"/>
            <w:vAlign w:val="bottom"/>
          </w:tcPr>
          <w:p>
            <w:pPr>
              <w:ind w:left="17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304,736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left="320" w:right="100" w:hanging="315"/>
        <w:spacing w:after="0" w:line="234"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 August 2022, our Board authorized a common share repurchase program, which expires August 2023, to repurchase up to 5.0% of our total common shares which are issued and outstanding, or approximately 685,000 common shares over a twelve month period. We repurchased an aggregate of 212,222 of our common shares outstanding for approximately $4.2 million during the three months ended June 30, 2023.</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255" w:lineRule="exact"/>
        <w:rPr>
          <w:sz w:val="20"/>
          <w:szCs w:val="20"/>
          <w:color w:val="auto"/>
        </w:rPr>
      </w:pPr>
    </w:p>
    <w:p>
      <w:pPr>
        <w:ind w:left="640" w:hanging="479"/>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INDEX OF EXHIBITS</w:t>
      </w:r>
    </w:p>
    <w:p>
      <w:pPr>
        <w:spacing w:after="0" w:line="47" w:lineRule="exact"/>
        <w:rPr>
          <w:sz w:val="20"/>
          <w:szCs w:val="20"/>
          <w:color w:val="auto"/>
        </w:rPr>
      </w:pPr>
    </w:p>
    <w:p>
      <w:pPr>
        <w:ind w:left="480"/>
        <w:spacing w:after="0"/>
        <w:tabs>
          <w:tab w:leader="none" w:pos="5500" w:val="left"/>
        </w:tabs>
        <w:rPr>
          <w:sz w:val="20"/>
          <w:szCs w:val="20"/>
          <w:color w:val="auto"/>
        </w:rPr>
      </w:pPr>
      <w:r>
        <w:rPr>
          <w:rFonts w:ascii="Arial" w:cs="Arial" w:eastAsia="Arial" w:hAnsi="Arial"/>
          <w:sz w:val="17"/>
          <w:szCs w:val="17"/>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960" w:type="dxa"/>
            <w:vAlign w:val="bottom"/>
          </w:tcPr>
          <w:p>
            <w:pPr>
              <w:spacing w:after="0"/>
              <w:rPr>
                <w:sz w:val="20"/>
                <w:szCs w:val="20"/>
                <w:color w:val="auto"/>
              </w:rPr>
            </w:pPr>
            <w:r>
              <w:rPr>
                <w:rFonts w:ascii="Arial" w:cs="Arial" w:eastAsia="Arial" w:hAnsi="Arial"/>
                <w:sz w:val="17"/>
                <w:szCs w:val="17"/>
                <w:color w:val="auto"/>
              </w:rPr>
              <w:t>10.1†</w:t>
            </w:r>
          </w:p>
        </w:tc>
        <w:tc>
          <w:tcPr>
            <w:tcW w:w="8720" w:type="dxa"/>
            <w:vAlign w:val="bottom"/>
            <w:gridSpan w:val="6"/>
          </w:tcPr>
          <w:p>
            <w:pPr>
              <w:ind w:left="220"/>
              <w:spacing w:after="0"/>
              <w:rPr>
                <w:rFonts w:ascii="Arial" w:cs="Arial" w:eastAsia="Arial" w:hAnsi="Arial"/>
                <w:sz w:val="17"/>
                <w:szCs w:val="17"/>
                <w:color w:val="auto"/>
                <w:w w:val="97"/>
              </w:rPr>
            </w:pPr>
            <w:r>
              <w:rPr>
                <w:rFonts w:ascii="Arial" w:cs="Arial" w:eastAsia="Arial" w:hAnsi="Arial"/>
                <w:sz w:val="17"/>
                <w:szCs w:val="17"/>
                <w:color w:val="auto"/>
                <w:w w:val="97"/>
              </w:rPr>
              <w:t xml:space="preserve">—  </w:t>
            </w:r>
            <w:hyperlink r:id="rId56">
              <w:r>
                <w:rPr>
                  <w:rFonts w:ascii="Arial" w:cs="Arial" w:eastAsia="Arial" w:hAnsi="Arial"/>
                  <w:sz w:val="17"/>
                  <w:szCs w:val="17"/>
                  <w:color w:val="0000FF"/>
                  <w:w w:val="97"/>
                </w:rPr>
                <w:t>Amended and Restated 2014 Equity Participation Plan of Civeo Corporation, as amended by Amendment No. 1,</w:t>
              </w:r>
            </w:hyperlink>
          </w:p>
        </w:tc>
      </w:tr>
      <w:tr>
        <w:trPr>
          <w:trHeight w:val="150"/>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w w:val="96"/>
              </w:rPr>
            </w:pPr>
            <w:hyperlink r:id="rId56">
              <w:r>
                <w:rPr>
                  <w:rFonts w:ascii="Arial" w:cs="Arial" w:eastAsia="Arial" w:hAnsi="Arial"/>
                  <w:sz w:val="17"/>
                  <w:szCs w:val="17"/>
                  <w:color w:val="0000FF"/>
                  <w:w w:val="96"/>
                </w:rPr>
                <w:t>Amendment No. 2, Amendment No. 3 and Amendment No. 4 (incorporated by reference to Appendix B to Civeo</w:t>
              </w:r>
            </w:hyperlink>
          </w:p>
        </w:tc>
        <w:tc>
          <w:tcPr>
            <w:tcW w:w="20" w:type="dxa"/>
            <w:vAlign w:val="bottom"/>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120" w:type="dxa"/>
            <w:vAlign w:val="bottom"/>
            <w:gridSpan w:val="4"/>
          </w:tcPr>
          <w:p>
            <w:pPr>
              <w:spacing w:after="0" w:line="150" w:lineRule="exact"/>
              <w:rPr>
                <w:rFonts w:ascii="Arial" w:cs="Arial" w:eastAsia="Arial" w:hAnsi="Arial"/>
                <w:sz w:val="17"/>
                <w:szCs w:val="17"/>
                <w:color w:val="0000FF"/>
              </w:rPr>
            </w:pPr>
            <w:hyperlink r:id="rId56">
              <w:r>
                <w:rPr>
                  <w:rFonts w:ascii="Arial" w:cs="Arial" w:eastAsia="Arial" w:hAnsi="Arial"/>
                  <w:sz w:val="17"/>
                  <w:szCs w:val="17"/>
                  <w:color w:val="0000FF"/>
                </w:rPr>
                <w:t>Corporation’s Schedule 14A filed on March 31, 2023).</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346"/>
        </w:trPr>
        <w:tc>
          <w:tcPr>
            <w:tcW w:w="960" w:type="dxa"/>
            <w:vAlign w:val="bottom"/>
          </w:tcPr>
          <w:p>
            <w:pPr>
              <w:spacing w:after="0"/>
              <w:rPr>
                <w:sz w:val="20"/>
                <w:szCs w:val="20"/>
                <w:color w:val="auto"/>
              </w:rPr>
            </w:pPr>
            <w:r>
              <w:rPr>
                <w:rFonts w:ascii="Arial" w:cs="Arial" w:eastAsia="Arial" w:hAnsi="Arial"/>
                <w:sz w:val="17"/>
                <w:szCs w:val="17"/>
                <w:color w:val="auto"/>
              </w:rPr>
              <w:t>31.1*</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w w:val="98"/>
              </w:rPr>
              <w:t xml:space="preserve">—  </w:t>
            </w:r>
            <w:r>
              <w:rPr>
                <w:rFonts w:ascii="Arial" w:cs="Arial" w:eastAsia="Arial" w:hAnsi="Arial"/>
                <w:sz w:val="17"/>
                <w:szCs w:val="17"/>
                <w:color w:val="0000FF"/>
                <w:w w:val="98"/>
              </w:rPr>
              <w:t>Certification of Chief Executive Officer of Civeo Corporation pursuant to Rules 13a-14(a) or 15d-14(a) under the</w:t>
            </w:r>
          </w:p>
        </w:tc>
      </w:tr>
      <w:tr>
        <w:trPr>
          <w:trHeight w:val="163"/>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120" w:type="dxa"/>
            <w:vAlign w:val="bottom"/>
            <w:tcBorders>
              <w:top w:val="single" w:sz="8" w:color="0000FF"/>
            </w:tcBorders>
            <w:gridSpan w:val="4"/>
          </w:tcPr>
          <w:p>
            <w:pPr>
              <w:spacing w:after="0" w:line="163" w:lineRule="exact"/>
              <w:rPr>
                <w:sz w:val="20"/>
                <w:szCs w:val="20"/>
                <w:color w:val="auto"/>
              </w:rPr>
            </w:pPr>
            <w:r>
              <w:rPr>
                <w:rFonts w:ascii="Arial" w:cs="Arial" w:eastAsia="Arial" w:hAnsi="Arial"/>
                <w:sz w:val="17"/>
                <w:szCs w:val="17"/>
                <w:color w:val="0000FF"/>
              </w:rPr>
              <w:t>Securities Exchange Act of 1934.</w:t>
            </w: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424"/>
        </w:trPr>
        <w:tc>
          <w:tcPr>
            <w:tcW w:w="960" w:type="dxa"/>
            <w:vAlign w:val="bottom"/>
          </w:tcPr>
          <w:p>
            <w:pPr>
              <w:spacing w:after="0"/>
              <w:rPr>
                <w:sz w:val="20"/>
                <w:szCs w:val="20"/>
                <w:color w:val="auto"/>
              </w:rPr>
            </w:pPr>
            <w:r>
              <w:rPr>
                <w:rFonts w:ascii="Arial" w:cs="Arial" w:eastAsia="Arial" w:hAnsi="Arial"/>
                <w:sz w:val="17"/>
                <w:szCs w:val="17"/>
                <w:color w:val="auto"/>
              </w:rPr>
              <w:t>31.2*</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w w:val="98"/>
              </w:rPr>
              <w:t xml:space="preserve">—  </w:t>
            </w:r>
            <w:r>
              <w:rPr>
                <w:rFonts w:ascii="Arial" w:cs="Arial" w:eastAsia="Arial" w:hAnsi="Arial"/>
                <w:sz w:val="17"/>
                <w:szCs w:val="17"/>
                <w:color w:val="0000FF"/>
                <w:w w:val="98"/>
              </w:rPr>
              <w:t>Certification of Chief Financial Officer of Civeo Corporation pursuant to Rules 13a-14(a) or 15d-14(a) under the</w:t>
            </w:r>
          </w:p>
        </w:tc>
      </w:tr>
      <w:tr>
        <w:trPr>
          <w:trHeight w:val="163"/>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120" w:type="dxa"/>
            <w:vAlign w:val="bottom"/>
            <w:tcBorders>
              <w:top w:val="single" w:sz="8" w:color="0000FF"/>
            </w:tcBorders>
            <w:gridSpan w:val="4"/>
          </w:tcPr>
          <w:p>
            <w:pPr>
              <w:spacing w:after="0" w:line="163" w:lineRule="exact"/>
              <w:rPr>
                <w:sz w:val="20"/>
                <w:szCs w:val="20"/>
                <w:color w:val="auto"/>
              </w:rPr>
            </w:pPr>
            <w:r>
              <w:rPr>
                <w:rFonts w:ascii="Arial" w:cs="Arial" w:eastAsia="Arial" w:hAnsi="Arial"/>
                <w:sz w:val="17"/>
                <w:szCs w:val="17"/>
                <w:color w:val="0000FF"/>
              </w:rPr>
              <w:t>Securities Exchange Act of 1934.</w:t>
            </w: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424"/>
        </w:trPr>
        <w:tc>
          <w:tcPr>
            <w:tcW w:w="960" w:type="dxa"/>
            <w:vAlign w:val="bottom"/>
          </w:tcPr>
          <w:p>
            <w:pPr>
              <w:spacing w:after="0"/>
              <w:rPr>
                <w:sz w:val="20"/>
                <w:szCs w:val="20"/>
                <w:color w:val="auto"/>
              </w:rPr>
            </w:pPr>
            <w:r>
              <w:rPr>
                <w:rFonts w:ascii="Arial" w:cs="Arial" w:eastAsia="Arial" w:hAnsi="Arial"/>
                <w:sz w:val="17"/>
                <w:szCs w:val="17"/>
                <w:color w:val="auto"/>
              </w:rPr>
              <w:t>32.1**</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w w:val="98"/>
              </w:rPr>
              <w:t xml:space="preserve">—  </w:t>
            </w:r>
            <w:r>
              <w:rPr>
                <w:rFonts w:ascii="Arial" w:cs="Arial" w:eastAsia="Arial" w:hAnsi="Arial"/>
                <w:sz w:val="17"/>
                <w:szCs w:val="17"/>
                <w:color w:val="0000FF"/>
                <w:w w:val="98"/>
              </w:rPr>
              <w:t>Certification of Chief Executive Officer of Civeo Corporation pursuant to Rules 13a-14(b) or 15d-14(b) under the</w:t>
            </w:r>
          </w:p>
        </w:tc>
      </w:tr>
      <w:tr>
        <w:trPr>
          <w:trHeight w:val="163"/>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3"/>
          </w:tcPr>
          <w:p>
            <w:pPr>
              <w:spacing w:after="0" w:line="163" w:lineRule="exact"/>
              <w:rPr>
                <w:sz w:val="20"/>
                <w:szCs w:val="20"/>
                <w:color w:val="auto"/>
              </w:rPr>
            </w:pPr>
            <w:r>
              <w:rPr>
                <w:rFonts w:ascii="Arial" w:cs="Arial" w:eastAsia="Arial" w:hAnsi="Arial"/>
                <w:sz w:val="17"/>
                <w:szCs w:val="17"/>
                <w:color w:val="0000FF"/>
                <w:w w:val="92"/>
              </w:rPr>
              <w:t>Securities Exchange Act of 1934 and 18 U.S.C. Section 1350.</w:t>
            </w:r>
          </w:p>
        </w:tc>
        <w:tc>
          <w:tcPr>
            <w:tcW w:w="38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424"/>
        </w:trPr>
        <w:tc>
          <w:tcPr>
            <w:tcW w:w="960" w:type="dxa"/>
            <w:vAlign w:val="bottom"/>
          </w:tcPr>
          <w:p>
            <w:pPr>
              <w:spacing w:after="0"/>
              <w:rPr>
                <w:sz w:val="20"/>
                <w:szCs w:val="20"/>
                <w:color w:val="auto"/>
              </w:rPr>
            </w:pPr>
            <w:r>
              <w:rPr>
                <w:rFonts w:ascii="Arial" w:cs="Arial" w:eastAsia="Arial" w:hAnsi="Arial"/>
                <w:sz w:val="17"/>
                <w:szCs w:val="17"/>
                <w:color w:val="auto"/>
              </w:rPr>
              <w:t>32.2**</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w w:val="98"/>
              </w:rPr>
              <w:t xml:space="preserve">—  </w:t>
            </w:r>
            <w:r>
              <w:rPr>
                <w:rFonts w:ascii="Arial" w:cs="Arial" w:eastAsia="Arial" w:hAnsi="Arial"/>
                <w:sz w:val="17"/>
                <w:szCs w:val="17"/>
                <w:color w:val="0000FF"/>
                <w:w w:val="98"/>
              </w:rPr>
              <w:t>Certification of Chief Financial Officer of Civeo Corporation pursuant to Rules 13a-14(b) or 15d-14(b) under the</w:t>
            </w:r>
          </w:p>
        </w:tc>
      </w:tr>
      <w:tr>
        <w:trPr>
          <w:trHeight w:val="163"/>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3"/>
          </w:tcPr>
          <w:p>
            <w:pPr>
              <w:spacing w:after="0" w:line="163" w:lineRule="exact"/>
              <w:rPr>
                <w:sz w:val="20"/>
                <w:szCs w:val="20"/>
                <w:color w:val="auto"/>
              </w:rPr>
            </w:pPr>
            <w:r>
              <w:rPr>
                <w:rFonts w:ascii="Arial" w:cs="Arial" w:eastAsia="Arial" w:hAnsi="Arial"/>
                <w:sz w:val="17"/>
                <w:szCs w:val="17"/>
                <w:color w:val="0000FF"/>
                <w:w w:val="92"/>
              </w:rPr>
              <w:t>Securities Exchange Act of 1934 and 18 U.S.C. Section 1350.</w:t>
            </w:r>
          </w:p>
        </w:tc>
        <w:tc>
          <w:tcPr>
            <w:tcW w:w="38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425"/>
        </w:trPr>
        <w:tc>
          <w:tcPr>
            <w:tcW w:w="960" w:type="dxa"/>
            <w:vAlign w:val="bottom"/>
          </w:tcPr>
          <w:p>
            <w:pPr>
              <w:spacing w:after="0"/>
              <w:rPr>
                <w:sz w:val="20"/>
                <w:szCs w:val="20"/>
                <w:color w:val="auto"/>
              </w:rPr>
            </w:pPr>
            <w:r>
              <w:rPr>
                <w:rFonts w:ascii="Arial" w:cs="Arial" w:eastAsia="Arial" w:hAnsi="Arial"/>
                <w:sz w:val="17"/>
                <w:szCs w:val="17"/>
                <w:color w:val="auto"/>
              </w:rPr>
              <w:t>101.INS*</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w w:val="97"/>
              </w:rPr>
              <w:t>—  Inline XBRL Instance Document - the instance document does not appear in the Interactive Data File because its</w:t>
            </w:r>
          </w:p>
        </w:tc>
      </w:tr>
      <w:tr>
        <w:trPr>
          <w:trHeight w:val="221"/>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Arial" w:cs="Arial" w:eastAsia="Arial" w:hAnsi="Arial"/>
                <w:sz w:val="17"/>
                <w:szCs w:val="17"/>
                <w:color w:val="auto"/>
              </w:rPr>
              <w:t>XBRL tags are embedded within the Inline XBRL document</w:t>
            </w:r>
          </w:p>
        </w:tc>
      </w:tr>
      <w:tr>
        <w:trPr>
          <w:trHeight w:val="444"/>
        </w:trPr>
        <w:tc>
          <w:tcPr>
            <w:tcW w:w="960" w:type="dxa"/>
            <w:vAlign w:val="bottom"/>
          </w:tcPr>
          <w:p>
            <w:pPr>
              <w:spacing w:after="0"/>
              <w:rPr>
                <w:sz w:val="20"/>
                <w:szCs w:val="20"/>
                <w:color w:val="auto"/>
              </w:rPr>
            </w:pPr>
            <w:r>
              <w:rPr>
                <w:rFonts w:ascii="Arial" w:cs="Arial" w:eastAsia="Arial" w:hAnsi="Arial"/>
                <w:sz w:val="17"/>
                <w:szCs w:val="17"/>
                <w:color w:val="auto"/>
              </w:rPr>
              <w:t>101.SCH*</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rPr>
              <w:t>—  Inline XBRL Taxonomy Extension Schema Document</w:t>
            </w:r>
          </w:p>
        </w:tc>
      </w:tr>
      <w:tr>
        <w:trPr>
          <w:trHeight w:val="457"/>
        </w:trPr>
        <w:tc>
          <w:tcPr>
            <w:tcW w:w="960" w:type="dxa"/>
            <w:vAlign w:val="bottom"/>
          </w:tcPr>
          <w:p>
            <w:pPr>
              <w:spacing w:after="0"/>
              <w:rPr>
                <w:sz w:val="20"/>
                <w:szCs w:val="20"/>
                <w:color w:val="auto"/>
              </w:rPr>
            </w:pPr>
            <w:r>
              <w:rPr>
                <w:rFonts w:ascii="Arial" w:cs="Arial" w:eastAsia="Arial" w:hAnsi="Arial"/>
                <w:sz w:val="17"/>
                <w:szCs w:val="17"/>
                <w:color w:val="auto"/>
              </w:rPr>
              <w:t>101.CAL*</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rPr>
              <w:t>—  Inline XBRL Taxonomy Extension Calculation Linkbase Document</w:t>
            </w:r>
          </w:p>
        </w:tc>
      </w:tr>
      <w:tr>
        <w:trPr>
          <w:trHeight w:val="457"/>
        </w:trPr>
        <w:tc>
          <w:tcPr>
            <w:tcW w:w="960" w:type="dxa"/>
            <w:vAlign w:val="bottom"/>
          </w:tcPr>
          <w:p>
            <w:pPr>
              <w:spacing w:after="0"/>
              <w:rPr>
                <w:sz w:val="20"/>
                <w:szCs w:val="20"/>
                <w:color w:val="auto"/>
              </w:rPr>
            </w:pPr>
            <w:r>
              <w:rPr>
                <w:rFonts w:ascii="Arial" w:cs="Arial" w:eastAsia="Arial" w:hAnsi="Arial"/>
                <w:sz w:val="17"/>
                <w:szCs w:val="17"/>
                <w:color w:val="auto"/>
              </w:rPr>
              <w:t>101.DEF*</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rPr>
              <w:t>—  Inline Taxonomy Extension Definition Linkbase Document</w:t>
            </w:r>
          </w:p>
        </w:tc>
      </w:tr>
      <w:tr>
        <w:trPr>
          <w:trHeight w:val="444"/>
        </w:trPr>
        <w:tc>
          <w:tcPr>
            <w:tcW w:w="960" w:type="dxa"/>
            <w:vAlign w:val="bottom"/>
          </w:tcPr>
          <w:p>
            <w:pPr>
              <w:spacing w:after="0"/>
              <w:rPr>
                <w:sz w:val="20"/>
                <w:szCs w:val="20"/>
                <w:color w:val="auto"/>
              </w:rPr>
            </w:pPr>
            <w:r>
              <w:rPr>
                <w:rFonts w:ascii="Arial" w:cs="Arial" w:eastAsia="Arial" w:hAnsi="Arial"/>
                <w:sz w:val="17"/>
                <w:szCs w:val="17"/>
                <w:color w:val="auto"/>
              </w:rPr>
              <w:t>101.LAB*</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rPr>
              <w:t>—  Inline XBRL Taxonomy Extension Label Linkbase Document</w:t>
            </w:r>
          </w:p>
        </w:tc>
      </w:tr>
      <w:tr>
        <w:trPr>
          <w:trHeight w:val="457"/>
        </w:trPr>
        <w:tc>
          <w:tcPr>
            <w:tcW w:w="960" w:type="dxa"/>
            <w:vAlign w:val="bottom"/>
          </w:tcPr>
          <w:p>
            <w:pPr>
              <w:spacing w:after="0"/>
              <w:rPr>
                <w:sz w:val="20"/>
                <w:szCs w:val="20"/>
                <w:color w:val="auto"/>
              </w:rPr>
            </w:pPr>
            <w:r>
              <w:rPr>
                <w:rFonts w:ascii="Arial" w:cs="Arial" w:eastAsia="Arial" w:hAnsi="Arial"/>
                <w:sz w:val="17"/>
                <w:szCs w:val="17"/>
                <w:color w:val="auto"/>
              </w:rPr>
              <w:t>101.PRE*</w:t>
            </w:r>
          </w:p>
        </w:tc>
        <w:tc>
          <w:tcPr>
            <w:tcW w:w="8720" w:type="dxa"/>
            <w:vAlign w:val="bottom"/>
            <w:gridSpan w:val="6"/>
          </w:tcPr>
          <w:p>
            <w:pPr>
              <w:ind w:left="220"/>
              <w:spacing w:after="0"/>
              <w:rPr>
                <w:sz w:val="20"/>
                <w:szCs w:val="20"/>
                <w:color w:val="auto"/>
              </w:rPr>
            </w:pPr>
            <w:r>
              <w:rPr>
                <w:rFonts w:ascii="Arial" w:cs="Arial" w:eastAsia="Arial" w:hAnsi="Arial"/>
                <w:sz w:val="17"/>
                <w:szCs w:val="17"/>
                <w:color w:val="auto"/>
              </w:rPr>
              <w:t>—  Inline XBRL Taxonomy Extension Presentation Linkbase Document</w:t>
            </w:r>
          </w:p>
        </w:tc>
      </w:tr>
    </w:tbl>
    <w:p>
      <w:pPr>
        <w:spacing w:after="0" w:line="249" w:lineRule="exact"/>
        <w:rPr>
          <w:sz w:val="20"/>
          <w:szCs w:val="20"/>
          <w:color w:val="auto"/>
        </w:rPr>
      </w:pPr>
    </w:p>
    <w:p>
      <w:pPr>
        <w:ind w:left="1520" w:hanging="1184"/>
        <w:spacing w:after="0"/>
        <w:tabs>
          <w:tab w:leader="none" w:pos="15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  Cover Page Interactive Data File (formatted as Inline XBRL and contained in Exhibit 101)</w:t>
      </w:r>
    </w:p>
    <w:p>
      <w:pPr>
        <w:spacing w:after="0" w:line="10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Filed herewith.</w:t>
      </w:r>
    </w:p>
    <w:p>
      <w:pPr>
        <w:spacing w:after="0" w:line="39" w:lineRule="exact"/>
        <w:rPr>
          <w:rFonts w:ascii="Arial" w:cs="Arial" w:eastAsia="Arial" w:hAnsi="Arial"/>
          <w:sz w:val="17"/>
          <w:szCs w:val="17"/>
          <w:color w:val="auto"/>
        </w:rPr>
      </w:pPr>
    </w:p>
    <w:p>
      <w:pPr>
        <w:ind w:left="440" w:hanging="418"/>
        <w:spacing w:after="0"/>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53" w:lineRule="exact"/>
        <w:rPr>
          <w:sz w:val="20"/>
          <w:szCs w:val="20"/>
          <w:color w:val="auto"/>
        </w:rPr>
      </w:pPr>
    </w:p>
    <w:p>
      <w:pPr>
        <w:ind w:left="440" w:hanging="418"/>
        <w:spacing w:after="0"/>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Management contracts and compensatory plans and arrangements.</w:t>
      </w: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6" w:name="page37"/>
    <w:bookmarkEnd w:id="36"/>
    <w:p>
      <w:pPr>
        <w:spacing w:after="0" w:line="8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CIVEO CORPORATION</w:t>
      </w:r>
    </w:p>
    <w:p>
      <w:pPr>
        <w:spacing w:after="0" w:line="334"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7"/>
          <w:szCs w:val="17"/>
          <w:u w:val="single" w:color="auto"/>
          <w:color w:val="auto"/>
        </w:rPr>
        <w:t>Date: July 28, 2023</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-3810</wp:posOffset>
            </wp:positionV>
            <wp:extent cx="16389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Carolyn J. Stone</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Senior Vice President, Chief Financial Officer and Treasurer (Duly</w:t>
      </w:r>
    </w:p>
    <w:p>
      <w:pPr>
        <w:ind w:left="5460"/>
        <w:spacing w:after="0"/>
        <w:rPr>
          <w:sz w:val="20"/>
          <w:szCs w:val="20"/>
          <w:color w:val="auto"/>
        </w:rPr>
      </w:pPr>
      <w:r>
        <w:rPr>
          <w:rFonts w:ascii="Arial" w:cs="Arial" w:eastAsia="Arial" w:hAnsi="Arial"/>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44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Bradley J. Dodson, certify that:</w:t>
      </w:r>
    </w:p>
    <w:p>
      <w:pPr>
        <w:spacing w:after="0" w:line="353" w:lineRule="exact"/>
        <w:rPr>
          <w:sz w:val="20"/>
          <w:szCs w:val="20"/>
          <w:color w:val="auto"/>
        </w:rPr>
      </w:pPr>
    </w:p>
    <w:p>
      <w:pPr>
        <w:ind w:left="360" w:hanging="338"/>
        <w:spacing w:after="0"/>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60" w:right="2320" w:hanging="338"/>
        <w:spacing w:after="0" w:line="229"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sz w:val="20"/>
          <w:szCs w:val="20"/>
          <w:color w:val="auto"/>
        </w:rPr>
      </w:pPr>
    </w:p>
    <w:p>
      <w:pPr>
        <w:jc w:val="both"/>
        <w:ind w:left="360" w:right="2320" w:hanging="338"/>
        <w:spacing w:after="0" w:line="234"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sz w:val="20"/>
          <w:szCs w:val="20"/>
          <w:color w:val="auto"/>
        </w:rPr>
      </w:pPr>
    </w:p>
    <w:p>
      <w:pPr>
        <w:jc w:val="both"/>
        <w:ind w:left="360" w:right="2320" w:hanging="338"/>
        <w:spacing w:after="0" w:line="234"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ind w:left="720" w:right="2320" w:hanging="371"/>
        <w:spacing w:after="0" w:line="228" w:lineRule="auto"/>
        <w:rPr>
          <w:rFonts w:ascii="Arial" w:cs="Arial" w:eastAsia="Arial" w:hAnsi="Arial"/>
          <w:sz w:val="17"/>
          <w:szCs w:val="17"/>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720" w:right="2320" w:hanging="371"/>
        <w:spacing w:after="0" w:line="228"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720" w:right="2320" w:hanging="371"/>
        <w:spacing w:after="0" w:line="234" w:lineRule="auto"/>
        <w:rPr>
          <w:rFonts w:ascii="Arial" w:cs="Arial" w:eastAsia="Arial" w:hAnsi="Arial"/>
          <w:sz w:val="17"/>
          <w:szCs w:val="17"/>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sz w:val="20"/>
          <w:szCs w:val="20"/>
          <w:color w:val="auto"/>
        </w:rPr>
      </w:pPr>
    </w:p>
    <w:p>
      <w:pPr>
        <w:jc w:val="both"/>
        <w:ind w:left="720" w:right="2320" w:hanging="365"/>
        <w:spacing w:after="0" w:line="228"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jc w:val="both"/>
        <w:ind w:left="360" w:right="2320" w:hanging="338"/>
        <w:spacing w:after="0" w:line="229"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7"/>
          <w:szCs w:val="17"/>
          <w:color w:val="auto"/>
        </w:rPr>
      </w:pPr>
    </w:p>
    <w:p>
      <w:pPr>
        <w:ind w:left="720" w:right="2320" w:hanging="371"/>
        <w:spacing w:after="0" w:line="234"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7"/>
          <w:szCs w:val="17"/>
          <w:color w:val="auto"/>
        </w:rPr>
      </w:pPr>
    </w:p>
    <w:p>
      <w:pPr>
        <w:ind w:left="720" w:right="2320" w:hanging="371"/>
        <w:spacing w:after="0"/>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July 28, 2023</w:t>
      </w:r>
    </w:p>
    <w:p>
      <w:pPr>
        <w:spacing w:after="0" w:line="13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24765</wp:posOffset>
            </wp:positionV>
            <wp:extent cx="2887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33"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Bradley J. Dodson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Carolyn J. Stone, certify that:</w:t>
      </w:r>
    </w:p>
    <w:p>
      <w:pPr>
        <w:spacing w:after="0" w:line="353" w:lineRule="exact"/>
        <w:rPr>
          <w:sz w:val="20"/>
          <w:szCs w:val="20"/>
          <w:color w:val="auto"/>
        </w:rPr>
      </w:pPr>
    </w:p>
    <w:p>
      <w:pPr>
        <w:ind w:left="340" w:hanging="318"/>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420" w:hanging="318"/>
        <w:spacing w:after="0" w:line="229"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sz w:val="20"/>
          <w:szCs w:val="20"/>
          <w:color w:val="auto"/>
        </w:rPr>
      </w:pPr>
    </w:p>
    <w:p>
      <w:pPr>
        <w:jc w:val="both"/>
        <w:ind w:left="340" w:right="2420" w:hanging="318"/>
        <w:spacing w:after="0" w:line="234"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sz w:val="20"/>
          <w:szCs w:val="20"/>
          <w:color w:val="auto"/>
        </w:rPr>
      </w:pPr>
    </w:p>
    <w:p>
      <w:pPr>
        <w:jc w:val="both"/>
        <w:ind w:left="340" w:right="2420" w:hanging="318"/>
        <w:spacing w:after="0" w:line="234"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ind w:left="740" w:right="2420" w:hanging="396"/>
        <w:spacing w:after="0" w:line="228" w:lineRule="auto"/>
        <w:rPr>
          <w:rFonts w:ascii="Arial" w:cs="Arial" w:eastAsia="Arial" w:hAnsi="Arial"/>
          <w:sz w:val="17"/>
          <w:szCs w:val="17"/>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740" w:right="2420" w:hanging="396"/>
        <w:spacing w:after="0" w:line="228" w:lineRule="auto"/>
        <w:rPr>
          <w:rFonts w:ascii="Arial" w:cs="Arial" w:eastAsia="Arial" w:hAnsi="Arial"/>
          <w:sz w:val="17"/>
          <w:szCs w:val="17"/>
          <w:color w:val="auto"/>
        </w:rPr>
      </w:pPr>
      <w:r>
        <w:rPr>
          <w:rFonts w:ascii="Arial" w:cs="Arial" w:eastAsia="Arial" w:hAnsi="Arial"/>
          <w:sz w:val="17"/>
          <w:szCs w:val="17"/>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740" w:right="2420" w:hanging="396"/>
        <w:spacing w:after="0" w:line="229" w:lineRule="auto"/>
        <w:rPr>
          <w:rFonts w:ascii="Arial" w:cs="Arial" w:eastAsia="Arial" w:hAnsi="Arial"/>
          <w:sz w:val="17"/>
          <w:szCs w:val="17"/>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7"/>
          <w:szCs w:val="17"/>
          <w:color w:val="auto"/>
        </w:rPr>
      </w:pPr>
    </w:p>
    <w:p>
      <w:pPr>
        <w:ind w:left="740" w:right="2420" w:hanging="396"/>
        <w:spacing w:after="0" w:line="228" w:lineRule="auto"/>
        <w:rPr>
          <w:rFonts w:ascii="Arial" w:cs="Arial" w:eastAsia="Arial" w:hAnsi="Arial"/>
          <w:sz w:val="17"/>
          <w:szCs w:val="17"/>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jc w:val="both"/>
        <w:ind w:left="340" w:right="2420" w:hanging="318"/>
        <w:spacing w:after="0" w:line="234"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7"/>
          <w:szCs w:val="17"/>
          <w:color w:val="auto"/>
        </w:rPr>
      </w:pPr>
    </w:p>
    <w:p>
      <w:pPr>
        <w:ind w:left="740" w:right="2420" w:hanging="396"/>
        <w:spacing w:after="0" w:line="234" w:lineRule="auto"/>
        <w:rPr>
          <w:rFonts w:ascii="Arial" w:cs="Arial" w:eastAsia="Arial" w:hAnsi="Arial"/>
          <w:sz w:val="17"/>
          <w:szCs w:val="17"/>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7"/>
          <w:szCs w:val="17"/>
          <w:color w:val="auto"/>
        </w:rPr>
      </w:pPr>
    </w:p>
    <w:p>
      <w:pPr>
        <w:ind w:left="740" w:right="2420" w:hanging="396"/>
        <w:spacing w:after="0"/>
        <w:rPr>
          <w:rFonts w:ascii="Arial" w:cs="Arial" w:eastAsia="Arial" w:hAnsi="Arial"/>
          <w:sz w:val="17"/>
          <w:szCs w:val="17"/>
          <w:color w:val="auto"/>
        </w:rPr>
      </w:pPr>
      <w:r>
        <w:rPr>
          <w:rFonts w:ascii="Arial" w:cs="Arial" w:eastAsia="Arial" w:hAnsi="Arial"/>
          <w:sz w:val="17"/>
          <w:szCs w:val="17"/>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Date: July 28, 2023</w:t>
      </w:r>
    </w:p>
    <w:p>
      <w:pPr>
        <w:spacing w:after="0" w:line="353"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16510</wp:posOffset>
            </wp:positionV>
            <wp:extent cx="28879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Carolyn J. Stone</w:t>
      </w:r>
    </w:p>
    <w:p>
      <w:pPr>
        <w:spacing w:after="0" w:line="4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6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20" w:lineRule="exact"/>
        <w:rPr>
          <w:sz w:val="20"/>
          <w:szCs w:val="20"/>
          <w:color w:val="auto"/>
        </w:rPr>
      </w:pPr>
    </w:p>
    <w:p>
      <w:pPr>
        <w:jc w:val="both"/>
        <w:ind w:firstLine="784"/>
        <w:spacing w:after="0" w:line="297" w:lineRule="auto"/>
        <w:rPr>
          <w:sz w:val="20"/>
          <w:szCs w:val="20"/>
          <w:color w:val="auto"/>
        </w:rPr>
      </w:pPr>
      <w:r>
        <w:rPr>
          <w:rFonts w:ascii="Arial" w:cs="Arial" w:eastAsia="Arial" w:hAnsi="Arial"/>
          <w:sz w:val="16"/>
          <w:szCs w:val="16"/>
          <w:color w:val="auto"/>
        </w:rPr>
        <w:t>In connection with the Quarterly Report on Form 10-Q of Civeo Corporation (the “Company”) for the quarterly period ended June 30, 2023,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84" w:lineRule="exact"/>
        <w:rPr>
          <w:sz w:val="20"/>
          <w:szCs w:val="20"/>
          <w:color w:val="auto"/>
        </w:rPr>
      </w:pPr>
    </w:p>
    <w:p>
      <w:pPr>
        <w:ind w:left="300" w:hanging="278"/>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66" w:lineRule="exact"/>
        <w:rPr>
          <w:sz w:val="20"/>
          <w:szCs w:val="20"/>
          <w:color w:val="auto"/>
        </w:rPr>
      </w:pPr>
    </w:p>
    <w:p>
      <w:pPr>
        <w:ind w:left="300" w:right="2320" w:hanging="278"/>
        <w:spacing w:after="0"/>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16510</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 w:lineRule="exact"/>
        <w:rPr>
          <w:sz w:val="20"/>
          <w:szCs w:val="20"/>
          <w:color w:val="auto"/>
        </w:rPr>
      </w:pPr>
    </w:p>
    <w:p>
      <w:pPr>
        <w:ind w:left="5920"/>
        <w:spacing w:after="0"/>
        <w:tabs>
          <w:tab w:leader="none" w:pos="66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Bradley J. Dodson</w:t>
      </w:r>
    </w:p>
    <w:p>
      <w:pPr>
        <w:spacing w:after="0" w:line="40" w:lineRule="exact"/>
        <w:rPr>
          <w:sz w:val="20"/>
          <w:szCs w:val="20"/>
          <w:color w:val="auto"/>
        </w:rPr>
      </w:pPr>
    </w:p>
    <w:p>
      <w:pPr>
        <w:ind w:left="5920"/>
        <w:spacing w:after="0"/>
        <w:tabs>
          <w:tab w:leader="none" w:pos="66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28, 2023</w:t>
      </w:r>
    </w:p>
    <w:p>
      <w:pPr>
        <w:sectPr>
          <w:pgSz w:w="11900" w:h="16838" w:orient="portrait"/>
          <w:cols w:equalWidth="0" w:num="1">
            <w:col w:w="11240"/>
          </w:cols>
          <w:pgMar w:left="320" w:top="86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jc w:val="both"/>
        <w:ind w:firstLine="784"/>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June 30, 2023,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06" w:lineRule="exact"/>
        <w:rPr>
          <w:sz w:val="20"/>
          <w:szCs w:val="20"/>
          <w:color w:val="auto"/>
        </w:rPr>
      </w:pPr>
    </w:p>
    <w:p>
      <w:pPr>
        <w:ind w:left="300" w:hanging="278"/>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66" w:lineRule="exact"/>
        <w:rPr>
          <w:sz w:val="20"/>
          <w:szCs w:val="20"/>
          <w:color w:val="auto"/>
        </w:rPr>
      </w:pPr>
    </w:p>
    <w:p>
      <w:pPr>
        <w:ind w:left="300" w:right="2320" w:hanging="278"/>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/s/ Carolyn J. Stone</w:t>
      </w:r>
    </w:p>
    <w:p>
      <w:pPr>
        <w:spacing w:after="0" w:line="26" w:lineRule="exact"/>
        <w:rPr>
          <w:sz w:val="20"/>
          <w:szCs w:val="20"/>
          <w:color w:val="auto"/>
        </w:rPr>
      </w:pPr>
    </w:p>
    <w:tbl>
      <w:tblPr>
        <w:tblLayout w:type="fixed"/>
        <w:tblInd w:w="5760" w:type="dxa"/>
        <w:tblCellMar>
          <w:top w:w="0" w:type="dxa"/>
          <w:left w:w="0" w:type="dxa"/>
          <w:bottom w:w="0" w:type="dxa"/>
          <w:right w:w="0" w:type="dxa"/>
        </w:tblCellMar>
      </w:tblPr>
      <w:tr>
        <w:trPr>
          <w:trHeight w:val="228"/>
        </w:trPr>
        <w:tc>
          <w:tcPr>
            <w:tcW w:w="7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348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rPr>
              <w:t>Carolyn J. Stone</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3480" w:type="dxa"/>
            <w:vAlign w:val="bottom"/>
          </w:tcPr>
          <w:p>
            <w:pPr>
              <w:ind w:left="220"/>
              <w:spacing w:after="0"/>
              <w:rPr>
                <w:sz w:val="20"/>
                <w:szCs w:val="20"/>
                <w:color w:val="auto"/>
              </w:rPr>
            </w:pPr>
            <w:r>
              <w:rPr>
                <w:rFonts w:ascii="Arial" w:cs="Arial" w:eastAsia="Arial" w:hAnsi="Arial"/>
                <w:sz w:val="17"/>
                <w:szCs w:val="17"/>
                <w:color w:val="auto"/>
              </w:rPr>
              <w:t>July 28, 2023</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5"/>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lowerRoman"/>
      <w:start w:val="2"/>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
      <w:numFmt w:val="bullet"/>
      <w:start w:val="1"/>
    </w:lvl>
    <w:lvl w:ilvl="1">
      <w:lvlJc w:val="left"/>
      <w:lvlText w:val="%2"/>
      <w:numFmt w:val="decimal"/>
      <w:start w:val="104"/>
    </w:lvl>
  </w:abstractNum>
  <w:abstractNum w:abstractNumId="22">
    <w:nsid w:val="7C3DBD3D"/>
    <w:multiLevelType w:val="hybridMultilevel"/>
    <w:lvl w:ilvl="0">
      <w:lvlJc w:val="left"/>
      <w:lvlText w:val="**"/>
      <w:numFmt w:val="bullet"/>
      <w:start w:val="1"/>
    </w:lvl>
    <w:lvl w:ilvl="1">
      <w:lvlJc w:val="left"/>
      <w:lvlText w:val="%2"/>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bullet"/>
      <w:start w:val="1"/>
    </w:lvl>
  </w:abstractNum>
  <w:abstractNum w:abstractNumId="25">
    <w:nsid w:val="22221A70"/>
    <w:multiLevelType w:val="hybridMultilevel"/>
    <w:lvl w:ilvl="0">
      <w:lvlJc w:val="left"/>
      <w:lvlText w:val="2"/>
      <w:numFmt w:val="bullet"/>
      <w:start w:val="1"/>
    </w:lvl>
  </w:abstractNum>
  <w:abstractNum w:abstractNumId="26">
    <w:nsid w:val="4516DDE9"/>
    <w:multiLevelType w:val="hybridMultilevel"/>
    <w:lvl w:ilvl="0">
      <w:lvlJc w:val="left"/>
      <w:lvlText w:val="3"/>
      <w:numFmt w:val="bullet"/>
      <w:start w:val="1"/>
    </w:lvl>
  </w:abstractNum>
  <w:abstractNum w:abstractNumId="27">
    <w:nsid w:val="3006C83E"/>
    <w:multiLevelType w:val="hybridMultilevel"/>
    <w:lvl w:ilvl="0">
      <w:lvlJc w:val="left"/>
      <w:lvlText w:val="4"/>
      <w:numFmt w:val="bullet"/>
      <w:start w:val="1"/>
    </w:lvl>
  </w:abstractNum>
  <w:abstractNum w:abstractNumId="28">
    <w:nsid w:val="614FD4A1"/>
    <w:multiLevelType w:val="hybridMultilevel"/>
    <w:lvl w:ilvl="0">
      <w:lvlJc w:val="left"/>
      <w:lvlText w:val="d"/>
      <w:numFmt w:val="bullet"/>
      <w:start w:val="1"/>
    </w:lvl>
  </w:abstractNum>
  <w:abstractNum w:abstractNumId="29">
    <w:nsid w:val="419AC241"/>
    <w:multiLevelType w:val="hybridMultilevel"/>
    <w:lvl w:ilvl="0">
      <w:lvlJc w:val="left"/>
      <w:lvlText w:val="5"/>
      <w:numFmt w:val="bullet"/>
      <w:start w:val="1"/>
    </w:lvl>
  </w:abstractNum>
  <w:abstractNum w:abstractNumId="30">
    <w:nsid w:val="5577F8E1"/>
    <w:multiLevelType w:val="hybridMultilevel"/>
    <w:lvl w:ilvl="0">
      <w:lvlJc w:val="left"/>
      <w:lvlText w:val="1"/>
      <w:numFmt w:val="bullet"/>
      <w:start w:val="1"/>
    </w:lvl>
  </w:abstractNum>
  <w:abstractNum w:abstractNumId="31">
    <w:nsid w:val="440BADFC"/>
    <w:multiLevelType w:val="hybridMultilevel"/>
    <w:lvl w:ilvl="0">
      <w:lvlJc w:val="left"/>
      <w:lvlText w:val="2"/>
      <w:numFmt w:val="bullet"/>
      <w:start w:val="1"/>
    </w:lvl>
  </w:abstractNum>
  <w:abstractNum w:abstractNumId="32">
    <w:nsid w:val="5072367"/>
    <w:multiLevelType w:val="hybridMultilevel"/>
    <w:lvl w:ilvl="0">
      <w:lvlJc w:val="left"/>
      <w:lvlText w:val="3"/>
      <w:numFmt w:val="bullet"/>
      <w:start w:val="1"/>
    </w:lvl>
  </w:abstractNum>
  <w:abstractNum w:abstractNumId="33">
    <w:nsid w:val="3804823E"/>
    <w:multiLevelType w:val="hybridMultilevel"/>
    <w:lvl w:ilvl="0">
      <w:lvlJc w:val="left"/>
      <w:lvlText w:val="4"/>
      <w:numFmt w:val="bullet"/>
      <w:start w:val="1"/>
    </w:lvl>
  </w:abstractNum>
  <w:abstractNum w:abstractNumId="34">
    <w:nsid w:val="77465F01"/>
    <w:multiLevelType w:val="hybridMultilevel"/>
    <w:lvl w:ilvl="0">
      <w:lvlJc w:val="left"/>
      <w:lvlText w:val="5"/>
      <w:numFmt w:val="bullet"/>
      <w:start w:val="1"/>
    </w:lvl>
  </w:abstractNum>
  <w:abstractNum w:abstractNumId="35">
    <w:nsid w:val="7724C67E"/>
    <w:multiLevelType w:val="hybridMultilevel"/>
    <w:lvl w:ilvl="0">
      <w:lvlJc w:val="left"/>
      <w:lvlText w:val="1"/>
      <w:numFmt w:val="bullet"/>
      <w:start w:val="1"/>
    </w:lvl>
  </w:abstractNum>
  <w:abstractNum w:abstractNumId="36">
    <w:nsid w:val="5C482A97"/>
    <w:multiLevelType w:val="hybridMultilevel"/>
    <w:lvl w:ilvl="0">
      <w:lvlJc w:val="left"/>
      <w:lvlText w:val="2"/>
      <w:numFmt w:val="bullet"/>
      <w:start w:val="1"/>
    </w:lvl>
  </w:abstractNum>
  <w:abstractNum w:abstractNumId="37">
    <w:nsid w:val="2463B9EA"/>
    <w:multiLevelType w:val="hybridMultilevel"/>
    <w:lvl w:ilvl="0">
      <w:lvlJc w:val="left"/>
      <w:lvlText w:val="1"/>
      <w:numFmt w:val="bullet"/>
      <w:start w:val="1"/>
    </w:lvl>
  </w:abstractNum>
  <w:abstractNum w:abstractNumId="38">
    <w:nsid w:val="5E884AD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6" Type="http://schemas.openxmlformats.org/officeDocument/2006/relationships/hyperlink" Target="http://www.sec.gov/ix?doc=/Archives/edgar/data/0001590584/000159058423000055/cveo-20230331.htm#ide22856c358c4bd2adb2af4572ac642e_3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2023-07-28T13:12:47Z</dcterms:created>
  <dcterms:modified xsi:type="dcterms:W3CDTF">2023-07-28T13:12:47Z</dcterms:modified>
</cp:coreProperties>
</file>