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4"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January 2, 2015</w:t>
      </w:r>
    </w:p>
    <w:p>
      <w:pPr>
        <w:spacing w:after="0" w:line="241"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234" w:right="359" w:bottom="1440" w:gutter="0" w:footer="0" w:header="0"/>
        </w:sectPr>
      </w:pPr>
    </w:p>
    <w:p>
      <w:pPr>
        <w:spacing w:after="0" w:line="210"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ind w:left="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46-3831207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220" w:space="720"/>
            <w:col w:w="3060" w:space="720"/>
            <w:col w:w="2580"/>
          </w:cols>
          <w:pgMar w:left="240" w:top="234" w:right="359" w:bottom="1440" w:gutter="0" w:footer="0" w:header="0"/>
          <w:type w:val="continuous"/>
        </w:sectPr>
      </w:pP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300"/>
          </w:cols>
          <w:pgMar w:left="240" w:top="23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4" w:right="35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Pursuant to the Nomination and Support Agreement dated October 22, 2014 between JANA Partners LLC (“JANA”) and Civeo Corporation (the “Company”), which was filed with the Securities and Exchange Commission as Exhibit 99.1 to the Company’s Current Report on Form 8-K on October 27, 2014 (the “Nomination and Support Agreement”), Alexander Greene and Michael Ashner have resigned from the Board of Directors of the Company (the “Board”) effective January 2, 2015. Neither resignation was a result of any disagreement between such directors and the Company on any matter relating to its operations, policies or practices. The Nomination and Support Agreement required Mr. Greene and Mr. Ashner to submit their resignations as a result of JANA, together with its affiliates and associates, ceasing to beneficially own an aggregate net long position of at least 6,120,880 shares of the Company’s common stock. As reported on its Amendment No. 2 to Schedule 13D/A filed with the Securities and Exchange Commission on December 31, 2014, the aggregate beneficial ownership by JANA, together with its affiliates and associates, of the Company’s common stock has fallen below such threshold.</w:t>
      </w:r>
    </w:p>
    <w:p>
      <w:pPr>
        <w:spacing w:after="0" w:line="166"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On January 2, 2015, the size of the Board was accordingly reduced to seven members and the Board appointed existing directors (i) Constance B. Moore to the Board’s Compensation Committee, (ii) Charles Szalkowski to the Board’s Nominating &amp; Corporate Governance Committee as chairman and</w:t>
      </w:r>
    </w:p>
    <w:p>
      <w:pPr>
        <w:ind w:right="240" w:firstLine="8"/>
        <w:spacing w:after="0" w:line="255"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C. Ronald Blankenship as chairman of the Board’s Value Creation Committee. The Board is retaining the Value Creation Committee originally formed pursuant to the Nomination and Support Agreement to continue the committee’s purpose of reviewing, and making recommendations to the Board with respect to, opportunities for enhancing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5, 2015</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23495</wp:posOffset>
            </wp:positionV>
            <wp:extent cx="2495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5550" cy="17145"/>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Bradley J. Dodson</w:t>
      </w:r>
    </w:p>
    <w:p>
      <w:pPr>
        <w:spacing w:after="0" w:line="23" w:lineRule="exact"/>
        <w:rPr>
          <w:sz w:val="20"/>
          <w:szCs w:val="20"/>
          <w:color w:val="auto"/>
        </w:rPr>
      </w:pPr>
    </w:p>
    <w:p>
      <w:pPr>
        <w:ind w:left="5580"/>
        <w:spacing w:after="0"/>
        <w:tabs>
          <w:tab w:leader="none" w:pos="6140" w:val="left"/>
        </w:tabs>
        <w:rPr>
          <w:sz w:val="20"/>
          <w:szCs w:val="20"/>
          <w:color w:val="auto"/>
        </w:rPr>
      </w:pPr>
      <w:r>
        <w:rPr>
          <w:rFonts w:ascii="Arial" w:cs="Arial" w:eastAsia="Arial" w:hAnsi="Arial"/>
          <w:sz w:val="18"/>
          <w:szCs w:val="18"/>
          <w:color w:val="auto"/>
        </w:rPr>
        <w:t>Title:</w:t>
        <w:tab/>
        <w:t>President and 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2019-12-09T04:02:32Z</dcterms:created>
  <dcterms:modified xsi:type="dcterms:W3CDTF">2019-12-09T04:02:32Z</dcterms:modified>
</cp:coreProperties>
</file>