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12, 2015</w:t>
      </w:r>
    </w:p>
    <w:p>
      <w:pPr>
        <w:spacing w:after="0" w:line="256" w:lineRule="exact"/>
        <w:rPr>
          <w:sz w:val="24"/>
          <w:szCs w:val="24"/>
          <w:color w:val="auto"/>
        </w:rPr>
      </w:pPr>
    </w:p>
    <w:p>
      <w:pPr>
        <w:ind w:left="4820"/>
        <w:spacing w:after="0"/>
        <w:rPr>
          <w:sz w:val="20"/>
          <w:szCs w:val="20"/>
          <w:color w:val="auto"/>
        </w:rPr>
      </w:pPr>
      <w:r>
        <w:rPr>
          <w:rFonts w:ascii="Arial" w:cs="Arial" w:eastAsia="Arial" w:hAnsi="Arial"/>
          <w:sz w:val="18"/>
          <w:szCs w:val="18"/>
          <w:u w:val="single" w:color="auto"/>
          <w:color w:val="auto"/>
        </w:rPr>
        <w:t>____________________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46-3831207</w:t>
            </w:r>
          </w:p>
        </w:tc>
      </w:tr>
      <w:tr>
        <w:trPr>
          <w:trHeight w:val="216"/>
        </w:trPr>
        <w:tc>
          <w:tcPr>
            <w:tcW w:w="332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14d-2(b) under the Exchange Act (17 CFR 240.14d-2(b))</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March 12, 2015, Civeo Corporation (the "Company") issued a press release announcing its financial condition and results of operations for the quarter ended December 31, 2014. A copy of the press release is furnished as Exhibit 99.1 to this report on Form 8-K, and is incorporated herein by reference.</w:t>
      </w:r>
    </w:p>
    <w:p>
      <w:pPr>
        <w:spacing w:after="0" w:line="20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12, 2015, the Company issued a 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8660" w:type="dxa"/>
            <w:vAlign w:val="bottom"/>
          </w:tcPr>
          <w:p>
            <w:pPr>
              <w:spacing w:after="0"/>
              <w:rPr>
                <w:sz w:val="16"/>
                <w:szCs w:val="16"/>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Press Release dated March 12, 2015</w:t>
            </w:r>
          </w:p>
        </w:tc>
      </w:tr>
      <w:tr>
        <w:trPr>
          <w:trHeight w:val="645"/>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8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March 13, 2015</w:t>
      </w:r>
    </w:p>
    <w:p>
      <w:pPr>
        <w:spacing w:after="0" w:line="200" w:lineRule="exact"/>
        <w:rPr>
          <w:sz w:val="20"/>
          <w:szCs w:val="20"/>
          <w:color w:val="auto"/>
        </w:rPr>
      </w:pPr>
    </w:p>
    <w:p>
      <w:pPr>
        <w:spacing w:after="0" w:line="26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Frank C. Steininger</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Name:Frank C. Steininger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Title: 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780" w:type="dxa"/>
            <w:vAlign w:val="bottom"/>
          </w:tcPr>
          <w:p>
            <w:pPr>
              <w:spacing w:after="0"/>
              <w:rPr>
                <w:sz w:val="16"/>
                <w:szCs w:val="16"/>
                <w:color w:val="auto"/>
              </w:rPr>
            </w:pPr>
          </w:p>
        </w:tc>
      </w:tr>
      <w:tr>
        <w:trPr>
          <w:trHeight w:val="480"/>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87"/>
              </w:rPr>
              <w:t>Press Release dated March 12, 2015</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Fourth Quarter and Full Year 2014 Earnings</w:t>
      </w:r>
    </w:p>
    <w:p>
      <w:pPr>
        <w:spacing w:after="0" w:line="255" w:lineRule="exact"/>
        <w:rPr>
          <w:sz w:val="20"/>
          <w:szCs w:val="20"/>
          <w:color w:val="auto"/>
        </w:rPr>
      </w:pPr>
    </w:p>
    <w:p>
      <w:pPr>
        <w:ind w:left="540" w:right="660"/>
        <w:spacing w:after="0" w:line="239" w:lineRule="auto"/>
        <w:rPr>
          <w:sz w:val="20"/>
          <w:szCs w:val="20"/>
          <w:color w:val="auto"/>
        </w:rPr>
      </w:pPr>
      <w:r>
        <w:rPr>
          <w:rFonts w:ascii="Arial" w:cs="Arial" w:eastAsia="Arial" w:hAnsi="Arial"/>
          <w:sz w:val="22"/>
          <w:szCs w:val="22"/>
          <w:color w:val="auto"/>
        </w:rPr>
        <w:t>Fourth quarter revenue and Adjusted EBITDA, excluding impairments and other items, exceeded previously provided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56" w:lineRule="auto"/>
        <w:rPr>
          <w:sz w:val="20"/>
          <w:szCs w:val="20"/>
          <w:color w:val="auto"/>
        </w:rPr>
      </w:pPr>
      <w:r>
        <w:rPr>
          <w:rFonts w:ascii="Arial" w:cs="Arial" w:eastAsia="Arial" w:hAnsi="Arial"/>
          <w:sz w:val="21"/>
          <w:szCs w:val="21"/>
          <w:color w:val="auto"/>
        </w:rPr>
        <w:t>Maintaining first quarter 2015 guidance and adjusting full year guidance for weakness in Australian and Canadian dollars Continue to focus on maximizing occupancy and revenues, reducing costs and limiting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-276860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-122555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HOUSTON, March 12, 2015 (GLOBE NEWSWIRE) -- Civeo Corporation (NYSE:CVEO) today reported financial results for the fourth quarter and full year ended December 31, 2014.</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Bradley J. Dodson, President and Chief Executive Officer of Civeo, said, "Given the challenging market environment, we are pleased to have generated results at the upper end of our guidance for the fourth quarter 2014. We expect conditions to remain difficult in 2015, and our focus is on capturing as much occupancy as possible. Management is focused on further reducing our cost structure and maintaining a prudent approach to capital spending."</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Mr. Dodson continued, "We continue to make progress on the migration to Canada, and remain confident that re-domiciling will provide the most efficient structure for Civeo to allocate capital to debt reduction and growth investments. Timing of the migration remains on track for the second or third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2014 RESULTS</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 the fourth quarter of 2014, the Company generated revenues of $219.7 million and Adjusted EBITDA of $77.7 million. Net loss for the quarter was $271.6 million, or $2.54 per diluted share, which includes $282.3 million in pre-tax charges, or $2.73 per diluted share after-tax, related to goodwill, fixed asset and intangible assets impairments, transition and migration costs and deferred income taxes. Excluding these charges, the Company generated $18.0 million of adjusted net income, or $0.19 per diluted share.</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22"/>
          <w:szCs w:val="22"/>
          <w:color w:val="auto"/>
        </w:rPr>
        <w:t>(EBITDA is defined as net income plus interest, taxes, depreciation and amortization and Adjusted EBITDA is defined as EBITDA adjusted to exclude impairment charges and certain other costs such as those incurred associated with the spin-off and the migration).</w:t>
      </w:r>
    </w:p>
    <w:p>
      <w:pPr>
        <w:spacing w:after="0" w:line="186"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In the fourth quarter of 2013, the Company generated revenues of $258.5 million. Net income in the year ago period was $45.5 million, or $0.43 per diluted share. Adjusted EBITDA in the fourth quarter of 2013 was $105.9 million.</w:t>
      </w:r>
    </w:p>
    <w:p>
      <w:pPr>
        <w:spacing w:after="0" w:line="151" w:lineRule="exact"/>
        <w:rPr>
          <w:sz w:val="20"/>
          <w:szCs w:val="20"/>
          <w:color w:val="auto"/>
        </w:rPr>
      </w:pPr>
    </w:p>
    <w:p>
      <w:pPr>
        <w:ind w:right="480"/>
        <w:spacing w:after="0" w:line="252" w:lineRule="auto"/>
        <w:rPr>
          <w:sz w:val="20"/>
          <w:szCs w:val="20"/>
          <w:color w:val="auto"/>
        </w:rPr>
      </w:pPr>
      <w:r>
        <w:rPr>
          <w:rFonts w:ascii="Arial" w:cs="Arial" w:eastAsia="Arial" w:hAnsi="Arial"/>
          <w:sz w:val="21"/>
          <w:szCs w:val="21"/>
          <w:color w:val="auto"/>
        </w:rPr>
        <w:t>Revenues and Adjusted EBITDA declined in 2014 as compared to 2013 primarily due to lower occupancy levels in both the Australian villages and Canadian lodges and lower average daily rates at the Canadian lodges. In addition, fourth quarter 2014 results were impacted by the unfavorable impact of a stronger U.S. dollar compared to the Canadian dollar and the Australian dollar, both of which declined in relative value by 8% on a year-over-year basis.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charges taken in the fourth quarter of 2014 were:</w:t>
      </w:r>
    </w:p>
    <w:p>
      <w:pPr>
        <w:spacing w:after="0" w:line="206" w:lineRule="exact"/>
        <w:rPr>
          <w:sz w:val="20"/>
          <w:szCs w:val="20"/>
          <w:color w:val="auto"/>
        </w:rPr>
      </w:pPr>
    </w:p>
    <w:p>
      <w:pPr>
        <w:ind w:left="540" w:right="460"/>
        <w:spacing w:after="0" w:line="239" w:lineRule="auto"/>
        <w:rPr>
          <w:sz w:val="20"/>
          <w:szCs w:val="20"/>
          <w:color w:val="auto"/>
        </w:rPr>
      </w:pPr>
      <w:r>
        <w:rPr>
          <w:rFonts w:ascii="Arial" w:cs="Arial" w:eastAsia="Arial" w:hAnsi="Arial"/>
          <w:sz w:val="22"/>
          <w:szCs w:val="22"/>
          <w:color w:val="auto"/>
        </w:rPr>
        <w:t>A $278.9 million pre-tax charge, or $2.37 per diluted share after-tax loss, from goodwill, fixed asset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Arial" w:cs="Arial" w:eastAsia="Arial" w:hAnsi="Arial"/>
          <w:sz w:val="22"/>
          <w:szCs w:val="22"/>
          <w:color w:val="auto"/>
        </w:rPr>
        <w:t>a $34.9 million after-tax loss ($0.33 per diluted share after-tax loss) from the establishment of a deferred tax liability related to a portion of the Company's undistributed foreign earnings which Civeo no longer expects to indefinitely reinvest and a valuation allowance against certain deferred tax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37" w:lineRule="auto"/>
        <w:rPr>
          <w:sz w:val="20"/>
          <w:szCs w:val="20"/>
          <w:color w:val="auto"/>
        </w:rPr>
      </w:pPr>
      <w:r>
        <w:rPr>
          <w:rFonts w:ascii="Arial" w:cs="Arial" w:eastAsia="Arial" w:hAnsi="Arial"/>
          <w:sz w:val="22"/>
          <w:szCs w:val="22"/>
          <w:color w:val="auto"/>
        </w:rPr>
        <w:t>a $3.5 million pre-tax expense, or $0.03 per diluted share after-tax loss, from transition costs incurred in connection with the spin-off from Oil States and the proposed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2014 RESULTS</w:t>
      </w:r>
    </w:p>
    <w:p>
      <w:pPr>
        <w:spacing w:after="0" w:line="20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For the full year 2014, the Company reported revenues of $942.9 million, Adjusted EBITDA of $339.8 million and a net loss of $189.0 million, or $1.77 per diluted share.</w:t>
      </w:r>
    </w:p>
    <w:p>
      <w:pPr>
        <w:spacing w:after="0" w:line="173"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In 2013, the Company reported revenues of $1,041.1 million, Adjusted EBITDA of $425.0 million and net income of $181.9 million, or $1.70 per diluted share, which included a pre-tax gain of $4.0 million, or $0.02 per diluted share after-tax.</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decline in revenues and Adjusted EBITDA in 2014 as compared to 2013 was largely driven by the weakening of the Canadian and Australian dollars and decreased occupancy and room rates in both our Canada and Australian segments. In the later part of 2014 we saw reduced capital spending by our customers, but we reacted quickly and reduced operating costs to be better positioned for 2015.</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Full year 2014 results included the following items:</w:t>
      </w:r>
    </w:p>
    <w:p>
      <w:pPr>
        <w:spacing w:after="0" w:line="206" w:lineRule="exact"/>
        <w:rPr>
          <w:sz w:val="20"/>
          <w:szCs w:val="20"/>
          <w:color w:val="auto"/>
        </w:rPr>
      </w:pPr>
    </w:p>
    <w:p>
      <w:pPr>
        <w:ind w:left="540" w:right="520"/>
        <w:spacing w:after="0" w:line="251" w:lineRule="auto"/>
        <w:rPr>
          <w:sz w:val="20"/>
          <w:szCs w:val="20"/>
          <w:color w:val="auto"/>
        </w:rPr>
      </w:pPr>
      <w:r>
        <w:rPr>
          <w:rFonts w:ascii="Arial" w:cs="Arial" w:eastAsia="Arial" w:hAnsi="Arial"/>
          <w:sz w:val="22"/>
          <w:szCs w:val="22"/>
          <w:color w:val="auto"/>
        </w:rPr>
        <w:t>a $290.5 million pre-tax charge, or $2.45 per diluted share after-tax loss, from goodwill, fixed asset and intangible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5" w:name="page6"/>
    <w:bookmarkEnd w:id="5"/>
    <w:p>
      <w:pPr>
        <w:ind w:left="540" w:right="160"/>
        <w:spacing w:after="0" w:line="236" w:lineRule="auto"/>
        <w:rPr>
          <w:sz w:val="20"/>
          <w:szCs w:val="20"/>
          <w:color w:val="auto"/>
        </w:rPr>
      </w:pPr>
      <w:r>
        <w:rPr>
          <w:rFonts w:ascii="Arial" w:cs="Arial" w:eastAsia="Arial" w:hAnsi="Arial"/>
          <w:sz w:val="22"/>
          <w:szCs w:val="22"/>
          <w:color w:val="auto"/>
        </w:rPr>
        <w:t>a $34.9 million after-tax loss ($0.33 per diluted share after-tax loss) from the establishment of a deferred tax liability related to a portion of the Company's undistributed foreign earnings which Civeo no longer expects to indefinitely reinvest and a valuation allowance against certain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30" w:lineRule="auto"/>
        <w:rPr>
          <w:sz w:val="20"/>
          <w:szCs w:val="20"/>
          <w:color w:val="auto"/>
        </w:rPr>
      </w:pPr>
      <w:r>
        <w:rPr>
          <w:rFonts w:ascii="Arial" w:cs="Arial" w:eastAsia="Arial" w:hAnsi="Arial"/>
          <w:sz w:val="22"/>
          <w:szCs w:val="22"/>
          <w:color w:val="auto"/>
        </w:rPr>
        <w:t>a $7.8 million pre-tax expense, or $0.05 per diluted share after-tax loss, related to transition costs and debt extinguishment costs incurred in connection with the spin-off from Oil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Arial" w:cs="Arial" w:eastAsia="Arial" w:hAnsi="Arial"/>
          <w:sz w:val="22"/>
          <w:szCs w:val="22"/>
          <w:color w:val="auto"/>
        </w:rPr>
        <w:t>a $4.1 million pre-tax expense, or $0.03 per diluted share after-tax loss, from severance costs associated with the termination of an executive;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7" w:lineRule="auto"/>
        <w:rPr>
          <w:sz w:val="20"/>
          <w:szCs w:val="20"/>
          <w:color w:val="auto"/>
        </w:rPr>
      </w:pPr>
      <w:r>
        <w:rPr>
          <w:rFonts w:ascii="Arial" w:cs="Arial" w:eastAsia="Arial" w:hAnsi="Arial"/>
          <w:sz w:val="22"/>
          <w:szCs w:val="22"/>
          <w:color w:val="auto"/>
        </w:rPr>
        <w:t>a $2.6 million pre-tax expense, or $0.02 per diluted share after-tax loss from costs associated with the proposed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2014 to the results for the fourth quarter of 2013. The 2014 results discussed below exclude the non-recurring charges and transaction expenses detailed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Canadian segment generated revenues of $150.5 million and Adjusted EBITDA of $56.4 million for the fourth quarter of 2014 compared to revenues and Adjusted EBITDA of $174.7 million and $67.2 million, respectively, in the fourth quarter of 2013. The Company's fourth quarter 2014 results were negatively impacted by a weaker Canadian dollar relative to the U.S. dollar, which reduced revenues by $12.3 million and Adjusted EBITDA by $4.6 million. Excluding the year-over-year impact of exchange rates, revenues would have decreased $11.9 million and Adjusted EBITDA would have decreased $6.2 million. On a constant currency basis, revenues decreased due to reduced occupancy at lodges, as well as lower contract camp revenue due to large projects that did not recur in 2014. These items were partially offset by the opening of the Company's McClelland Lake lodge. Additionally, SG&amp;A expenses were lower year-over-year due to reduced compensation expense and overhead. RevPAR decreased 21% year-over-year to $96 in the fourth quarter of 2014, compared to $122 in the fourth quarter of 2013. The RevPAR decrease was attributable to declining foreign exchange rates and lower occupancy and room rates.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The Australian segment generated revenues of $49.4 million and Adjusted EBITDA of $25.0 million for the fourth quarter of 2014 compared to revenues and Adjusted EBITDA of $63.9 million and $37.3 million, respectively, in the fourth quarter of 2013. The Company's fourth quarter 2014 results were negatively impacted by a weaker Australian dollar relative to the U.S. dollar, which reduced revenues by $4.1 million and Adjusted EBITDA by $2.1 million. Excluding the year-over-year impact of exchange rates, revenues would have decreased $10.4 million and Adjusted EBITDA would have decreased $10.2 million. On a constant currency basis, the revenue and Adjusted EBITDA declines were primarily due to lower occupancy resulting from reduced customer commitments and lower overall customer activity and spending in the Bowen Basin, partially offset by contributions from the Boggabri Village that opened late in the fourth quarter of 2013. RevPAR decreased 23% year-over-year to $58 in the fourth quarter of 2014, compared to $75 in the fourth quarter of 2013. The RevPAR decrease was attributable to the weaker Australian dollar and lower occupancy levels for the Australian villages.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U.S. segment generated revenues of $19.8 million and Adjusted EBITDA of $2.1 million for the fourth quarter of 2014, compared to revenues and EBITDA of $19.8 million and $3.4 million, respectively, in the fourth quarter of 2013.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The Company recognized income tax expense of $15.0 million, which resulted in an effective tax rate of (5.8%) in the fourth quarter of 2014 compared to income tax expense of $12.7 million, and an effective tax rate of 21.7%, in the fourth quarter of 2013. The negative effective tax rate in the fourth quarter of 2014 is primarily due to the effect of non-deductible goodwill impairment charges, an $8.8 million valuation allowance against certain deferred tax assets, and the establishment of a $25.3 million deferred tax liability related to a portion of previously undistributed foreign earnings which the Company no longer expects to indefinitely reinvest due to the expected required reduction in our outstanding indebtedness discussed below.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Company invested $42.9 million in capital expenditures during the fourth quarter of 2014. Capital spending during the quarter was primarily related to the Canadian business, which included the initial construction of the McClelland Lake lodge, as well as routine capital maintenance spending in Canada and Australia. The Company currently expects to spend approximately $75 to $85 million in capital expenditures for the full year of 2015.</w:t>
      </w:r>
    </w:p>
    <w:p>
      <w:pPr>
        <w:spacing w:after="0" w:line="18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As of the end of the fourth quarter, the Company had total liquidity of approximately $685.5 million, comprising $422.2 million available under its credit facilities and $263.3 million of cash on hand. Based on our current forecasts for 2015, we expect that we will be required to reduce our outstanding indebtedness in order to comply with the maximum leverage ratio covenant as required under our Credit Facility, particularly in the third and fourth quarters of 2015.</w:t>
      </w:r>
    </w:p>
    <w:p>
      <w:pPr>
        <w:sectPr>
          <w:pgSz w:w="11900" w:h="16838" w:orient="portrait"/>
          <w:cols w:equalWidth="0" w:num="1">
            <w:col w:w="11420"/>
          </w:cols>
          <w:pgMar w:left="240" w:top="118" w:right="239" w:bottom="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FIRST QUARTER AND FULL YEAR 2015 GUIDANCE</w:t>
      </w:r>
    </w:p>
    <w:p>
      <w:pPr>
        <w:spacing w:after="0" w:line="20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Company today reaffirmed first quarter 2015 guidance of $160 million to $175 million in revenues and $45 million to $55 million in EBITDA. Given the significant weakness in the Australian and Canadian dollars, each of which has declined by more than 5% relative to the U.S. dollar since December 2014, the Company is revising full year 2015 guidance to $520 to $560 million in revenues and EBITDA of $130 million to $150 million.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CONFERENCE CALL</w:t>
      </w:r>
    </w:p>
    <w:p>
      <w:pPr>
        <w:spacing w:after="0" w:line="206"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Civeo will answer questions about its fourth quarter 2014 financial results during an investor conference call tomorrow, March 13, 2015 at 8:30 am Eastern time. This call is being webcast and can be accessed at Civeo's web site at http://www.civeo.com. Participants may also join the conference call by dialing (888) 517-2458 in the United States or by dialing +1 847 413 3538 internationally and using the passcode of 8254316. A replay of the conference call will be available ninety minutes after the completion of the call by dialing (888) 843-7419 in the United States or by dialing +1 630 652 3042 internationally and entering the passcode of 8254316.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successful refinancing of the Company's debt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amended Form 10 filed by the Company with the Securities and Exchange Commission ("SEC") on May 8, 2014, the Company's subsequent SEC filings and the registration statement on the Form S-4 filed by Civeo Canadian Holdings ULC, a subsidiary of the Company ("Civeo Canada"), with the SEC on December 31, 2014 in connection with the migration. Except as required by law, the Company expressly disclaims any intention or obligation to revise or update any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INFORMATION</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December 31, 2014, Civeo Canada filed with the SEC a registration statement on Form S-4 (the "Form S-4") that includes a preliminary prospectus of Civeo Canada and a preliminary proxy statement of Civeo, and each of Civeo and Civeo Canada will be filing documents with the SEC which contain other relevant materials in connection with the proposed migration. The Form S-4 has not yet become effective. A definitive proxy statement/prospectus will be mailed to the shareholders of Civeo once the Form S-4 has been declared effective by the SEC.</w:t>
      </w:r>
    </w:p>
    <w:p>
      <w:pPr>
        <w:spacing w:after="0" w:line="2"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color w:val="auto"/>
        </w:rPr>
        <w:t>INVESTORS ARE ADVISED TO READ THE DEFINITIVE PROXY STATEMENT/PROSPECTUS (INCLUDING ALL AMENDMENTS AND SUPPLEMENTS THERETO) CAREFULLY AND ANY OTHER MATERIALS IF AND WHEN THEY BECOME AVAILABLE AND EFFECTIVE BECAUSE THEY WILL CONTAIN IMPORTANT INFORMATION ABOUT THE MIGRATION AND CIVEO. Investors may obtain a free copy of the proxy statement/prospectus and other relevant documents (when available) filed and to be filed with the SEC from the SEC's web site at www.sec.gov or at Civeo's web site at www.civeo.com. Investors will also be able to obtain, without charge, a copy of the proxy statement/prospectus and other relevant documents (when available) by directing a request by mail or telephone to Investor Relations, Civeo Corporation, 333 Clay Street, Suite 4980, Houston, TX 77002, telephone 713.510.2400.</w:t>
      </w:r>
    </w:p>
    <w:p>
      <w:pPr>
        <w:spacing w:after="0" w:line="187"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Civeo Corporation and its directors and officers may be deemed to be participants in the solicitation of proxies from the Company's shareholders in connection with the migration. Information about these persons is set forth in the Form S-4 and in documents subsequently filed by its directors and officers under the Securities Exchange Act of 1934, as amended. Investors may obtain additional information regarding the interests of such persons, which may be different from those of Civeo's shareholders generally, by reading the proxy statement/prospectus and other relevant documents regarding the migration to be filed with the SEC when they become available.</w:t>
      </w:r>
    </w:p>
    <w:p>
      <w:pPr>
        <w:sectPr>
          <w:pgSz w:w="11900" w:h="16838" w:orient="portrait"/>
          <w:cols w:equalWidth="0" w:num="1">
            <w:col w:w="11420"/>
          </w:cols>
          <w:pgMar w:left="240" w:top="118" w:right="239" w:bottom="111" w:gutter="0" w:footer="0" w:header="0"/>
        </w:sectPr>
      </w:pPr>
    </w:p>
    <w:bookmarkStart w:id="7" w:name="page8"/>
    <w:bookmarkEnd w:id="7"/>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2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18"/>
                <w:szCs w:val="18"/>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DECEMBER 31,</w:t>
            </w:r>
          </w:p>
        </w:tc>
        <w:tc>
          <w:tcPr>
            <w:tcW w:w="22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2"/>
                <w:szCs w:val="22"/>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1"/>
        </w:trPr>
        <w:tc>
          <w:tcPr>
            <w:tcW w:w="6800" w:type="dxa"/>
            <w:vAlign w:val="bottom"/>
          </w:tcPr>
          <w:p>
            <w:pPr>
              <w:spacing w:after="0"/>
              <w:rPr>
                <w:sz w:val="23"/>
                <w:szCs w:val="23"/>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(unaudited)</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Revenues</w:t>
            </w:r>
          </w:p>
        </w:tc>
        <w:tc>
          <w:tcPr>
            <w:tcW w:w="1080" w:type="dxa"/>
            <w:vAlign w:val="bottom"/>
          </w:tcPr>
          <w:p>
            <w:pPr>
              <w:jc w:val="right"/>
              <w:spacing w:after="0"/>
              <w:rPr>
                <w:sz w:val="20"/>
                <w:szCs w:val="20"/>
                <w:color w:val="auto"/>
              </w:rPr>
            </w:pPr>
            <w:r>
              <w:rPr>
                <w:rFonts w:ascii="Arial" w:cs="Arial" w:eastAsia="Arial" w:hAnsi="Arial"/>
                <w:sz w:val="16"/>
                <w:szCs w:val="16"/>
                <w:color w:val="auto"/>
              </w:rPr>
              <w:t>$ 219,694</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$ 258,477</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$ 942,891</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$ 1,041,104</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Costs and expenses: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Cost of sales and services</w:t>
            </w:r>
          </w:p>
        </w:tc>
        <w:tc>
          <w:tcPr>
            <w:tcW w:w="1080" w:type="dxa"/>
            <w:vAlign w:val="bottom"/>
          </w:tcPr>
          <w:p>
            <w:pPr>
              <w:jc w:val="right"/>
              <w:spacing w:after="0"/>
              <w:rPr>
                <w:sz w:val="20"/>
                <w:szCs w:val="20"/>
                <w:color w:val="auto"/>
              </w:rPr>
            </w:pPr>
            <w:r>
              <w:rPr>
                <w:rFonts w:ascii="Arial" w:cs="Arial" w:eastAsia="Arial" w:hAnsi="Arial"/>
                <w:sz w:val="16"/>
                <w:szCs w:val="16"/>
                <w:color w:val="auto"/>
              </w:rPr>
              <w:t>131,005</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134,447</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544,921</w:t>
            </w:r>
          </w:p>
        </w:tc>
        <w:tc>
          <w:tcPr>
            <w:tcW w:w="1120" w:type="dxa"/>
            <w:vAlign w:val="bottom"/>
          </w:tcPr>
          <w:p>
            <w:pPr>
              <w:jc w:val="right"/>
              <w:spacing w:after="0"/>
              <w:rPr>
                <w:sz w:val="20"/>
                <w:szCs w:val="20"/>
                <w:color w:val="auto"/>
              </w:rPr>
            </w:pPr>
            <w:r>
              <w:rPr>
                <w:rFonts w:ascii="Arial" w:cs="Arial" w:eastAsia="Arial" w:hAnsi="Arial"/>
                <w:sz w:val="16"/>
                <w:szCs w:val="16"/>
                <w:color w:val="auto"/>
              </w:rPr>
              <w:t>549,615</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Pr>
          <w:p>
            <w:pPr>
              <w:jc w:val="right"/>
              <w:spacing w:after="0"/>
              <w:rPr>
                <w:sz w:val="20"/>
                <w:szCs w:val="20"/>
                <w:color w:val="auto"/>
              </w:rPr>
            </w:pPr>
            <w:r>
              <w:rPr>
                <w:rFonts w:ascii="Arial" w:cs="Arial" w:eastAsia="Arial" w:hAnsi="Arial"/>
                <w:sz w:val="16"/>
                <w:szCs w:val="16"/>
                <w:color w:val="auto"/>
              </w:rPr>
              <w:t>19,276</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19,213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70,345</w:t>
            </w:r>
          </w:p>
        </w:tc>
        <w:tc>
          <w:tcPr>
            <w:tcW w:w="1120" w:type="dxa"/>
            <w:vAlign w:val="bottom"/>
          </w:tcPr>
          <w:p>
            <w:pPr>
              <w:jc w:val="right"/>
              <w:spacing w:after="0"/>
              <w:rPr>
                <w:sz w:val="20"/>
                <w:szCs w:val="20"/>
                <w:color w:val="auto"/>
              </w:rPr>
            </w:pPr>
            <w:r>
              <w:rPr>
                <w:rFonts w:ascii="Arial" w:cs="Arial" w:eastAsia="Arial" w:hAnsi="Arial"/>
                <w:sz w:val="16"/>
                <w:szCs w:val="16"/>
                <w:color w:val="auto"/>
              </w:rPr>
              <w:t>69,590</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Spin-off and formation costs</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853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4,350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47,200</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42,703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174,970</w:t>
            </w:r>
          </w:p>
        </w:tc>
        <w:tc>
          <w:tcPr>
            <w:tcW w:w="1120" w:type="dxa"/>
            <w:vAlign w:val="bottom"/>
          </w:tcPr>
          <w:p>
            <w:pPr>
              <w:jc w:val="right"/>
              <w:spacing w:after="0"/>
              <w:rPr>
                <w:sz w:val="20"/>
                <w:szCs w:val="20"/>
                <w:color w:val="auto"/>
              </w:rPr>
            </w:pPr>
            <w:r>
              <w:rPr>
                <w:rFonts w:ascii="Arial" w:cs="Arial" w:eastAsia="Arial" w:hAnsi="Arial"/>
                <w:sz w:val="16"/>
                <w:szCs w:val="16"/>
                <w:color w:val="auto"/>
              </w:rPr>
              <w:t>167,213</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Impairment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278,898</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290,508</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6"/>
                <w:szCs w:val="16"/>
                <w:color w:val="auto"/>
              </w:rPr>
              <w:t>Other operating expense (income)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436</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(1,565)</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688</w:t>
            </w:r>
          </w:p>
        </w:tc>
        <w:tc>
          <w:tcPr>
            <w:tcW w:w="1120" w:type="dxa"/>
            <w:vAlign w:val="bottom"/>
          </w:tcPr>
          <w:p>
            <w:pPr>
              <w:jc w:val="right"/>
              <w:spacing w:after="0"/>
              <w:rPr>
                <w:sz w:val="20"/>
                <w:szCs w:val="20"/>
                <w:color w:val="auto"/>
              </w:rPr>
            </w:pPr>
            <w:r>
              <w:rPr>
                <w:rFonts w:ascii="Arial" w:cs="Arial" w:eastAsia="Arial" w:hAnsi="Arial"/>
                <w:sz w:val="16"/>
                <w:szCs w:val="16"/>
                <w:color w:val="auto"/>
              </w:rPr>
              <w:t>(4,770)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477,668</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194,798</w:t>
            </w:r>
          </w:p>
        </w:tc>
        <w:tc>
          <w:tcPr>
            <w:tcW w:w="1060" w:type="dxa"/>
            <w:vAlign w:val="bottom"/>
          </w:tcPr>
          <w:p>
            <w:pPr>
              <w:jc w:val="right"/>
              <w:spacing w:after="0"/>
              <w:rPr>
                <w:sz w:val="20"/>
                <w:szCs w:val="20"/>
                <w:color w:val="auto"/>
              </w:rPr>
            </w:pPr>
            <w:r>
              <w:rPr>
                <w:rFonts w:ascii="Arial" w:cs="Arial" w:eastAsia="Arial" w:hAnsi="Arial"/>
                <w:sz w:val="16"/>
                <w:szCs w:val="16"/>
                <w:color w:val="auto"/>
              </w:rPr>
              <w:t>1,085,782</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781,648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80" w:type="dxa"/>
            <w:vAlign w:val="bottom"/>
          </w:tcPr>
          <w:p>
            <w:pPr>
              <w:jc w:val="right"/>
              <w:spacing w:after="0"/>
              <w:rPr>
                <w:sz w:val="20"/>
                <w:szCs w:val="20"/>
                <w:color w:val="auto"/>
              </w:rPr>
            </w:pPr>
            <w:r>
              <w:rPr>
                <w:rFonts w:ascii="Arial" w:cs="Arial" w:eastAsia="Arial" w:hAnsi="Arial"/>
                <w:sz w:val="16"/>
                <w:szCs w:val="16"/>
                <w:color w:val="auto"/>
              </w:rPr>
              <w:t>(257,974)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63,679</w:t>
            </w:r>
          </w:p>
        </w:tc>
        <w:tc>
          <w:tcPr>
            <w:tcW w:w="1060" w:type="dxa"/>
            <w:vAlign w:val="bottom"/>
          </w:tcPr>
          <w:p>
            <w:pPr>
              <w:jc w:val="right"/>
              <w:spacing w:after="0"/>
              <w:rPr>
                <w:sz w:val="20"/>
                <w:szCs w:val="20"/>
                <w:color w:val="auto"/>
              </w:rPr>
            </w:pPr>
            <w:r>
              <w:rPr>
                <w:rFonts w:ascii="Arial" w:cs="Arial" w:eastAsia="Arial" w:hAnsi="Arial"/>
                <w:sz w:val="16"/>
                <w:szCs w:val="16"/>
                <w:color w:val="auto"/>
              </w:rPr>
              <w:t>(142,891)</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259,456</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(5,076)</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(6,980)</w:t>
            </w:r>
          </w:p>
        </w:tc>
        <w:tc>
          <w:tcPr>
            <w:tcW w:w="1120" w:type="dxa"/>
            <w:vAlign w:val="bottom"/>
          </w:tcPr>
          <w:p>
            <w:pPr>
              <w:jc w:val="right"/>
              <w:spacing w:after="0"/>
              <w:rPr>
                <w:sz w:val="20"/>
                <w:szCs w:val="20"/>
                <w:color w:val="auto"/>
              </w:rPr>
            </w:pPr>
            <w:r>
              <w:rPr>
                <w:rFonts w:ascii="Arial" w:cs="Arial" w:eastAsia="Arial" w:hAnsi="Arial"/>
                <w:sz w:val="16"/>
                <w:szCs w:val="16"/>
                <w:color w:val="auto"/>
              </w:rPr>
              <w:t>(18,933)</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(5,951)</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(1,067)</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(14,396)</w:t>
            </w:r>
          </w:p>
        </w:tc>
        <w:tc>
          <w:tcPr>
            <w:tcW w:w="112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112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6"/>
                <w:szCs w:val="16"/>
                <w:color w:val="auto"/>
              </w:rPr>
              <w:t>Interest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1,084</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3,915</w:t>
            </w:r>
          </w:p>
        </w:tc>
        <w:tc>
          <w:tcPr>
            <w:tcW w:w="1120" w:type="dxa"/>
            <w:vAlign w:val="bottom"/>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0"/>
                <w:szCs w:val="20"/>
                <w:color w:val="auto"/>
              </w:rPr>
            </w:pPr>
            <w:r>
              <w:rPr>
                <w:rFonts w:ascii="Arial" w:cs="Arial" w:eastAsia="Arial" w:hAnsi="Arial"/>
                <w:sz w:val="16"/>
                <w:szCs w:val="16"/>
                <w:color w:val="auto"/>
              </w:rPr>
              <w:t>Other income</w:t>
            </w:r>
          </w:p>
        </w:tc>
        <w:tc>
          <w:tcPr>
            <w:tcW w:w="1080" w:type="dxa"/>
            <w:vAlign w:val="bottom"/>
          </w:tcPr>
          <w:p>
            <w:pPr>
              <w:jc w:val="right"/>
              <w:spacing w:after="0"/>
              <w:rPr>
                <w:sz w:val="20"/>
                <w:szCs w:val="20"/>
                <w:color w:val="auto"/>
              </w:rPr>
            </w:pPr>
            <w:r>
              <w:rPr>
                <w:rFonts w:ascii="Arial" w:cs="Arial" w:eastAsia="Arial" w:hAnsi="Arial"/>
                <w:sz w:val="16"/>
                <w:szCs w:val="16"/>
                <w:color w:val="auto"/>
              </w:rPr>
              <w:t>6,513</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(89)</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7,524</w:t>
            </w:r>
          </w:p>
        </w:tc>
        <w:tc>
          <w:tcPr>
            <w:tcW w:w="1120" w:type="dxa"/>
            <w:vAlign w:val="bottom"/>
          </w:tcPr>
          <w:p>
            <w:pPr>
              <w:jc w:val="right"/>
              <w:spacing w:after="0"/>
              <w:rPr>
                <w:sz w:val="20"/>
                <w:szCs w:val="20"/>
                <w:color w:val="auto"/>
              </w:rPr>
            </w:pPr>
            <w:r>
              <w:rPr>
                <w:rFonts w:ascii="Arial" w:cs="Arial" w:eastAsia="Arial" w:hAnsi="Arial"/>
                <w:sz w:val="16"/>
                <w:szCs w:val="16"/>
                <w:color w:val="auto"/>
              </w:rPr>
              <w:t>3,749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ind w:left="140"/>
              <w:spacing w:after="0"/>
              <w:rPr>
                <w:sz w:val="20"/>
                <w:szCs w:val="20"/>
                <w:color w:val="auto"/>
              </w:rPr>
            </w:pPr>
            <w:r>
              <w:rPr>
                <w:rFonts w:ascii="Arial" w:cs="Arial" w:eastAsia="Arial" w:hAnsi="Arial"/>
                <w:sz w:val="16"/>
                <w:szCs w:val="16"/>
                <w:color w:val="auto"/>
              </w:rPr>
              <w:t>Income (loss) before 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(256,338)</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58,531</w:t>
            </w:r>
          </w:p>
        </w:tc>
        <w:tc>
          <w:tcPr>
            <w:tcW w:w="1060" w:type="dxa"/>
            <w:vAlign w:val="bottom"/>
          </w:tcPr>
          <w:p>
            <w:pPr>
              <w:jc w:val="right"/>
              <w:spacing w:after="0"/>
              <w:rPr>
                <w:sz w:val="20"/>
                <w:szCs w:val="20"/>
                <w:color w:val="auto"/>
              </w:rPr>
            </w:pPr>
            <w:r>
              <w:rPr>
                <w:rFonts w:ascii="Arial" w:cs="Arial" w:eastAsia="Arial" w:hAnsi="Arial"/>
                <w:sz w:val="16"/>
                <w:szCs w:val="16"/>
                <w:color w:val="auto"/>
              </w:rPr>
              <w:t>(156,283)</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239,368</w:t>
            </w:r>
          </w:p>
        </w:tc>
        <w:tc>
          <w:tcPr>
            <w:tcW w:w="0" w:type="dxa"/>
            <w:vAlign w:val="bottom"/>
          </w:tcPr>
          <w:p>
            <w:pPr>
              <w:spacing w:after="0"/>
              <w:rPr>
                <w:sz w:val="1"/>
                <w:szCs w:val="1"/>
                <w:color w:val="auto"/>
              </w:rPr>
            </w:pPr>
          </w:p>
        </w:tc>
      </w:tr>
      <w:tr>
        <w:trPr>
          <w:trHeight w:val="263"/>
        </w:trPr>
        <w:tc>
          <w:tcPr>
            <w:tcW w:w="6800" w:type="dxa"/>
            <w:vAlign w:val="bottom"/>
          </w:tcPr>
          <w:p>
            <w:pPr>
              <w:spacing w:after="0"/>
              <w:rPr>
                <w:sz w:val="20"/>
                <w:szCs w:val="20"/>
                <w:color w:val="auto"/>
              </w:rPr>
            </w:pPr>
            <w:r>
              <w:rPr>
                <w:rFonts w:ascii="Arial" w:cs="Arial" w:eastAsia="Arial" w:hAnsi="Arial"/>
                <w:sz w:val="16"/>
                <w:szCs w:val="16"/>
                <w:color w:val="auto"/>
              </w:rPr>
              <w:t>Income tax provision</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(14,968)</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(12,706)</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(31,379)</w:t>
            </w:r>
          </w:p>
        </w:tc>
        <w:tc>
          <w:tcPr>
            <w:tcW w:w="1120" w:type="dxa"/>
            <w:vAlign w:val="bottom"/>
          </w:tcPr>
          <w:p>
            <w:pPr>
              <w:jc w:val="right"/>
              <w:spacing w:after="0"/>
              <w:rPr>
                <w:sz w:val="20"/>
                <w:szCs w:val="20"/>
                <w:color w:val="auto"/>
              </w:rPr>
            </w:pPr>
            <w:r>
              <w:rPr>
                <w:rFonts w:ascii="Arial" w:cs="Arial" w:eastAsia="Arial" w:hAnsi="Arial"/>
                <w:sz w:val="16"/>
                <w:szCs w:val="16"/>
                <w:color w:val="auto"/>
              </w:rPr>
              <w:t>(56,056)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800" w:type="dxa"/>
            <w:vAlign w:val="bottom"/>
          </w:tcPr>
          <w:p>
            <w:pPr>
              <w:spacing w:after="0"/>
              <w:rPr>
                <w:sz w:val="20"/>
                <w:szCs w:val="20"/>
                <w:color w:val="auto"/>
              </w:rPr>
            </w:pPr>
            <w:r>
              <w:rPr>
                <w:rFonts w:ascii="Arial" w:cs="Arial" w:eastAsia="Arial" w:hAnsi="Arial"/>
                <w:sz w:val="16"/>
                <w:szCs w:val="16"/>
                <w:color w:val="auto"/>
              </w:rPr>
              <w:t>Net income (loss)</w:t>
            </w:r>
          </w:p>
        </w:tc>
        <w:tc>
          <w:tcPr>
            <w:tcW w:w="1080" w:type="dxa"/>
            <w:vAlign w:val="bottom"/>
          </w:tcPr>
          <w:p>
            <w:pPr>
              <w:jc w:val="right"/>
              <w:spacing w:after="0"/>
              <w:rPr>
                <w:sz w:val="20"/>
                <w:szCs w:val="20"/>
                <w:color w:val="auto"/>
              </w:rPr>
            </w:pPr>
            <w:r>
              <w:rPr>
                <w:rFonts w:ascii="Arial" w:cs="Arial" w:eastAsia="Arial" w:hAnsi="Arial"/>
                <w:sz w:val="16"/>
                <w:szCs w:val="16"/>
                <w:color w:val="auto"/>
              </w:rPr>
              <w:t>(271,306)</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45,825</w:t>
            </w:r>
          </w:p>
        </w:tc>
        <w:tc>
          <w:tcPr>
            <w:tcW w:w="1060" w:type="dxa"/>
            <w:vAlign w:val="bottom"/>
          </w:tcPr>
          <w:p>
            <w:pPr>
              <w:jc w:val="right"/>
              <w:spacing w:after="0"/>
              <w:rPr>
                <w:sz w:val="20"/>
                <w:szCs w:val="20"/>
                <w:color w:val="auto"/>
              </w:rPr>
            </w:pPr>
            <w:r>
              <w:rPr>
                <w:rFonts w:ascii="Arial" w:cs="Arial" w:eastAsia="Arial" w:hAnsi="Arial"/>
                <w:sz w:val="16"/>
                <w:szCs w:val="16"/>
                <w:color w:val="auto"/>
              </w:rPr>
              <w:t>(187,662)</w:t>
            </w:r>
          </w:p>
        </w:tc>
        <w:tc>
          <w:tcPr>
            <w:tcW w:w="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183,312</w:t>
            </w:r>
          </w:p>
        </w:tc>
        <w:tc>
          <w:tcPr>
            <w:tcW w:w="0" w:type="dxa"/>
            <w:vAlign w:val="bottom"/>
          </w:tcPr>
          <w:p>
            <w:pPr>
              <w:spacing w:after="0"/>
              <w:rPr>
                <w:sz w:val="1"/>
                <w:szCs w:val="1"/>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328</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372</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1,381</w:t>
            </w:r>
          </w:p>
        </w:tc>
        <w:tc>
          <w:tcPr>
            <w:tcW w:w="1120" w:type="dxa"/>
            <w:vAlign w:val="bottom"/>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080" w:type="dxa"/>
            <w:vAlign w:val="bottom"/>
          </w:tcPr>
          <w:p>
            <w:pPr>
              <w:jc w:val="right"/>
              <w:spacing w:after="0"/>
              <w:rPr>
                <w:sz w:val="20"/>
                <w:szCs w:val="20"/>
                <w:color w:val="auto"/>
              </w:rPr>
            </w:pPr>
            <w:r>
              <w:rPr>
                <w:rFonts w:ascii="Arial" w:cs="Arial" w:eastAsia="Arial" w:hAnsi="Arial"/>
                <w:sz w:val="16"/>
                <w:szCs w:val="16"/>
                <w:color w:val="auto"/>
              </w:rPr>
              <w:t>$ (271,634)</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$ 45,453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(189,043)</w:t>
            </w:r>
          </w:p>
        </w:tc>
        <w:tc>
          <w:tcPr>
            <w:tcW w:w="1120" w:type="dxa"/>
            <w:vAlign w:val="bottom"/>
          </w:tcPr>
          <w:p>
            <w:pPr>
              <w:jc w:val="right"/>
              <w:spacing w:after="0"/>
              <w:rPr>
                <w:sz w:val="20"/>
                <w:szCs w:val="20"/>
                <w:color w:val="auto"/>
              </w:rPr>
            </w:pPr>
            <w:r>
              <w:rPr>
                <w:rFonts w:ascii="Arial" w:cs="Arial" w:eastAsia="Arial" w:hAnsi="Arial"/>
                <w:sz w:val="16"/>
                <w:szCs w:val="16"/>
                <w:color w:val="auto"/>
              </w:rPr>
              <w:t>$ 181,876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spacing w:after="0"/>
              <w:rPr>
                <w:sz w:val="20"/>
                <w:szCs w:val="20"/>
                <w:color w:val="auto"/>
              </w:rPr>
            </w:pPr>
            <w:r>
              <w:rPr>
                <w:rFonts w:ascii="Arial" w:cs="Arial" w:eastAsia="Arial" w:hAnsi="Arial"/>
                <w:sz w:val="16"/>
                <w:szCs w:val="16"/>
                <w:color w:val="auto"/>
              </w:rPr>
              <w:t>$ (2.54)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$ 0.43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(1.77)</w:t>
            </w:r>
          </w:p>
        </w:tc>
        <w:tc>
          <w:tcPr>
            <w:tcW w:w="1120" w:type="dxa"/>
            <w:vAlign w:val="bottom"/>
          </w:tcPr>
          <w:p>
            <w:pPr>
              <w:jc w:val="right"/>
              <w:spacing w:after="0"/>
              <w:rPr>
                <w:sz w:val="20"/>
                <w:szCs w:val="20"/>
                <w:color w:val="auto"/>
              </w:rPr>
            </w:pPr>
            <w:r>
              <w:rPr>
                <w:rFonts w:ascii="Arial" w:cs="Arial" w:eastAsia="Arial" w:hAnsi="Arial"/>
                <w:sz w:val="16"/>
                <w:szCs w:val="16"/>
                <w:color w:val="auto"/>
              </w:rPr>
              <w:t>$ 1.70</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 (2.54)</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$ 0.43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(1.77)</w:t>
            </w:r>
          </w:p>
        </w:tc>
        <w:tc>
          <w:tcPr>
            <w:tcW w:w="1120" w:type="dxa"/>
            <w:vAlign w:val="bottom"/>
          </w:tcPr>
          <w:p>
            <w:pPr>
              <w:jc w:val="right"/>
              <w:spacing w:after="0"/>
              <w:rPr>
                <w:sz w:val="20"/>
                <w:szCs w:val="20"/>
                <w:color w:val="auto"/>
              </w:rPr>
            </w:pPr>
            <w:r>
              <w:rPr>
                <w:rFonts w:ascii="Arial" w:cs="Arial" w:eastAsia="Arial" w:hAnsi="Arial"/>
                <w:sz w:val="16"/>
                <w:szCs w:val="16"/>
                <w:color w:val="auto"/>
              </w:rPr>
              <w:t>$ 1.70</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Basic</w:t>
            </w:r>
          </w:p>
        </w:tc>
        <w:tc>
          <w:tcPr>
            <w:tcW w:w="1080" w:type="dxa"/>
            <w:vAlign w:val="bottom"/>
          </w:tcPr>
          <w:p>
            <w:pPr>
              <w:jc w:val="right"/>
              <w:spacing w:after="0"/>
              <w:rPr>
                <w:sz w:val="20"/>
                <w:szCs w:val="20"/>
                <w:color w:val="auto"/>
              </w:rPr>
            </w:pPr>
            <w:r>
              <w:rPr>
                <w:rFonts w:ascii="Arial" w:cs="Arial" w:eastAsia="Arial" w:hAnsi="Arial"/>
                <w:sz w:val="16"/>
                <w:szCs w:val="16"/>
                <w:color w:val="auto"/>
              </w:rPr>
              <w:t>106,322</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106,293</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106,306</w:t>
            </w:r>
          </w:p>
        </w:tc>
        <w:tc>
          <w:tcPr>
            <w:tcW w:w="112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680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spacing w:after="0"/>
              <w:rPr>
                <w:sz w:val="20"/>
                <w:szCs w:val="20"/>
                <w:color w:val="auto"/>
              </w:rPr>
            </w:pPr>
            <w:r>
              <w:rPr>
                <w:rFonts w:ascii="Arial" w:cs="Arial" w:eastAsia="Arial" w:hAnsi="Arial"/>
                <w:sz w:val="16"/>
                <w:szCs w:val="16"/>
                <w:color w:val="auto"/>
              </w:rPr>
              <w:t>106,322</w:t>
            </w:r>
          </w:p>
        </w:tc>
        <w:tc>
          <w:tcPr>
            <w:tcW w:w="8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106,460</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106,306</w:t>
            </w:r>
          </w:p>
        </w:tc>
        <w:tc>
          <w:tcPr>
            <w:tcW w:w="112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r>
        <w:trPr>
          <w:trHeight w:val="540"/>
        </w:trPr>
        <w:tc>
          <w:tcPr>
            <w:tcW w:w="680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$ 0.26</w:t>
            </w: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39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CONSOLIDATED BALANCE SHEETS</w:t>
      </w:r>
    </w:p>
    <w:p>
      <w:pPr>
        <w:spacing w:after="0" w:line="66"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DECEMBER 31,</w:t>
            </w:r>
          </w:p>
        </w:tc>
      </w:tr>
      <w:tr>
        <w:trPr>
          <w:trHeight w:val="207"/>
        </w:trPr>
        <w:tc>
          <w:tcPr>
            <w:tcW w:w="6880" w:type="dxa"/>
            <w:vAlign w:val="bottom"/>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541"/>
        </w:trPr>
        <w:tc>
          <w:tcPr>
            <w:tcW w:w="6880" w:type="dxa"/>
            <w:vAlign w:val="bottom"/>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$ 224,128</w:t>
            </w: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177,845</w:t>
            </w:r>
          </w:p>
        </w:tc>
      </w:tr>
      <w:tr>
        <w:trPr>
          <w:trHeight w:val="270"/>
        </w:trPr>
        <w:tc>
          <w:tcPr>
            <w:tcW w:w="688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29,815</w:t>
            </w:r>
          </w:p>
        </w:tc>
      </w:tr>
      <w:tr>
        <w:trPr>
          <w:trHeight w:val="263"/>
        </w:trPr>
        <w:tc>
          <w:tcPr>
            <w:tcW w:w="688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r>
      <w:tr>
        <w:trPr>
          <w:trHeight w:val="271"/>
        </w:trPr>
        <w:tc>
          <w:tcPr>
            <w:tcW w:w="688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200" w:type="dxa"/>
            <w:vAlign w:val="bottom"/>
          </w:tcPr>
          <w:p>
            <w:pPr>
              <w:jc w:val="right"/>
              <w:spacing w:after="0"/>
              <w:rPr>
                <w:sz w:val="20"/>
                <w:szCs w:val="20"/>
                <w:color w:val="auto"/>
              </w:rPr>
            </w:pPr>
            <w:r>
              <w:rPr>
                <w:rFonts w:ascii="Arial" w:cs="Arial" w:eastAsia="Arial" w:hAnsi="Arial"/>
                <w:sz w:val="16"/>
                <w:szCs w:val="16"/>
                <w:color w:val="auto"/>
              </w:rPr>
              <w:t>463,956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439,744</w:t>
            </w:r>
          </w:p>
        </w:tc>
      </w:tr>
      <w:tr>
        <w:trPr>
          <w:trHeight w:val="540"/>
        </w:trPr>
        <w:tc>
          <w:tcPr>
            <w:tcW w:w="6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1,325,867</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Goodwill, net</w:t>
            </w: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261,056</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75,675</w:t>
            </w:r>
          </w:p>
        </w:tc>
      </w:tr>
    </w:tbl>
    <w:p>
      <w:pPr>
        <w:sectPr>
          <w:pgSz w:w="11900" w:h="16878" w:orient="portrait"/>
          <w:cols w:equalWidth="0" w:num="1">
            <w:col w:w="11260"/>
          </w:cols>
          <w:pgMar w:left="320" w:top="135" w:right="319" w:bottom="0" w:gutter="0" w:footer="0" w:header="0"/>
        </w:sectPr>
      </w:pPr>
    </w:p>
    <w:bookmarkStart w:id="8" w:name="page9"/>
    <w:bookmarkEnd w:id="8"/>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62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800" w:type="dxa"/>
            <w:vAlign w:val="bottom"/>
            <w:gridSpan w:val="5"/>
          </w:tcPr>
          <w:p>
            <w:pPr>
              <w:jc w:val="right"/>
              <w:spacing w:after="0"/>
              <w:rPr>
                <w:sz w:val="20"/>
                <w:szCs w:val="20"/>
                <w:color w:val="auto"/>
              </w:rPr>
            </w:pPr>
            <w:r>
              <w:rPr>
                <w:rFonts w:ascii="Arial" w:cs="Arial" w:eastAsia="Arial" w:hAnsi="Arial"/>
                <w:sz w:val="16"/>
                <w:szCs w:val="16"/>
                <w:color w:val="auto"/>
              </w:rPr>
              <w:t>$ 1,829,161</w:t>
            </w:r>
          </w:p>
        </w:tc>
        <w:tc>
          <w:tcPr>
            <w:tcW w:w="4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$ 36,277</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22,512</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6"/>
                <w:szCs w:val="16"/>
                <w:color w:val="auto"/>
              </w:rPr>
              <w:t>61</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19,375</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18,539</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628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21,677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118,441</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755,625</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Deferred income taxes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55,500</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39,486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969,052</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1,300,042</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Retained earnings / accumulated deficit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(244,617)</w:t>
            </w:r>
          </w:p>
        </w:tc>
        <w:tc>
          <w:tcPr>
            <w:tcW w:w="40" w:type="dxa"/>
            <w:vAlign w:val="bottom"/>
          </w:tcPr>
          <w:p>
            <w:pPr>
              <w:spacing w:after="0"/>
              <w:rPr>
                <w:sz w:val="23"/>
                <w:szCs w:val="2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Oil States International, Inc. net investment</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(198,491)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64"/>
        </w:trPr>
        <w:tc>
          <w:tcPr>
            <w:tcW w:w="6880" w:type="dxa"/>
            <w:vAlign w:val="bottom"/>
            <w:gridSpan w:val="2"/>
          </w:tcPr>
          <w:p>
            <w:pPr>
              <w:ind w:left="42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460" w:type="dxa"/>
            <w:vAlign w:val="bottom"/>
            <w:tcBorders>
              <w:bottom w:val="single" w:sz="8" w:color="auto"/>
            </w:tcBorders>
            <w:gridSpan w:val="2"/>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858,001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6280" w:type="dxa"/>
            <w:vAlign w:val="bottom"/>
          </w:tcPr>
          <w:p>
            <w:pPr>
              <w:ind w:left="140"/>
              <w:spacing w:after="0"/>
              <w:rPr>
                <w:sz w:val="20"/>
                <w:szCs w:val="20"/>
                <w:color w:val="auto"/>
              </w:rPr>
            </w:pPr>
            <w:r>
              <w:rPr>
                <w:rFonts w:ascii="Arial" w:cs="Arial" w:eastAsia="Arial" w:hAnsi="Arial"/>
                <w:sz w:val="16"/>
                <w:szCs w:val="16"/>
                <w:color w:val="auto"/>
              </w:rPr>
              <w:t>Total stockholders' equity / net investment</w:t>
            </w:r>
          </w:p>
        </w:tc>
        <w:tc>
          <w:tcPr>
            <w:tcW w:w="6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860,109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628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 / net investment</w:t>
            </w:r>
          </w:p>
        </w:tc>
        <w:tc>
          <w:tcPr>
            <w:tcW w:w="1800" w:type="dxa"/>
            <w:vAlign w:val="bottom"/>
            <w:gridSpan w:val="5"/>
          </w:tcPr>
          <w:p>
            <w:pPr>
              <w:jc w:val="right"/>
              <w:spacing w:after="0"/>
              <w:rPr>
                <w:sz w:val="20"/>
                <w:szCs w:val="20"/>
                <w:color w:val="auto"/>
              </w:rPr>
            </w:pPr>
            <w:r>
              <w:rPr>
                <w:rFonts w:ascii="Arial" w:cs="Arial" w:eastAsia="Arial" w:hAnsi="Arial"/>
                <w:sz w:val="16"/>
                <w:szCs w:val="16"/>
                <w:color w:val="auto"/>
              </w:rPr>
              <w:t>$ 1,829,161</w:t>
            </w:r>
          </w:p>
        </w:tc>
        <w:tc>
          <w:tcPr>
            <w:tcW w:w="4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left="1959"/>
              <w:spacing w:after="0"/>
              <w:rPr>
                <w:sz w:val="20"/>
                <w:szCs w:val="20"/>
                <w:color w:val="auto"/>
              </w:rPr>
            </w:pPr>
            <w:r>
              <w:rPr>
                <w:rFonts w:ascii="Arial" w:cs="Arial" w:eastAsia="Arial" w:hAnsi="Arial"/>
                <w:sz w:val="16"/>
                <w:szCs w:val="16"/>
                <w:b w:val="1"/>
                <w:bCs w:val="1"/>
                <w:color w:val="auto"/>
              </w:rPr>
              <w:t>CIVEO CORPORATION</w:t>
            </w: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6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tcPr>
          <w:p>
            <w:pPr>
              <w:jc w:val="center"/>
              <w:ind w:left="1959"/>
              <w:spacing w:after="0"/>
              <w:rPr>
                <w:sz w:val="20"/>
                <w:szCs w:val="20"/>
                <w:color w:val="auto"/>
              </w:rPr>
            </w:pPr>
            <w:r>
              <w:rPr>
                <w:rFonts w:ascii="Arial" w:cs="Arial" w:eastAsia="Arial" w:hAnsi="Arial"/>
                <w:sz w:val="16"/>
                <w:szCs w:val="16"/>
                <w:b w:val="1"/>
                <w:bCs w:val="1"/>
                <w:color w:val="auto"/>
              </w:rPr>
              <w:t>CONSOLIDATED STATEMENTS OF CASH FLOWS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jc w:val="center"/>
              <w:ind w:left="195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6280" w:type="dxa"/>
            <w:vAlign w:val="bottom"/>
          </w:tcPr>
          <w:p>
            <w:pPr>
              <w:spacing w:after="0"/>
              <w:rPr>
                <w:sz w:val="24"/>
                <w:szCs w:val="24"/>
                <w:color w:val="auto"/>
              </w:rPr>
            </w:pPr>
          </w:p>
        </w:tc>
        <w:tc>
          <w:tcPr>
            <w:tcW w:w="3080" w:type="dxa"/>
            <w:vAlign w:val="bottom"/>
            <w:gridSpan w:val="9"/>
          </w:tcPr>
          <w:p>
            <w:pPr>
              <w:jc w:val="right"/>
              <w:ind w:right="104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184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62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6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Net income (loss)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(187,662)</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$ 183,312</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174,970</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167,213</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290,508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3,455</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Deferred income tax provision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4,333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11,607</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6,283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4,894</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(5,877)</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Provision for loss on receivables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(1,276)</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Fair value adjustment of contingent consideration</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1,096</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4,840</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12,554</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15,174</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(11,885)</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(16,738)</w:t>
            </w: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(24,921)</w:t>
            </w:r>
          </w:p>
        </w:tc>
        <w:tc>
          <w:tcPr>
            <w:tcW w:w="0" w:type="dxa"/>
            <w:vAlign w:val="bottom"/>
          </w:tcPr>
          <w:p>
            <w:pPr>
              <w:spacing w:after="0"/>
              <w:rPr>
                <w:sz w:val="1"/>
                <w:szCs w:val="1"/>
                <w:color w:val="auto"/>
              </w:rPr>
            </w:pPr>
          </w:p>
        </w:tc>
      </w:tr>
      <w:tr>
        <w:trPr>
          <w:trHeight w:val="263"/>
        </w:trPr>
        <w:tc>
          <w:tcPr>
            <w:tcW w:w="628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2,114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24,892</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28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291,053</w:t>
            </w:r>
          </w:p>
        </w:tc>
        <w:tc>
          <w:tcPr>
            <w:tcW w:w="20" w:type="dxa"/>
            <w:vAlign w:val="bottom"/>
          </w:tcPr>
          <w:p>
            <w:pPr>
              <w:spacing w:after="0"/>
              <w:rPr>
                <w:sz w:val="23"/>
                <w:szCs w:val="23"/>
                <w:color w:val="auto"/>
              </w:rPr>
            </w:pPr>
          </w:p>
        </w:tc>
        <w:tc>
          <w:tcPr>
            <w:tcW w:w="2020" w:type="dxa"/>
            <w:vAlign w:val="bottom"/>
            <w:gridSpan w:val="6"/>
          </w:tcPr>
          <w:p>
            <w:pPr>
              <w:jc w:val="right"/>
              <w:ind w:right="1040"/>
              <w:spacing w:after="0"/>
              <w:rPr>
                <w:sz w:val="20"/>
                <w:szCs w:val="20"/>
                <w:color w:val="auto"/>
              </w:rPr>
            </w:pPr>
            <w:r>
              <w:rPr>
                <w:rFonts w:ascii="Arial" w:cs="Arial" w:eastAsia="Arial" w:hAnsi="Arial"/>
                <w:sz w:val="16"/>
                <w:szCs w:val="16"/>
                <w:color w:val="auto"/>
              </w:rPr>
              <w:t>337,378</w:t>
            </w:r>
          </w:p>
        </w:tc>
        <w:tc>
          <w:tcPr>
            <w:tcW w:w="0" w:type="dxa"/>
            <w:vAlign w:val="bottom"/>
          </w:tcPr>
          <w:p>
            <w:pPr>
              <w:spacing w:after="0"/>
              <w:rPr>
                <w:sz w:val="1"/>
                <w:szCs w:val="1"/>
                <w:color w:val="auto"/>
              </w:rPr>
            </w:pPr>
          </w:p>
        </w:tc>
      </w:tr>
      <w:tr>
        <w:trPr>
          <w:trHeight w:val="540"/>
        </w:trPr>
        <w:tc>
          <w:tcPr>
            <w:tcW w:w="62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(251,158)</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(291,694)</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8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12,086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7,488</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28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(239,072)</w:t>
            </w:r>
          </w:p>
        </w:tc>
        <w:tc>
          <w:tcPr>
            <w:tcW w:w="20" w:type="dxa"/>
            <w:vAlign w:val="bottom"/>
          </w:tcPr>
          <w:p>
            <w:pPr>
              <w:spacing w:after="0"/>
              <w:rPr>
                <w:sz w:val="23"/>
                <w:szCs w:val="23"/>
                <w:color w:val="auto"/>
              </w:rPr>
            </w:pPr>
          </w:p>
        </w:tc>
        <w:tc>
          <w:tcPr>
            <w:tcW w:w="980" w:type="dxa"/>
            <w:vAlign w:val="bottom"/>
            <w:gridSpan w:val="5"/>
          </w:tcPr>
          <w:p>
            <w:pPr>
              <w:jc w:val="right"/>
              <w:spacing w:after="0"/>
              <w:rPr>
                <w:sz w:val="20"/>
                <w:szCs w:val="20"/>
                <w:color w:val="auto"/>
              </w:rPr>
            </w:pPr>
            <w:r>
              <w:rPr>
                <w:rFonts w:ascii="Arial" w:cs="Arial" w:eastAsia="Arial" w:hAnsi="Arial"/>
                <w:sz w:val="16"/>
                <w:szCs w:val="16"/>
                <w:color w:val="auto"/>
              </w:rPr>
              <w:t>(284,206)</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18" w:orient="portrait"/>
          <w:cols w:equalWidth="0" w:num="1">
            <w:col w:w="10139"/>
          </w:cols>
          <w:pgMar w:left="320" w:top="182" w:right="1440" w:bottom="0" w:gutter="0" w:footer="0" w:header="0"/>
        </w:sectPr>
      </w:pPr>
    </w:p>
    <w:bookmarkStart w:id="9" w:name="page10"/>
    <w:bookmarkEnd w:id="9"/>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gridSpan w:val="5"/>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gridSpan w:val="7"/>
          </w:tcPr>
          <w:p>
            <w:pPr>
              <w:ind w:left="140"/>
              <w:spacing w:after="0"/>
              <w:rPr>
                <w:sz w:val="20"/>
                <w:szCs w:val="20"/>
                <w:color w:val="auto"/>
              </w:rPr>
            </w:pPr>
            <w:r>
              <w:rPr>
                <w:rFonts w:ascii="Arial" w:cs="Arial" w:eastAsia="Arial" w:hAnsi="Arial"/>
                <w:sz w:val="16"/>
                <w:szCs w:val="16"/>
                <w:color w:val="auto"/>
              </w:rPr>
              <w:t>Revolving credit borrowings and (repayments), net</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(47,901)</w:t>
            </w:r>
          </w:p>
        </w:tc>
        <w:tc>
          <w:tcPr>
            <w:tcW w:w="0" w:type="dxa"/>
            <w:vAlign w:val="bottom"/>
          </w:tcPr>
          <w:p>
            <w:pPr>
              <w:spacing w:after="0"/>
              <w:rPr>
                <w:sz w:val="1"/>
                <w:szCs w:val="1"/>
                <w:color w:val="auto"/>
              </w:rPr>
            </w:pPr>
          </w:p>
        </w:tc>
      </w:tr>
      <w:tr>
        <w:trPr>
          <w:trHeight w:val="270"/>
        </w:trPr>
        <w:tc>
          <w:tcPr>
            <w:tcW w:w="3600" w:type="dxa"/>
            <w:vAlign w:val="bottom"/>
            <w:gridSpan w:val="5"/>
          </w:tcPr>
          <w:p>
            <w:pPr>
              <w:ind w:left="140"/>
              <w:spacing w:after="0"/>
              <w:rPr>
                <w:sz w:val="20"/>
                <w:szCs w:val="20"/>
                <w:color w:val="auto"/>
              </w:rPr>
            </w:pPr>
            <w:r>
              <w:rPr>
                <w:rFonts w:ascii="Arial" w:cs="Arial" w:eastAsia="Arial" w:hAnsi="Arial"/>
                <w:sz w:val="16"/>
                <w:szCs w:val="16"/>
                <w:color w:val="auto"/>
              </w:rPr>
              <w:t>Term loan borrowings, net of issuance costs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(9,235)</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(82,762)</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(27,790)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Distributions to Oil States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Contributions from Oil States</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28,257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160,998</w:t>
            </w:r>
          </w:p>
        </w:tc>
        <w:tc>
          <w:tcPr>
            <w:tcW w:w="0" w:type="dxa"/>
            <w:vAlign w:val="bottom"/>
          </w:tcPr>
          <w:p>
            <w:pPr>
              <w:spacing w:after="0"/>
              <w:rPr>
                <w:sz w:val="1"/>
                <w:szCs w:val="1"/>
                <w:color w:val="auto"/>
              </w:rPr>
            </w:pPr>
          </w:p>
        </w:tc>
      </w:tr>
      <w:tr>
        <w:trPr>
          <w:trHeight w:val="271"/>
        </w:trPr>
        <w:tc>
          <w:tcPr>
            <w:tcW w:w="3600" w:type="dxa"/>
            <w:vAlign w:val="bottom"/>
            <w:gridSpan w:val="5"/>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16,232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30,335</w:t>
            </w:r>
          </w:p>
        </w:tc>
        <w:tc>
          <w:tcPr>
            <w:tcW w:w="0" w:type="dxa"/>
            <w:vAlign w:val="bottom"/>
          </w:tcPr>
          <w:p>
            <w:pPr>
              <w:spacing w:after="0"/>
              <w:rPr>
                <w:sz w:val="1"/>
                <w:szCs w:val="1"/>
                <w:color w:val="auto"/>
              </w:rPr>
            </w:pPr>
          </w:p>
        </w:tc>
      </w:tr>
      <w:tr>
        <w:trPr>
          <w:trHeight w:val="540"/>
        </w:trPr>
        <w:tc>
          <w:tcPr>
            <w:tcW w:w="360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6"/>
                <w:szCs w:val="16"/>
                <w:color w:val="auto"/>
              </w:rPr>
              <w:t>(29,027)</w:t>
            </w:r>
          </w:p>
        </w:tc>
        <w:tc>
          <w:tcPr>
            <w:tcW w:w="920" w:type="dxa"/>
            <w:vAlign w:val="bottom"/>
          </w:tcPr>
          <w:p>
            <w:pPr>
              <w:jc w:val="right"/>
              <w:spacing w:after="0"/>
              <w:rPr>
                <w:sz w:val="20"/>
                <w:szCs w:val="20"/>
                <w:color w:val="auto"/>
              </w:rPr>
            </w:pPr>
            <w:r>
              <w:rPr>
                <w:rFonts w:ascii="Arial" w:cs="Arial" w:eastAsia="Arial" w:hAnsi="Arial"/>
                <w:sz w:val="16"/>
                <w:szCs w:val="16"/>
                <w:color w:val="auto"/>
              </w:rPr>
              <w:t>(20,775)</w:t>
            </w:r>
          </w:p>
        </w:tc>
        <w:tc>
          <w:tcPr>
            <w:tcW w:w="0" w:type="dxa"/>
            <w:vAlign w:val="bottom"/>
          </w:tcPr>
          <w:p>
            <w:pPr>
              <w:spacing w:after="0"/>
              <w:rPr>
                <w:sz w:val="1"/>
                <w:szCs w:val="1"/>
                <w:color w:val="auto"/>
              </w:rPr>
            </w:pPr>
          </w:p>
        </w:tc>
      </w:tr>
      <w:tr>
        <w:trPr>
          <w:trHeight w:val="533"/>
        </w:trPr>
        <w:tc>
          <w:tcPr>
            <w:tcW w:w="360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39,186</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62,732</w:t>
            </w:r>
          </w:p>
        </w:tc>
        <w:tc>
          <w:tcPr>
            <w:tcW w:w="0" w:type="dxa"/>
            <w:vAlign w:val="bottom"/>
          </w:tcPr>
          <w:p>
            <w:pPr>
              <w:spacing w:after="0"/>
              <w:rPr>
                <w:sz w:val="1"/>
                <w:szCs w:val="1"/>
                <w:color w:val="auto"/>
              </w:rPr>
            </w:pPr>
          </w:p>
        </w:tc>
      </w:tr>
      <w:tr>
        <w:trPr>
          <w:trHeight w:val="534"/>
        </w:trPr>
        <w:tc>
          <w:tcPr>
            <w:tcW w:w="360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224,128</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161,396</w:t>
            </w:r>
          </w:p>
        </w:tc>
        <w:tc>
          <w:tcPr>
            <w:tcW w:w="0" w:type="dxa"/>
            <w:vAlign w:val="bottom"/>
          </w:tcPr>
          <w:p>
            <w:pPr>
              <w:spacing w:after="0"/>
              <w:rPr>
                <w:sz w:val="1"/>
                <w:szCs w:val="1"/>
                <w:color w:val="auto"/>
              </w:rPr>
            </w:pPr>
          </w:p>
        </w:tc>
      </w:tr>
      <w:tr>
        <w:trPr>
          <w:trHeight w:val="534"/>
        </w:trPr>
        <w:tc>
          <w:tcPr>
            <w:tcW w:w="360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$ 263,314</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80" w:type="dxa"/>
            <w:vAlign w:val="bottom"/>
            <w:gridSpan w:val="6"/>
            <w:vMerge w:val="restart"/>
          </w:tcPr>
          <w:p>
            <w:pPr>
              <w:jc w:val="center"/>
              <w:ind w:right="320"/>
              <w:spacing w:after="0"/>
              <w:rPr>
                <w:sz w:val="20"/>
                <w:szCs w:val="20"/>
                <w:color w:val="auto"/>
              </w:rPr>
            </w:pPr>
            <w:r>
              <w:rPr>
                <w:rFonts w:ascii="Arial" w:cs="Arial" w:eastAsia="Arial" w:hAnsi="Arial"/>
                <w:sz w:val="16"/>
                <w:szCs w:val="16"/>
                <w:b w:val="1"/>
                <w:bCs w:val="1"/>
                <w:color w:val="auto"/>
              </w:rPr>
              <w:t>CIVEO CORPORATION</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2360" w:type="dxa"/>
            <w:vAlign w:val="bottom"/>
          </w:tcPr>
          <w:p>
            <w:pPr>
              <w:spacing w:after="0"/>
              <w:rPr>
                <w:sz w:val="24"/>
                <w:szCs w:val="24"/>
                <w:color w:val="auto"/>
              </w:rPr>
            </w:pPr>
          </w:p>
        </w:tc>
        <w:tc>
          <w:tcPr>
            <w:tcW w:w="2080" w:type="dxa"/>
            <w:vAlign w:val="bottom"/>
            <w:gridSpan w:val="6"/>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9"/>
              </w:rPr>
              <w:t>SEGMENT DATA</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Arial" w:cs="Arial" w:eastAsia="Arial" w:hAnsi="Arial"/>
                <w:sz w:val="16"/>
                <w:szCs w:val="16"/>
                <w:b w:val="1"/>
                <w:bCs w:val="1"/>
                <w:color w:val="auto"/>
              </w:rPr>
              <w:t>THREE MONTHS ENDED TWELVE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DECEMBER 31,</w:t>
            </w:r>
          </w:p>
        </w:tc>
        <w:tc>
          <w:tcPr>
            <w:tcW w:w="2960" w:type="dxa"/>
            <w:vAlign w:val="bottom"/>
            <w:gridSpan w:val="6"/>
          </w:tcPr>
          <w:p>
            <w:pPr>
              <w:ind w:left="420"/>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360" w:type="dxa"/>
            <w:vAlign w:val="bottom"/>
          </w:tcPr>
          <w:p>
            <w:pPr>
              <w:spacing w:after="0"/>
              <w:rPr>
                <w:sz w:val="20"/>
                <w:szCs w:val="20"/>
                <w:color w:val="auto"/>
              </w:rPr>
            </w:pPr>
            <w:r>
              <w:rPr>
                <w:rFonts w:ascii="Arial" w:cs="Arial" w:eastAsia="Arial" w:hAnsi="Arial"/>
                <w:sz w:val="16"/>
                <w:szCs w:val="16"/>
                <w:color w:val="auto"/>
              </w:rPr>
              <w:t>Revenues</w:t>
            </w:r>
          </w:p>
        </w:tc>
        <w:tc>
          <w:tcPr>
            <w:tcW w:w="80" w:type="dxa"/>
            <w:vAlign w:val="bottom"/>
          </w:tcPr>
          <w:p>
            <w:pPr>
              <w:spacing w:after="0"/>
              <w:rPr>
                <w:sz w:val="23"/>
                <w:szCs w:val="23"/>
                <w:color w:val="auto"/>
              </w:rPr>
            </w:pPr>
          </w:p>
        </w:tc>
        <w:tc>
          <w:tcPr>
            <w:tcW w:w="20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(unaudited)</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$ 150,502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$ 174,728</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$ 661,416</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$ 710,538</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49,432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63,947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213,279</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255,457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19,802</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68,196</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75,109</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$ 219,694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$ 258,477</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$ 942,891</w:t>
            </w:r>
          </w:p>
        </w:tc>
        <w:tc>
          <w:tcPr>
            <w:tcW w:w="80" w:type="dxa"/>
            <w:vAlign w:val="bottom"/>
          </w:tcPr>
          <w:p>
            <w:pPr>
              <w:spacing w:after="0"/>
              <w:rPr>
                <w:sz w:val="22"/>
                <w:szCs w:val="22"/>
                <w:color w:val="auto"/>
              </w:rPr>
            </w:pP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$ 1,041,104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$ 39,156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$ 67,247</w:t>
            </w:r>
          </w:p>
        </w:tc>
        <w:tc>
          <w:tcPr>
            <w:tcW w:w="940" w:type="dxa"/>
            <w:vAlign w:val="bottom"/>
          </w:tcPr>
          <w:p>
            <w:pPr>
              <w:jc w:val="right"/>
              <w:spacing w:after="0"/>
              <w:rPr>
                <w:sz w:val="20"/>
                <w:szCs w:val="20"/>
                <w:color w:val="auto"/>
              </w:rPr>
            </w:pPr>
            <w:r>
              <w:rPr>
                <w:rFonts w:ascii="Arial" w:cs="Arial" w:eastAsia="Arial" w:hAnsi="Arial"/>
                <w:sz w:val="16"/>
                <w:szCs w:val="16"/>
                <w:color w:val="auto"/>
              </w:rPr>
              <w:t>$ 214,860</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$ 278,964</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(161,268)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37,337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(87,000)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141,797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(73,641)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3,388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(65,574)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16,521</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(24,064)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(8,300)</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EBITDA</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(204,589)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$ 38,222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$ 428,982</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$ 56,441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$ 67,247</w:t>
            </w:r>
          </w:p>
        </w:tc>
        <w:tc>
          <w:tcPr>
            <w:tcW w:w="940" w:type="dxa"/>
            <w:vAlign w:val="bottom"/>
          </w:tcPr>
          <w:p>
            <w:pPr>
              <w:jc w:val="right"/>
              <w:spacing w:after="0"/>
              <w:rPr>
                <w:sz w:val="20"/>
                <w:szCs w:val="20"/>
                <w:color w:val="auto"/>
              </w:rPr>
            </w:pPr>
            <w:r>
              <w:rPr>
                <w:rFonts w:ascii="Arial" w:cs="Arial" w:eastAsia="Arial" w:hAnsi="Arial"/>
                <w:sz w:val="16"/>
                <w:szCs w:val="16"/>
                <w:color w:val="auto"/>
              </w:rPr>
              <w:t>$ 236,271</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$ 278,964</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25,019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37,337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108,550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141,797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3,388</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12,900</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12,516</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(2,051)</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(17,944)</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(8,300)</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rPr>
              <w:t>Total adjusted EBITDA</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$ 77,742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$ 339,777</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$ 424,977</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Canada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(4,163)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$ 44,643</w:t>
            </w:r>
          </w:p>
        </w:tc>
        <w:tc>
          <w:tcPr>
            <w:tcW w:w="940" w:type="dxa"/>
            <w:vAlign w:val="bottom"/>
          </w:tcPr>
          <w:p>
            <w:pPr>
              <w:jc w:val="right"/>
              <w:spacing w:after="0"/>
              <w:rPr>
                <w:sz w:val="20"/>
                <w:szCs w:val="20"/>
                <w:color w:val="auto"/>
              </w:rPr>
            </w:pPr>
            <w:r>
              <w:rPr>
                <w:rFonts w:ascii="Arial" w:cs="Arial" w:eastAsia="Arial" w:hAnsi="Arial"/>
                <w:sz w:val="16"/>
                <w:szCs w:val="16"/>
                <w:color w:val="auto"/>
              </w:rPr>
              <w:t>$ 106,580</w:t>
            </w:r>
          </w:p>
        </w:tc>
        <w:tc>
          <w:tcPr>
            <w:tcW w:w="8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$ 190,470</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(182,009)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20,513</w:t>
            </w:r>
          </w:p>
        </w:tc>
        <w:tc>
          <w:tcPr>
            <w:tcW w:w="940" w:type="dxa"/>
            <w:vAlign w:val="bottom"/>
          </w:tcPr>
          <w:p>
            <w:pPr>
              <w:jc w:val="right"/>
              <w:spacing w:after="0"/>
              <w:rPr>
                <w:sz w:val="20"/>
                <w:szCs w:val="20"/>
                <w:color w:val="auto"/>
              </w:rPr>
            </w:pPr>
            <w:r>
              <w:rPr>
                <w:rFonts w:ascii="Arial" w:cs="Arial" w:eastAsia="Arial" w:hAnsi="Arial"/>
                <w:sz w:val="16"/>
                <w:szCs w:val="16"/>
                <w:color w:val="auto"/>
              </w:rPr>
              <w:t>(155,851)</w:t>
            </w:r>
          </w:p>
        </w:tc>
        <w:tc>
          <w:tcPr>
            <w:tcW w:w="80" w:type="dxa"/>
            <w:vAlign w:val="bottom"/>
          </w:tcPr>
          <w:p>
            <w:pPr>
              <w:spacing w:after="0"/>
              <w:rPr>
                <w:sz w:val="23"/>
                <w:szCs w:val="23"/>
                <w:color w:val="auto"/>
              </w:rPr>
            </w:pP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75,197</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(80,295)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(4,727)</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(86,959)</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(3,320)</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360" w:type="dxa"/>
            <w:vAlign w:val="bottom"/>
          </w:tcPr>
          <w:p>
            <w:pPr>
              <w:ind w:left="140"/>
              <w:spacing w:after="0"/>
              <w:rPr>
                <w:sz w:val="20"/>
                <w:szCs w:val="20"/>
                <w:color w:val="auto"/>
              </w:rPr>
            </w:pPr>
            <w:r>
              <w:rPr>
                <w:rFonts w:ascii="Arial" w:cs="Arial" w:eastAsia="Arial" w:hAnsi="Arial"/>
                <w:sz w:val="16"/>
                <w:szCs w:val="16"/>
                <w:color w:val="auto"/>
              </w:rPr>
              <w:t>Corporate and eliminations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(6,661)</w:t>
            </w:r>
          </w:p>
        </w:tc>
        <w:tc>
          <w:tcPr>
            <w:tcW w:w="1860" w:type="dxa"/>
            <w:vAlign w:val="bottom"/>
            <w:gridSpan w:val="3"/>
          </w:tcPr>
          <w:p>
            <w:pPr>
              <w:jc w:val="right"/>
              <w:ind w:right="860"/>
              <w:spacing w:after="0"/>
              <w:rPr>
                <w:sz w:val="20"/>
                <w:szCs w:val="20"/>
                <w:color w:val="auto"/>
              </w:rPr>
            </w:pPr>
            <w:r>
              <w:rPr>
                <w:rFonts w:ascii="Arial" w:cs="Arial" w:eastAsia="Arial" w:hAnsi="Arial"/>
                <w:sz w:val="16"/>
                <w:szCs w:val="16"/>
                <w:color w:val="auto"/>
              </w:rPr>
              <w:t>(2,891)</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60" w:type="dxa"/>
            <w:vAlign w:val="bottom"/>
          </w:tcPr>
          <w:p>
            <w:pPr>
              <w:ind w:left="280"/>
              <w:spacing w:after="0"/>
              <w:rPr>
                <w:sz w:val="20"/>
                <w:szCs w:val="20"/>
                <w:color w:val="auto"/>
              </w:rPr>
            </w:pPr>
            <w:r>
              <w:rPr>
                <w:rFonts w:ascii="Arial" w:cs="Arial" w:eastAsia="Arial" w:hAnsi="Arial"/>
                <w:sz w:val="16"/>
                <w:szCs w:val="16"/>
                <w:color w:val="auto"/>
                <w:w w:val="99"/>
              </w:rPr>
              <w:t>Total operating income (loss)</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(257,974)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$ 63,679</w:t>
            </w: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 (142,891)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$ 259,456</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firstLine="9"/>
        <w:spacing w:after="0" w:line="248"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ectPr>
          <w:pgSz w:w="11900" w:h="16869" w:orient="portrait"/>
          <w:cols w:equalWidth="0" w:num="1">
            <w:col w:w="11240"/>
          </w:cols>
          <w:pgMar w:left="320" w:top="493" w:right="339" w:bottom="0" w:gutter="0" w:footer="0" w:header="0"/>
        </w:sectPr>
      </w:pPr>
    </w:p>
    <w:bookmarkStart w:id="10" w:name="page11"/>
    <w:bookmarkEnd w:id="10"/>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33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460" w:type="dxa"/>
            <w:vAlign w:val="bottom"/>
          </w:tcPr>
          <w:p>
            <w:pPr>
              <w:spacing w:after="0"/>
              <w:rPr>
                <w:sz w:val="18"/>
                <w:szCs w:val="18"/>
                <w:color w:val="auto"/>
              </w:rPr>
            </w:pPr>
          </w:p>
        </w:tc>
        <w:tc>
          <w:tcPr>
            <w:tcW w:w="2260" w:type="dxa"/>
            <w:vAlign w:val="bottom"/>
            <w:gridSpan w:val="3"/>
          </w:tcPr>
          <w:p>
            <w:pPr>
              <w:jc w:val="center"/>
              <w:ind w:left="89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263"/>
        </w:trPr>
        <w:tc>
          <w:tcPr>
            <w:tcW w:w="4460" w:type="dxa"/>
            <w:vAlign w:val="bottom"/>
          </w:tcPr>
          <w:p>
            <w:pPr>
              <w:spacing w:after="0"/>
              <w:rPr>
                <w:sz w:val="22"/>
                <w:szCs w:val="22"/>
                <w:color w:val="auto"/>
              </w:rPr>
            </w:pPr>
          </w:p>
        </w:tc>
        <w:tc>
          <w:tcPr>
            <w:tcW w:w="16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r>
      <w:tr>
        <w:trPr>
          <w:trHeight w:val="541"/>
        </w:trPr>
        <w:tc>
          <w:tcPr>
            <w:tcW w:w="4460" w:type="dxa"/>
            <w:vAlign w:val="bottom"/>
          </w:tcPr>
          <w:p>
            <w:pPr>
              <w:spacing w:after="0"/>
              <w:rPr>
                <w:sz w:val="20"/>
                <w:szCs w:val="20"/>
                <w:color w:val="auto"/>
              </w:rPr>
            </w:pPr>
            <w:r>
              <w:rPr>
                <w:rFonts w:ascii="Arial" w:cs="Arial" w:eastAsia="Arial" w:hAnsi="Arial"/>
                <w:sz w:val="16"/>
                <w:szCs w:val="16"/>
                <w:color w:val="auto"/>
              </w:rPr>
              <w:t>Net income</w:t>
            </w:r>
          </w:p>
        </w:tc>
        <w:tc>
          <w:tcPr>
            <w:tcW w:w="1660" w:type="dxa"/>
            <w:vAlign w:val="bottom"/>
          </w:tcPr>
          <w:p>
            <w:pPr>
              <w:jc w:val="right"/>
              <w:spacing w:after="0"/>
              <w:rPr>
                <w:sz w:val="20"/>
                <w:szCs w:val="20"/>
                <w:color w:val="auto"/>
              </w:rPr>
            </w:pPr>
            <w:r>
              <w:rPr>
                <w:rFonts w:ascii="Arial" w:cs="Arial" w:eastAsia="Arial" w:hAnsi="Arial"/>
                <w:sz w:val="16"/>
                <w:szCs w:val="16"/>
                <w:color w:val="auto"/>
              </w:rPr>
              <w:t>$ (271,634)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$ 45,453</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 (189,043)</w:t>
            </w:r>
          </w:p>
        </w:tc>
        <w:tc>
          <w:tcPr>
            <w:tcW w:w="5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$ 181,876</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Income tax provision</w:t>
            </w:r>
          </w:p>
        </w:tc>
        <w:tc>
          <w:tcPr>
            <w:tcW w:w="1660" w:type="dxa"/>
            <w:vAlign w:val="bottom"/>
          </w:tcPr>
          <w:p>
            <w:pPr>
              <w:jc w:val="right"/>
              <w:spacing w:after="0"/>
              <w:rPr>
                <w:sz w:val="20"/>
                <w:szCs w:val="20"/>
                <w:color w:val="auto"/>
              </w:rPr>
            </w:pPr>
            <w:r>
              <w:rPr>
                <w:rFonts w:ascii="Arial" w:cs="Arial" w:eastAsia="Arial" w:hAnsi="Arial"/>
                <w:sz w:val="16"/>
                <w:szCs w:val="16"/>
                <w:color w:val="auto"/>
              </w:rPr>
              <w:t>14,968</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12,706</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31,379</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56,056</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60" w:type="dxa"/>
            <w:vAlign w:val="bottom"/>
          </w:tcPr>
          <w:p>
            <w:pPr>
              <w:jc w:val="right"/>
              <w:spacing w:after="0"/>
              <w:rPr>
                <w:sz w:val="20"/>
                <w:szCs w:val="20"/>
                <w:color w:val="auto"/>
              </w:rPr>
            </w:pPr>
            <w:r>
              <w:rPr>
                <w:rFonts w:ascii="Arial" w:cs="Arial" w:eastAsia="Arial" w:hAnsi="Arial"/>
                <w:sz w:val="16"/>
                <w:szCs w:val="16"/>
                <w:color w:val="auto"/>
              </w:rPr>
              <w:t>47,200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42,703</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174,970</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167,213</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auto"/>
              </w:rPr>
              <w:t>Interest income</w:t>
            </w:r>
          </w:p>
        </w:tc>
        <w:tc>
          <w:tcPr>
            <w:tcW w:w="166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(1,084)</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(3,915)</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63"/>
        </w:trPr>
        <w:tc>
          <w:tcPr>
            <w:tcW w:w="4460" w:type="dxa"/>
            <w:vAlign w:val="bottom"/>
          </w:tcPr>
          <w:p>
            <w:pPr>
              <w:spacing w:after="0"/>
              <w:rPr>
                <w:sz w:val="20"/>
                <w:szCs w:val="20"/>
                <w:color w:val="auto"/>
              </w:rPr>
            </w:pPr>
            <w:r>
              <w:rPr>
                <w:rFonts w:ascii="Arial" w:cs="Arial" w:eastAsia="Arial" w:hAnsi="Arial"/>
                <w:sz w:val="16"/>
                <w:szCs w:val="16"/>
                <w:color w:val="auto"/>
              </w:rPr>
              <w:t>Interest expense</w:t>
            </w:r>
          </w:p>
        </w:tc>
        <w:tc>
          <w:tcPr>
            <w:tcW w:w="1660" w:type="dxa"/>
            <w:vAlign w:val="bottom"/>
          </w:tcPr>
          <w:p>
            <w:pPr>
              <w:jc w:val="right"/>
              <w:spacing w:after="0"/>
              <w:rPr>
                <w:sz w:val="20"/>
                <w:szCs w:val="20"/>
                <w:color w:val="auto"/>
              </w:rPr>
            </w:pPr>
            <w:r>
              <w:rPr>
                <w:rFonts w:ascii="Arial" w:cs="Arial" w:eastAsia="Arial" w:hAnsi="Arial"/>
                <w:sz w:val="16"/>
                <w:szCs w:val="16"/>
                <w:color w:val="auto"/>
              </w:rPr>
              <w:t>5,951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6,143</w:t>
            </w:r>
          </w:p>
        </w:tc>
        <w:tc>
          <w:tcPr>
            <w:tcW w:w="80" w:type="dxa"/>
            <w:vAlign w:val="bottom"/>
          </w:tcPr>
          <w:p>
            <w:pPr>
              <w:spacing w:after="0"/>
              <w:rPr>
                <w:sz w:val="22"/>
                <w:szCs w:val="22"/>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24,831</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26,169</w:t>
            </w:r>
          </w:p>
        </w:tc>
      </w:tr>
      <w:tr>
        <w:trPr>
          <w:trHeight w:val="20"/>
        </w:trPr>
        <w:tc>
          <w:tcPr>
            <w:tcW w:w="44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64"/>
        </w:trPr>
        <w:tc>
          <w:tcPr>
            <w:tcW w:w="4460" w:type="dxa"/>
            <w:vAlign w:val="bottom"/>
          </w:tcPr>
          <w:p>
            <w:pPr>
              <w:ind w:left="140"/>
              <w:spacing w:after="0"/>
              <w:rPr>
                <w:sz w:val="20"/>
                <w:szCs w:val="20"/>
                <w:color w:val="auto"/>
              </w:rPr>
            </w:pPr>
            <w:r>
              <w:rPr>
                <w:rFonts w:ascii="Arial" w:cs="Arial" w:eastAsia="Arial" w:hAnsi="Arial"/>
                <w:sz w:val="16"/>
                <w:szCs w:val="16"/>
                <w:color w:val="auto"/>
              </w:rPr>
              <w:t>EBITDA</w:t>
            </w:r>
          </w:p>
        </w:tc>
        <w:tc>
          <w:tcPr>
            <w:tcW w:w="1660" w:type="dxa"/>
            <w:vAlign w:val="bottom"/>
          </w:tcPr>
          <w:p>
            <w:pPr>
              <w:jc w:val="right"/>
              <w:spacing w:after="0"/>
              <w:rPr>
                <w:sz w:val="20"/>
                <w:szCs w:val="20"/>
                <w:color w:val="auto"/>
              </w:rPr>
            </w:pPr>
            <w:r>
              <w:rPr>
                <w:rFonts w:ascii="Arial" w:cs="Arial" w:eastAsia="Arial" w:hAnsi="Arial"/>
                <w:sz w:val="16"/>
                <w:szCs w:val="16"/>
                <w:color w:val="auto"/>
              </w:rPr>
              <w:t>$ (204,589)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$ 38,222</w:t>
            </w:r>
          </w:p>
        </w:tc>
        <w:tc>
          <w:tcPr>
            <w:tcW w:w="5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$ 428,982</w:t>
            </w:r>
          </w:p>
        </w:tc>
      </w:tr>
      <w:tr>
        <w:trPr>
          <w:trHeight w:val="271"/>
        </w:trPr>
        <w:tc>
          <w:tcPr>
            <w:tcW w:w="446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intangible asset (a)</w:t>
            </w:r>
          </w:p>
        </w:tc>
        <w:tc>
          <w:tcPr>
            <w:tcW w:w="1660" w:type="dxa"/>
            <w:vAlign w:val="bottom"/>
          </w:tcPr>
          <w:p>
            <w:pPr>
              <w:jc w:val="right"/>
              <w:spacing w:after="0"/>
              <w:rPr>
                <w:sz w:val="20"/>
                <w:szCs w:val="20"/>
                <w:color w:val="auto"/>
              </w:rPr>
            </w:pPr>
            <w:r>
              <w:rPr>
                <w:rFonts w:ascii="Arial" w:cs="Arial" w:eastAsia="Arial" w:hAnsi="Arial"/>
                <w:sz w:val="16"/>
                <w:szCs w:val="16"/>
                <w:color w:val="auto"/>
              </w:rPr>
              <w:t>3,196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12,185</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fixed assets (b)</w:t>
            </w:r>
          </w:p>
        </w:tc>
        <w:tc>
          <w:tcPr>
            <w:tcW w:w="1660" w:type="dxa"/>
            <w:vAlign w:val="bottom"/>
          </w:tcPr>
          <w:p>
            <w:pPr>
              <w:jc w:val="right"/>
              <w:spacing w:after="0"/>
              <w:rPr>
                <w:sz w:val="20"/>
                <w:szCs w:val="20"/>
                <w:color w:val="auto"/>
              </w:rPr>
            </w:pPr>
            <w:r>
              <w:rPr>
                <w:rFonts w:ascii="Arial" w:cs="Arial" w:eastAsia="Arial" w:hAnsi="Arial"/>
                <w:sz w:val="16"/>
                <w:szCs w:val="16"/>
                <w:color w:val="auto"/>
              </w:rPr>
              <w:t>72,973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75,594</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Impairment of goodwill (c)</w:t>
            </w:r>
          </w:p>
        </w:tc>
        <w:tc>
          <w:tcPr>
            <w:tcW w:w="1660" w:type="dxa"/>
            <w:vAlign w:val="bottom"/>
          </w:tcPr>
          <w:p>
            <w:pPr>
              <w:jc w:val="right"/>
              <w:spacing w:after="0"/>
              <w:rPr>
                <w:sz w:val="20"/>
                <w:szCs w:val="20"/>
                <w:color w:val="auto"/>
              </w:rPr>
            </w:pPr>
            <w:r>
              <w:rPr>
                <w:rFonts w:ascii="Arial" w:cs="Arial" w:eastAsia="Arial" w:hAnsi="Arial"/>
                <w:sz w:val="16"/>
                <w:szCs w:val="16"/>
                <w:color w:val="auto"/>
              </w:rPr>
              <w:t>202,729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202,729</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Severance costs (d)</w:t>
            </w: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4,117</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Transition costs (e)</w:t>
            </w:r>
          </w:p>
        </w:tc>
        <w:tc>
          <w:tcPr>
            <w:tcW w:w="1660" w:type="dxa"/>
            <w:vAlign w:val="bottom"/>
          </w:tcPr>
          <w:p>
            <w:pPr>
              <w:jc w:val="right"/>
              <w:spacing w:after="0"/>
              <w:rPr>
                <w:sz w:val="20"/>
                <w:szCs w:val="20"/>
                <w:color w:val="auto"/>
              </w:rPr>
            </w:pPr>
            <w:r>
              <w:rPr>
                <w:rFonts w:ascii="Arial" w:cs="Arial" w:eastAsia="Arial" w:hAnsi="Arial"/>
                <w:sz w:val="16"/>
                <w:szCs w:val="16"/>
                <w:color w:val="auto"/>
              </w:rPr>
              <w:t>853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4,350</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60" w:type="dxa"/>
            <w:vAlign w:val="bottom"/>
          </w:tcPr>
          <w:p>
            <w:pPr>
              <w:ind w:left="140"/>
              <w:spacing w:after="0"/>
              <w:rPr>
                <w:sz w:val="20"/>
                <w:szCs w:val="20"/>
                <w:color w:val="auto"/>
              </w:rPr>
            </w:pPr>
            <w:r>
              <w:rPr>
                <w:rFonts w:ascii="Arial" w:cs="Arial" w:eastAsia="Arial" w:hAnsi="Arial"/>
                <w:sz w:val="16"/>
                <w:szCs w:val="16"/>
                <w:color w:val="auto"/>
              </w:rPr>
              <w:t>Migration costs (f)</w:t>
            </w:r>
          </w:p>
        </w:tc>
        <w:tc>
          <w:tcPr>
            <w:tcW w:w="1660" w:type="dxa"/>
            <w:vAlign w:val="bottom"/>
          </w:tcPr>
          <w:p>
            <w:pPr>
              <w:jc w:val="right"/>
              <w:spacing w:after="0"/>
              <w:rPr>
                <w:sz w:val="20"/>
                <w:szCs w:val="20"/>
                <w:color w:val="auto"/>
              </w:rPr>
            </w:pPr>
            <w:r>
              <w:rPr>
                <w:rFonts w:ascii="Arial" w:cs="Arial" w:eastAsia="Arial" w:hAnsi="Arial"/>
                <w:sz w:val="16"/>
                <w:szCs w:val="16"/>
                <w:color w:val="auto"/>
              </w:rPr>
              <w:t>2,580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2,580</w:t>
            </w: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3"/>
        </w:trPr>
        <w:tc>
          <w:tcPr>
            <w:tcW w:w="4460" w:type="dxa"/>
            <w:vAlign w:val="bottom"/>
          </w:tcPr>
          <w:p>
            <w:pPr>
              <w:ind w:left="140"/>
              <w:spacing w:after="0"/>
              <w:rPr>
                <w:sz w:val="20"/>
                <w:szCs w:val="20"/>
                <w:color w:val="auto"/>
              </w:rPr>
            </w:pPr>
            <w:r>
              <w:rPr>
                <w:rFonts w:ascii="Arial" w:cs="Arial" w:eastAsia="Arial" w:hAnsi="Arial"/>
                <w:sz w:val="16"/>
                <w:szCs w:val="16"/>
                <w:color w:val="auto"/>
              </w:rPr>
              <w:t>Reversal of earnout liability (g)</w:t>
            </w:r>
          </w:p>
        </w:tc>
        <w:tc>
          <w:tcPr>
            <w:tcW w:w="1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r>
      <w:tr>
        <w:trPr>
          <w:trHeight w:val="264"/>
        </w:trPr>
        <w:tc>
          <w:tcPr>
            <w:tcW w:w="4460" w:type="dxa"/>
            <w:vAlign w:val="bottom"/>
          </w:tcPr>
          <w:p>
            <w:pPr>
              <w:ind w:left="280"/>
              <w:spacing w:after="0"/>
              <w:rPr>
                <w:sz w:val="20"/>
                <w:szCs w:val="20"/>
                <w:color w:val="auto"/>
              </w:rPr>
            </w:pPr>
            <w:r>
              <w:rPr>
                <w:rFonts w:ascii="Arial" w:cs="Arial" w:eastAsia="Arial" w:hAnsi="Arial"/>
                <w:sz w:val="16"/>
                <w:szCs w:val="16"/>
                <w:color w:val="auto"/>
              </w:rPr>
              <w:t>Adjusted EBITDA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$ 77,742</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$ 105,921</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$ 339,777</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$ 424,977</w:t>
            </w:r>
          </w:p>
        </w:tc>
      </w:tr>
      <w:tr>
        <w:trPr>
          <w:trHeight w:val="20"/>
        </w:trPr>
        <w:tc>
          <w:tcPr>
            <w:tcW w:w="4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140" w:firstLine="9"/>
        <w:spacing w:after="0" w:line="248"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fourth quarter 2014 impairment of an intangible asset in the U.S. and the second quarter 2014 impairment of an intangible asset in Australia. The U.S. intangible impairment resulted from an assessment of the carrying value of our long-lived assets, which evaluation included amortizable intangible assets. The $3.2 million impairment ($2.1 million after-tax, or $0.02 per diluted share), which is related to our U.S. segment, is included in Impairment expense on the statements of operations.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statements of operations.</w:t>
      </w:r>
    </w:p>
    <w:p>
      <w:pPr>
        <w:spacing w:after="0" w:line="343" w:lineRule="exact"/>
        <w:rPr>
          <w:rFonts w:ascii="Arial" w:cs="Arial" w:eastAsia="Arial" w:hAnsi="Arial"/>
          <w:sz w:val="16"/>
          <w:szCs w:val="16"/>
          <w:color w:val="auto"/>
        </w:rPr>
      </w:pPr>
    </w:p>
    <w:p>
      <w:pPr>
        <w:ind w:right="60" w:firstLine="9"/>
        <w:spacing w:after="0" w:line="25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fourth quarter 2014 impairment of long-lived assets in the U.S. and Canada and the second quarter 2014 impairment of certain fixed assets which are not in our custody, and for which return has been determined to be uncertain. The $73.0 million fourth quarter impairment includes a $55.8 million fixed asset impairment ($36.3 million after-tax, or $0.34 per diluted share) in our U.S. segment and a $17.2 million impairment ($12.9 million after-tax, or $0.12 per diluted share) in our Canadian segment, is included in Impairment expense on the statements of operations. The $2.6 million impairment ($1.7 million after-tax, or $0.02 per diluted share), which is related to our U.S. segment, is included in Impairment expense on the statements of operations.</w:t>
      </w:r>
    </w:p>
    <w:p>
      <w:pPr>
        <w:spacing w:after="0" w:line="338" w:lineRule="exact"/>
        <w:rPr>
          <w:rFonts w:ascii="Arial" w:cs="Arial" w:eastAsia="Arial" w:hAnsi="Arial"/>
          <w:sz w:val="16"/>
          <w:szCs w:val="16"/>
          <w:color w:val="auto"/>
        </w:rPr>
      </w:pPr>
    </w:p>
    <w:p>
      <w:pPr>
        <w:ind w:right="40" w:firstLine="9"/>
        <w:spacing w:after="0" w:line="260" w:lineRule="auto"/>
        <w:tabs>
          <w:tab w:leader="none" w:pos="23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The $202.7 million impairment ($201.2 million after-tax, or $1.89 per diluted share), which is related to our U.S. and Australian segments, is included in Impairment expense on the statements of operations.</w:t>
      </w:r>
    </w:p>
    <w:p>
      <w:pPr>
        <w:spacing w:after="0" w:line="330" w:lineRule="exact"/>
        <w:rPr>
          <w:rFonts w:ascii="Arial" w:cs="Arial" w:eastAsia="Arial" w:hAnsi="Arial"/>
          <w:sz w:val="16"/>
          <w:szCs w:val="16"/>
          <w:color w:val="auto"/>
        </w:rPr>
      </w:pPr>
    </w:p>
    <w:p>
      <w:pPr>
        <w:ind w:right="180" w:firstLine="9"/>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($3.1 million after-tax, or $0.03 per diluted share), which is related to our Canadian segment, is included in Selling, general and administrative expenses on the statements of operations.</w:t>
      </w:r>
    </w:p>
    <w:p>
      <w:pPr>
        <w:spacing w:after="0" w:line="330" w:lineRule="exact"/>
        <w:rPr>
          <w:rFonts w:ascii="Arial" w:cs="Arial" w:eastAsia="Arial" w:hAnsi="Arial"/>
          <w:sz w:val="16"/>
          <w:szCs w:val="16"/>
          <w:color w:val="auto"/>
        </w:rPr>
      </w:pPr>
    </w:p>
    <w:p>
      <w:pPr>
        <w:ind w:right="180" w:firstLine="9"/>
        <w:spacing w:after="0" w:line="253"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$0.9 million and $4.4 million in costs ($0.6 million and $2.9 million after-tax, or $0.01 and $0.03 per diluted share, respectively), which are primarily corporate in nature, are included in Spin-off and formation costs on the statements of operations.</w:t>
      </w:r>
    </w:p>
    <w:p>
      <w:pPr>
        <w:spacing w:after="0" w:line="336" w:lineRule="exact"/>
        <w:rPr>
          <w:rFonts w:ascii="Arial" w:cs="Arial" w:eastAsia="Arial" w:hAnsi="Arial"/>
          <w:sz w:val="16"/>
          <w:szCs w:val="16"/>
          <w:color w:val="auto"/>
        </w:rPr>
      </w:pPr>
    </w:p>
    <w:p>
      <w:pPr>
        <w:jc w:val="both"/>
        <w:ind w:right="20" w:firstLine="9"/>
        <w:spacing w:after="0" w:line="260" w:lineRule="auto"/>
        <w:tabs>
          <w:tab w:leader="none" w:pos="19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proposed redomiciliation to Canada. The $2.6 million in costs ($1.7 million after-tax, or $0.02 per diluted share, respectively), which are primarily corporate in nature, are included in Selling, general and administrative costs on the statements of operations.</w:t>
      </w:r>
    </w:p>
    <w:p>
      <w:pPr>
        <w:spacing w:after="0" w:line="330" w:lineRule="exact"/>
        <w:rPr>
          <w:rFonts w:ascii="Arial" w:cs="Arial" w:eastAsia="Arial" w:hAnsi="Arial"/>
          <w:sz w:val="16"/>
          <w:szCs w:val="16"/>
          <w:color w:val="auto"/>
        </w:rPr>
      </w:pPr>
    </w:p>
    <w:p>
      <w:pPr>
        <w:ind w:right="280" w:firstLine="9"/>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reversal of an estimated earnout liability associated with a prior acquisition. The $4 million in income ($2.6 million after-tax, or $0.02 per diluted share), which is related to our U.S. segment is included in Other operating expense on the statements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64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8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5660" w:type="dxa"/>
            <w:vAlign w:val="bottom"/>
          </w:tcPr>
          <w:p>
            <w:pPr>
              <w:spacing w:after="0"/>
              <w:rPr>
                <w:sz w:val="18"/>
                <w:szCs w:val="18"/>
                <w:color w:val="auto"/>
              </w:rPr>
            </w:pPr>
          </w:p>
        </w:tc>
        <w:tc>
          <w:tcPr>
            <w:tcW w:w="26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8"/>
                <w:szCs w:val="18"/>
                <w:color w:val="auto"/>
              </w:rPr>
            </w:pPr>
          </w:p>
        </w:tc>
        <w:tc>
          <w:tcPr>
            <w:tcW w:w="28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DECEMBER 31,</w:t>
            </w:r>
          </w:p>
        </w:tc>
      </w:tr>
      <w:tr>
        <w:trPr>
          <w:trHeight w:val="263"/>
        </w:trPr>
        <w:tc>
          <w:tcPr>
            <w:tcW w:w="5660" w:type="dxa"/>
            <w:vAlign w:val="bottom"/>
          </w:tcPr>
          <w:p>
            <w:pPr>
              <w:spacing w:after="0"/>
              <w:rPr>
                <w:sz w:val="22"/>
                <w:szCs w:val="22"/>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4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541"/>
        </w:trPr>
        <w:tc>
          <w:tcPr>
            <w:tcW w:w="566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0"/>
        </w:trPr>
        <w:tc>
          <w:tcPr>
            <w:tcW w:w="566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66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260" w:type="dxa"/>
            <w:vAlign w:val="bottom"/>
          </w:tcPr>
          <w:p>
            <w:pPr>
              <w:jc w:val="right"/>
              <w:spacing w:after="0"/>
              <w:rPr>
                <w:sz w:val="20"/>
                <w:szCs w:val="20"/>
                <w:color w:val="auto"/>
              </w:rPr>
            </w:pPr>
            <w:r>
              <w:rPr>
                <w:rFonts w:ascii="Arial" w:cs="Arial" w:eastAsia="Arial" w:hAnsi="Arial"/>
                <w:sz w:val="16"/>
                <w:szCs w:val="16"/>
                <w:color w:val="auto"/>
              </w:rPr>
              <w:t>$ 117,516</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$ 131,581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$ 497,216</w:t>
            </w:r>
          </w:p>
        </w:tc>
        <w:tc>
          <w:tcPr>
            <w:tcW w:w="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$ 548,743</w:t>
            </w:r>
          </w:p>
        </w:tc>
      </w:tr>
      <w:tr>
        <w:trPr>
          <w:trHeight w:val="263"/>
        </w:trPr>
        <w:tc>
          <w:tcPr>
            <w:tcW w:w="566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32,986</w:t>
            </w:r>
          </w:p>
        </w:tc>
        <w:tc>
          <w:tcPr>
            <w:tcW w:w="1300" w:type="dxa"/>
            <w:vAlign w:val="bottom"/>
          </w:tcPr>
          <w:p>
            <w:pPr>
              <w:jc w:val="right"/>
              <w:spacing w:after="0"/>
              <w:rPr>
                <w:sz w:val="20"/>
                <w:szCs w:val="20"/>
                <w:color w:val="auto"/>
              </w:rPr>
            </w:pPr>
            <w:r>
              <w:rPr>
                <w:rFonts w:ascii="Arial" w:cs="Arial" w:eastAsia="Arial" w:hAnsi="Arial"/>
                <w:sz w:val="16"/>
                <w:szCs w:val="16"/>
                <w:color w:val="auto"/>
              </w:rPr>
              <w:t>43,147</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164,200</w:t>
            </w:r>
          </w:p>
        </w:tc>
        <w:tc>
          <w:tcPr>
            <w:tcW w:w="1400" w:type="dxa"/>
            <w:vAlign w:val="bottom"/>
          </w:tcPr>
          <w:p>
            <w:pPr>
              <w:jc w:val="right"/>
              <w:spacing w:after="0"/>
              <w:rPr>
                <w:sz w:val="20"/>
                <w:szCs w:val="20"/>
                <w:color w:val="auto"/>
              </w:rPr>
            </w:pPr>
            <w:r>
              <w:rPr>
                <w:rFonts w:ascii="Arial" w:cs="Arial" w:eastAsia="Arial" w:hAnsi="Arial"/>
                <w:sz w:val="16"/>
                <w:szCs w:val="16"/>
                <w:color w:val="auto"/>
              </w:rPr>
              <w:t>161,795</w:t>
            </w:r>
          </w:p>
        </w:tc>
      </w:tr>
      <w:tr>
        <w:trPr>
          <w:trHeight w:val="271"/>
        </w:trPr>
        <w:tc>
          <w:tcPr>
            <w:tcW w:w="5660" w:type="dxa"/>
            <w:vAlign w:val="bottom"/>
          </w:tcPr>
          <w:p>
            <w:pPr>
              <w:ind w:left="420"/>
              <w:spacing w:after="0"/>
              <w:rPr>
                <w:sz w:val="20"/>
                <w:szCs w:val="20"/>
                <w:color w:val="auto"/>
              </w:rPr>
            </w:pPr>
            <w:r>
              <w:rPr>
                <w:rFonts w:ascii="Arial" w:cs="Arial" w:eastAsia="Arial" w:hAnsi="Arial"/>
                <w:sz w:val="16"/>
                <w:szCs w:val="16"/>
                <w:color w:val="auto"/>
              </w:rPr>
              <w:t>Total Canadian revenues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$ 150,502</w:t>
            </w:r>
          </w:p>
        </w:tc>
        <w:tc>
          <w:tcPr>
            <w:tcW w:w="80" w:type="dxa"/>
            <w:vAlign w:val="bottom"/>
          </w:tcPr>
          <w:p>
            <w:pPr>
              <w:spacing w:after="0"/>
              <w:rPr>
                <w:sz w:val="23"/>
                <w:szCs w:val="2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$ 174,728</w:t>
            </w:r>
          </w:p>
        </w:tc>
        <w:tc>
          <w:tcPr>
            <w:tcW w:w="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$ 661,416</w:t>
            </w:r>
          </w:p>
        </w:tc>
        <w:tc>
          <w:tcPr>
            <w:tcW w:w="8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$ 710,538</w:t>
            </w:r>
          </w:p>
        </w:tc>
      </w:tr>
    </w:tbl>
    <w:p>
      <w:pPr>
        <w:sectPr>
          <w:pgSz w:w="11900" w:h="16838" w:orient="portrait"/>
          <w:cols w:equalWidth="0" w:num="1">
            <w:col w:w="11260"/>
          </w:cols>
          <w:pgMar w:left="320" w:top="168" w:right="319" w:bottom="0" w:gutter="0" w:footer="0" w:header="0"/>
        </w:sectPr>
      </w:pPr>
    </w:p>
    <w:bookmarkStart w:id="11" w:name="page12"/>
    <w:bookmarkEnd w:id="11"/>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120" w:type="dxa"/>
            <w:vAlign w:val="bottom"/>
          </w:tcPr>
          <w:p>
            <w:pPr>
              <w:ind w:left="140"/>
              <w:spacing w:after="0"/>
              <w:rPr>
                <w:sz w:val="20"/>
                <w:szCs w:val="20"/>
                <w:color w:val="auto"/>
              </w:rPr>
            </w:pPr>
            <w:r>
              <w:rPr>
                <w:rFonts w:ascii="Arial" w:cs="Arial" w:eastAsia="Arial" w:hAnsi="Arial"/>
                <w:sz w:val="16"/>
                <w:szCs w:val="16"/>
                <w:color w:val="auto"/>
              </w:rPr>
              <w:t>Average available lodge rooms (2)</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13,365</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11,762</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12,557</w:t>
            </w:r>
          </w:p>
        </w:tc>
        <w:tc>
          <w:tcPr>
            <w:tcW w:w="1100" w:type="dxa"/>
            <w:vAlign w:val="bottom"/>
          </w:tcPr>
          <w:p>
            <w:pPr>
              <w:jc w:val="right"/>
              <w:spacing w:after="0"/>
              <w:rPr>
                <w:sz w:val="20"/>
                <w:szCs w:val="20"/>
                <w:color w:val="auto"/>
              </w:rPr>
            </w:pPr>
            <w:r>
              <w:rPr>
                <w:rFonts w:ascii="Arial" w:cs="Arial" w:eastAsia="Arial" w:hAnsi="Arial"/>
                <w:sz w:val="16"/>
                <w:szCs w:val="16"/>
                <w:color w:val="auto"/>
              </w:rPr>
              <w:t>11,541</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RevPAR for lodges (3)</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$ 96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$ 122</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$ 108</w:t>
            </w:r>
          </w:p>
        </w:tc>
        <w:tc>
          <w:tcPr>
            <w:tcW w:w="1100" w:type="dxa"/>
            <w:vAlign w:val="bottom"/>
          </w:tcPr>
          <w:p>
            <w:pPr>
              <w:jc w:val="right"/>
              <w:spacing w:after="0"/>
              <w:rPr>
                <w:sz w:val="20"/>
                <w:szCs w:val="20"/>
                <w:color w:val="auto"/>
              </w:rPr>
            </w:pPr>
            <w:r>
              <w:rPr>
                <w:rFonts w:ascii="Arial" w:cs="Arial" w:eastAsia="Arial" w:hAnsi="Arial"/>
                <w:sz w:val="16"/>
                <w:szCs w:val="16"/>
                <w:color w:val="auto"/>
              </w:rPr>
              <w:t>$ 130</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Occupancy in lodges (4)</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80%</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90%</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85%</w:t>
            </w: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Canadian dollar to U.S. dollar</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$ 0.881</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$ 0.953</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$ 0.906</w:t>
            </w:r>
          </w:p>
        </w:tc>
        <w:tc>
          <w:tcPr>
            <w:tcW w:w="1100" w:type="dxa"/>
            <w:vAlign w:val="bottom"/>
          </w:tcPr>
          <w:p>
            <w:pPr>
              <w:jc w:val="right"/>
              <w:spacing w:after="0"/>
              <w:rPr>
                <w:sz w:val="20"/>
                <w:szCs w:val="20"/>
                <w:color w:val="auto"/>
              </w:rPr>
            </w:pPr>
            <w:r>
              <w:rPr>
                <w:rFonts w:ascii="Arial" w:cs="Arial" w:eastAsia="Arial" w:hAnsi="Arial"/>
                <w:sz w:val="16"/>
                <w:szCs w:val="16"/>
                <w:color w:val="auto"/>
              </w:rPr>
              <w:t>$ 0.971</w:t>
            </w:r>
          </w:p>
        </w:tc>
      </w:tr>
      <w:tr>
        <w:trPr>
          <w:trHeight w:val="810"/>
        </w:trPr>
        <w:tc>
          <w:tcPr>
            <w:tcW w:w="51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6"/>
                <w:szCs w:val="16"/>
                <w:color w:val="auto"/>
              </w:rPr>
              <w:t>Revenues ($ in thousands)</w:t>
            </w:r>
          </w:p>
        </w:tc>
        <w:tc>
          <w:tcPr>
            <w:tcW w:w="2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$ 49,432</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$ 63,947</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$ 213,279</w:t>
            </w:r>
          </w:p>
        </w:tc>
        <w:tc>
          <w:tcPr>
            <w:tcW w:w="1100" w:type="dxa"/>
            <w:vAlign w:val="bottom"/>
          </w:tcPr>
          <w:p>
            <w:pPr>
              <w:jc w:val="right"/>
              <w:spacing w:after="0"/>
              <w:rPr>
                <w:sz w:val="20"/>
                <w:szCs w:val="20"/>
                <w:color w:val="auto"/>
              </w:rPr>
            </w:pPr>
            <w:r>
              <w:rPr>
                <w:rFonts w:ascii="Arial" w:cs="Arial" w:eastAsia="Arial" w:hAnsi="Arial"/>
                <w:sz w:val="16"/>
                <w:szCs w:val="16"/>
                <w:color w:val="auto"/>
              </w:rPr>
              <w:t>$ 255,457</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Average available village rooms (2)</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9,296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9,243</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9,271</w:t>
            </w:r>
          </w:p>
        </w:tc>
        <w:tc>
          <w:tcPr>
            <w:tcW w:w="1100" w:type="dxa"/>
            <w:vAlign w:val="bottom"/>
          </w:tcPr>
          <w:p>
            <w:pPr>
              <w:jc w:val="right"/>
              <w:spacing w:after="0"/>
              <w:rPr>
                <w:sz w:val="20"/>
                <w:szCs w:val="20"/>
                <w:color w:val="auto"/>
              </w:rPr>
            </w:pPr>
            <w:r>
              <w:rPr>
                <w:rFonts w:ascii="Arial" w:cs="Arial" w:eastAsia="Arial" w:hAnsi="Arial"/>
                <w:sz w:val="16"/>
                <w:szCs w:val="16"/>
                <w:color w:val="auto"/>
              </w:rPr>
              <w:t>8,925</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RevPAR for villages (3)</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$ 58</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$ 75</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$ 63</w:t>
            </w:r>
          </w:p>
        </w:tc>
        <w:tc>
          <w:tcPr>
            <w:tcW w:w="1100" w:type="dxa"/>
            <w:vAlign w:val="bottom"/>
          </w:tcPr>
          <w:p>
            <w:pPr>
              <w:jc w:val="right"/>
              <w:spacing w:after="0"/>
              <w:rPr>
                <w:sz w:val="20"/>
                <w:szCs w:val="20"/>
                <w:color w:val="auto"/>
              </w:rPr>
            </w:pPr>
            <w:r>
              <w:rPr>
                <w:rFonts w:ascii="Arial" w:cs="Arial" w:eastAsia="Arial" w:hAnsi="Arial"/>
                <w:sz w:val="16"/>
                <w:szCs w:val="16"/>
                <w:color w:val="auto"/>
              </w:rPr>
              <w:t>$ 78</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Occupancy in villages (4)</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67%</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81%</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68%</w:t>
            </w: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540"/>
        </w:trPr>
        <w:tc>
          <w:tcPr>
            <w:tcW w:w="5120" w:type="dxa"/>
            <w:vAlign w:val="bottom"/>
          </w:tcPr>
          <w:p>
            <w:pPr>
              <w:ind w:left="140"/>
              <w:spacing w:after="0"/>
              <w:rPr>
                <w:sz w:val="20"/>
                <w:szCs w:val="20"/>
                <w:color w:val="auto"/>
              </w:rPr>
            </w:pPr>
            <w:r>
              <w:rPr>
                <w:rFonts w:ascii="Arial" w:cs="Arial" w:eastAsia="Arial" w:hAnsi="Arial"/>
                <w:sz w:val="16"/>
                <w:szCs w:val="16"/>
                <w:color w:val="auto"/>
              </w:rPr>
              <w:t>Australian dollar to U.S. dollar</w:t>
            </w:r>
          </w:p>
        </w:tc>
        <w:tc>
          <w:tcPr>
            <w:tcW w:w="2180" w:type="dxa"/>
            <w:vAlign w:val="bottom"/>
          </w:tcPr>
          <w:p>
            <w:pPr>
              <w:jc w:val="right"/>
              <w:ind w:right="299"/>
              <w:spacing w:after="0"/>
              <w:rPr>
                <w:sz w:val="20"/>
                <w:szCs w:val="20"/>
                <w:color w:val="auto"/>
              </w:rPr>
            </w:pPr>
            <w:r>
              <w:rPr>
                <w:rFonts w:ascii="Arial" w:cs="Arial" w:eastAsia="Arial" w:hAnsi="Arial"/>
                <w:sz w:val="16"/>
                <w:szCs w:val="16"/>
                <w:color w:val="auto"/>
              </w:rPr>
              <w:t>$ 0.856</w:t>
            </w:r>
          </w:p>
        </w:tc>
        <w:tc>
          <w:tcPr>
            <w:tcW w:w="1380" w:type="dxa"/>
            <w:vAlign w:val="bottom"/>
          </w:tcPr>
          <w:p>
            <w:pPr>
              <w:jc w:val="right"/>
              <w:ind w:right="299"/>
              <w:spacing w:after="0"/>
              <w:rPr>
                <w:sz w:val="20"/>
                <w:szCs w:val="20"/>
                <w:color w:val="auto"/>
              </w:rPr>
            </w:pPr>
            <w:r>
              <w:rPr>
                <w:rFonts w:ascii="Arial" w:cs="Arial" w:eastAsia="Arial" w:hAnsi="Arial"/>
                <w:sz w:val="16"/>
                <w:szCs w:val="16"/>
                <w:color w:val="auto"/>
              </w:rPr>
              <w:t>$ 0.927</w:t>
            </w: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$ 0.902</w:t>
            </w:r>
          </w:p>
        </w:tc>
        <w:tc>
          <w:tcPr>
            <w:tcW w:w="1100" w:type="dxa"/>
            <w:vAlign w:val="bottom"/>
          </w:tcPr>
          <w:p>
            <w:pPr>
              <w:jc w:val="right"/>
              <w:spacing w:after="0"/>
              <w:rPr>
                <w:sz w:val="20"/>
                <w:szCs w:val="20"/>
                <w:color w:val="auto"/>
              </w:rPr>
            </w:pPr>
            <w:r>
              <w:rPr>
                <w:rFonts w:ascii="Arial" w:cs="Arial" w:eastAsia="Arial" w:hAnsi="Arial"/>
                <w:sz w:val="16"/>
                <w:szCs w:val="16"/>
                <w:color w:val="auto"/>
              </w:rPr>
              <w:t>$ 0.965</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Frank C. Steininger</w:t>
      </w:r>
    </w:p>
    <w:p>
      <w:pPr>
        <w:ind w:left="960"/>
        <w:spacing w:after="0" w:line="238" w:lineRule="auto"/>
        <w:rPr>
          <w:sz w:val="20"/>
          <w:szCs w:val="20"/>
          <w:color w:val="auto"/>
        </w:rPr>
      </w:pPr>
      <w:r>
        <w:rPr>
          <w:rFonts w:ascii="Courier New" w:cs="Courier New" w:eastAsia="Courier New" w:hAnsi="Courier New"/>
          <w:sz w:val="18"/>
          <w:szCs w:val="18"/>
          <w:color w:val="auto"/>
        </w:rPr>
        <w:t>Civeo Corporation</w:t>
      </w:r>
    </w:p>
    <w:p>
      <w:pPr>
        <w:ind w:left="960"/>
        <w:spacing w:after="0"/>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7"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1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2019-12-09T03:35:28Z</dcterms:created>
  <dcterms:modified xsi:type="dcterms:W3CDTF">2019-12-09T03:35:28Z</dcterms:modified>
</cp:coreProperties>
</file>