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25, 2025</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 Definitive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November 25, 2025, Civeo Corporation (“Civeo”) entered into a cooperation agreement (the “Cooperation Agreement”) with Engine Capital LP and certain of its affiliates (collectively, “Engine Capital”).</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Pursuant to the Cooperation Agreement, Civeo agreed to appoint (i) Jeffrey B. Scofield to the Board of Directors of Civeo (the “Board”) as a Class I director, with an initial term expiring at Civeo’s 2027 annual general meeting of shareholders (the “2027 Annual Meeting”), and (ii) Daniel B. Silvers to the Board as a Class III director, with an initial term expiring at Civeo’s 2026 annual general meeting of shareholders (the “2026 Annual Meeting”). Civeo also agreed to nominate Mr. Silvers as a director for election to the Board at the 2026 Annual Meeting, with a term expiring at the 2027 Annual Meeting. The Cooperation Agreement provides for customary director replacement procedures in the event that Mr. Silvers ceases to serve as a director under certain circumstances as specified in the Cooperation Agreement.</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Pursuant to the Cooperation Agreement, Civeo also agreed to appoint Mr. Scofield to the Audit Committee and the Finance and Investment Committee of the Board and Mr. Silvers to the Compensation Committee and the Environmental, Social, Governance and Nominating Committee of the Board.</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Cooperation Agreement contains certain customary standstill restrictions, voting commitments, expense reimbursement and other provisions, such as a mutual non-disparagement provision, which will remain in effect until the date that is the earlier of (i) 30 days prior to the deadline for the submission of shareholder director nominations for the 2027 Annual Meeting and (ii) 120 days prior to the first anniversary of the 2026 Annual Meeting, subject to extension in the event the Company irrevocably offers to re-nominate Mr. Silvers at the 2027 Annual Meeting and Engine Capital accepts such offer (the “Termination Date”). Civeo agreed that the Board’s size shall be no greater than nine members without Engine Capital’s written consent from the conclusion of the 2026 Annual Meeting until the Termination Date.</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foregoing description does not purport to be complete and is qualified in its entirety by reference to the Cooperation Agreement, a copy of which is attached hereto as Exhibit 10.1 and is incorporated herein by reference.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November 25, 2025, the Board appointed Mr. Scofield to the Board as a Class I director, with an initial term expiring at the 2027 Annual Meeting, and Mr. Silvers to the Board as a Class III director, with an initial term expiring at the 2026 Annual Meeting. In connection with Mr. Scofield’s and Mr. Silvers’ appointments, the Board increased the size of the Board from nine to eleven members.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Board has also appointed Mr. Scofield to the Audit Committee and the Finance and Investment Committee and Mr. Silvers to the Compensation Committee and the Environmental, Social,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936625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44" w:lineRule="auto"/>
        <w:rPr>
          <w:sz w:val="20"/>
          <w:szCs w:val="20"/>
          <w:color w:val="auto"/>
        </w:rPr>
      </w:pPr>
      <w:r>
        <w:rPr>
          <w:rFonts w:ascii="Times New Roman" w:cs="Times New Roman" w:eastAsia="Times New Roman" w:hAnsi="Times New Roman"/>
          <w:sz w:val="22"/>
          <w:szCs w:val="22"/>
          <w:color w:val="auto"/>
        </w:rPr>
        <w:t>Each of Messrs. Scofield and Silvers will receive an annual retainer of $75,000 for their service on the Board and, commencing at Civeo’s next annual shareholders’ meeting, annual restricted share awards valued at $125,000 based on the closing share price of Civeo’s common shares on the applicable grant date.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In addition, upon their appointment, the Board agreed to grant each of Messrs. Scofield and Silvers restricted share awards valued at $125,000 based on the closing share price of Civeo’s common shares on November 26, 2025, which shall be the grant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Civeo intends to enter into its form of director and executive officer indemnification agreement with each of Mr. Scofield and Mr.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Silvers, a copy of which has been filed as Exhibit 10.1 to the Company’s Current Report on Form 8-K12B filed with the U.S.</w:t>
      </w:r>
    </w:p>
    <w:p>
      <w:pPr>
        <w:spacing w:after="0"/>
        <w:rPr>
          <w:sz w:val="20"/>
          <w:szCs w:val="20"/>
          <w:color w:val="auto"/>
        </w:rPr>
      </w:pPr>
      <w:r>
        <w:rPr>
          <w:rFonts w:ascii="Times New Roman" w:cs="Times New Roman" w:eastAsia="Times New Roman" w:hAnsi="Times New Roman"/>
          <w:sz w:val="22"/>
          <w:szCs w:val="22"/>
          <w:color w:val="auto"/>
        </w:rPr>
        <w:t>Securities and Exchange Commission on July 17, 2015.</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for the Cooperation Agreement described in Item 1.01 above, there are no arrangements or understandings pursuant to which Mr. Scofield or Mr. Silvers were appointed to the Board. Messrs. Scofield and Silvers are not party to any transaction, or series of transactions, required to be disclosed pursuant to Item 404(a) of Regulation S-K.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November 26, 2025, Civeo issued a press release announcing the appointment of Mr. Scofield and Mr. Silvers to the Board and Civeo’s entry into the Cooperation Agreement. A copy of the press release is furnished as Exhibit 99.1 to this report on Form 8-K and is incorporated herein by reference.</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information contained in this Item 7.01, including Exhibit 99.1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279"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7"/>
          <w:szCs w:val="17"/>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1"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Cooperation Agreement, dated November 25, 2025</w:t>
      </w:r>
    </w:p>
    <w:p>
      <w:pPr>
        <w:spacing w:after="0" w:line="139"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Press Release, dated November 26, 2025</w:t>
      </w:r>
    </w:p>
    <w:p>
      <w:pPr>
        <w:spacing w:after="0" w:line="139" w:lineRule="exact"/>
        <w:rPr>
          <w:sz w:val="20"/>
          <w:szCs w:val="20"/>
          <w:color w:val="auto"/>
        </w:rPr>
      </w:pPr>
    </w:p>
    <w:p>
      <w:pPr>
        <w:ind w:left="980"/>
        <w:spacing w:after="0"/>
        <w:tabs>
          <w:tab w:leader="none" w:pos="166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2"/>
          <w:szCs w:val="22"/>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28, 2025</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E. Collin Gerry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901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 Collin Gerry</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1292" w:right="339" w:bottom="1440" w:gutter="0" w:footer="0" w:header="0"/>
        </w:sectPr>
      </w:pPr>
    </w:p>
    <w:bookmarkStart w:id="5" w:name="page6"/>
    <w:bookmarkEnd w:id="5"/>
    <w:p>
      <w:pPr>
        <w:ind w:right="100" w:firstLine="648"/>
        <w:spacing w:after="0" w:line="260"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COOPERATION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dated as of November 25, 2025, is by and among the entities and individuals set forth on the signature pages hereto (together with their respective affiliates, the “</w:t>
      </w:r>
      <w:r>
        <w:rPr>
          <w:rFonts w:ascii="Times New Roman" w:cs="Times New Roman" w:eastAsia="Times New Roman" w:hAnsi="Times New Roman"/>
          <w:sz w:val="22"/>
          <w:szCs w:val="22"/>
          <w:b w:val="1"/>
          <w:bCs w:val="1"/>
          <w:i w:val="1"/>
          <w:iCs w:val="1"/>
          <w:color w:val="auto"/>
        </w:rPr>
        <w:t>Engine Group</w:t>
      </w:r>
      <w:r>
        <w:rPr>
          <w:rFonts w:ascii="Times New Roman" w:cs="Times New Roman" w:eastAsia="Times New Roman" w:hAnsi="Times New Roman"/>
          <w:sz w:val="22"/>
          <w:szCs w:val="22"/>
          <w:color w:val="auto"/>
        </w:rPr>
        <w:t>”) and Civeo Corporation, a British Columbia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consideration of and reliance upon the mutual covenants and agreements contained herein, the parties agree as follows:</w:t>
      </w:r>
    </w:p>
    <w:p>
      <w:pPr>
        <w:spacing w:after="0" w:line="204" w:lineRule="exact"/>
        <w:rPr>
          <w:sz w:val="20"/>
          <w:szCs w:val="20"/>
          <w:color w:val="auto"/>
        </w:rPr>
      </w:pPr>
    </w:p>
    <w:p>
      <w:pPr>
        <w:ind w:right="280" w:firstLine="656"/>
        <w:spacing w:after="0" w:line="236" w:lineRule="auto"/>
        <w:tabs>
          <w:tab w:leader="none" w:pos="1296" w:val="left"/>
        </w:tabs>
        <w:numPr>
          <w:ilvl w:val="0"/>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The terms defined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shall have the meanings herein specified for all purposes of this Agreement, applicable to both the singular and plural forms of any of the terms herein defined.</w:t>
      </w:r>
    </w:p>
    <w:p>
      <w:pPr>
        <w:spacing w:after="0" w:line="144" w:lineRule="exact"/>
        <w:rPr>
          <w:rFonts w:ascii="Times New Roman" w:cs="Times New Roman" w:eastAsia="Times New Roman" w:hAnsi="Times New Roman"/>
          <w:sz w:val="22"/>
          <w:szCs w:val="22"/>
          <w:color w:val="010000"/>
        </w:rPr>
      </w:pPr>
    </w:p>
    <w:p>
      <w:pPr>
        <w:ind w:right="120" w:firstLine="1304"/>
        <w:spacing w:after="0" w:line="222" w:lineRule="auto"/>
        <w:tabs>
          <w:tab w:leader="none" w:pos="1941"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Associate</w:t>
      </w:r>
      <w:r>
        <w:rPr>
          <w:rFonts w:ascii="Times New Roman" w:cs="Times New Roman" w:eastAsia="Times New Roman" w:hAnsi="Times New Roman"/>
          <w:sz w:val="22"/>
          <w:szCs w:val="22"/>
          <w:color w:val="auto"/>
        </w:rPr>
        <w:t xml:space="preserve">” shall have the respective meanings set forth in Rule 12b-2 promulgated by the SEC under the Exchange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members of the Engine Group and their Affiliates and Associates, on the one hand, and the Company and its Affiliates and Associates, on the other hand, shall not be deemed to be “Affiliates” or “Associates,” as applicable, of one another.</w:t>
      </w:r>
    </w:p>
    <w:p>
      <w:pPr>
        <w:spacing w:after="0" w:line="143"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Articles</w:t>
      </w:r>
      <w:r>
        <w:rPr>
          <w:rFonts w:ascii="Times New Roman" w:cs="Times New Roman" w:eastAsia="Times New Roman" w:hAnsi="Times New Roman"/>
          <w:sz w:val="22"/>
          <w:szCs w:val="22"/>
          <w:color w:val="auto"/>
        </w:rPr>
        <w:t>” means the Amended and Restated Articles of the Company.</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means the Company’s common shares, no par value.</w:t>
      </w:r>
    </w:p>
    <w:p>
      <w:pPr>
        <w:spacing w:after="0" w:line="179" w:lineRule="exact"/>
        <w:rPr>
          <w:rFonts w:ascii="Times New Roman" w:cs="Times New Roman" w:eastAsia="Times New Roman" w:hAnsi="Times New Roman"/>
          <w:sz w:val="22"/>
          <w:szCs w:val="22"/>
          <w:color w:val="010000"/>
        </w:rPr>
      </w:pPr>
    </w:p>
    <w:p>
      <w:pPr>
        <w:ind w:right="240" w:firstLine="1304"/>
        <w:spacing w:after="0" w:line="239" w:lineRule="auto"/>
        <w:tabs>
          <w:tab w:leader="none" w:pos="1941"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Engine Group</w:t>
      </w:r>
      <w:r>
        <w:rPr>
          <w:rFonts w:ascii="Times New Roman" w:cs="Times New Roman" w:eastAsia="Times New Roman" w:hAnsi="Times New Roman"/>
          <w:sz w:val="22"/>
          <w:szCs w:val="22"/>
          <w:color w:val="auto"/>
        </w:rPr>
        <w:t>” has the meaning specified in the preamble and includes, but is not limited to, any funds and accounts with respect to which:</w:t>
      </w:r>
    </w:p>
    <w:p>
      <w:pPr>
        <w:spacing w:after="0" w:line="150" w:lineRule="exact"/>
        <w:rPr>
          <w:rFonts w:ascii="Times New Roman" w:cs="Times New Roman" w:eastAsia="Times New Roman" w:hAnsi="Times New Roman"/>
          <w:sz w:val="22"/>
          <w:szCs w:val="22"/>
          <w:color w:val="010000"/>
        </w:rPr>
      </w:pPr>
    </w:p>
    <w:p>
      <w:pPr>
        <w:ind w:left="660" w:right="200" w:firstLine="1292"/>
        <w:spacing w:after="0" w:line="236" w:lineRule="auto"/>
        <w:tabs>
          <w:tab w:leader="none" w:pos="2592" w:val="left"/>
        </w:tabs>
        <w:numPr>
          <w:ilvl w:val="2"/>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one or more members of the Engine Group are the only general partners or managing members or act as the only investment managers and</w:t>
      </w:r>
    </w:p>
    <w:p>
      <w:pPr>
        <w:spacing w:after="0" w:line="150" w:lineRule="exact"/>
        <w:rPr>
          <w:rFonts w:ascii="Times New Roman" w:cs="Times New Roman" w:eastAsia="Times New Roman" w:hAnsi="Times New Roman"/>
          <w:sz w:val="22"/>
          <w:szCs w:val="22"/>
          <w:color w:val="010000"/>
        </w:rPr>
      </w:pPr>
    </w:p>
    <w:p>
      <w:pPr>
        <w:ind w:left="660" w:right="440" w:firstLine="1292"/>
        <w:spacing w:after="0" w:line="225" w:lineRule="auto"/>
        <w:tabs>
          <w:tab w:leader="none" w:pos="2598" w:val="left"/>
        </w:tabs>
        <w:numPr>
          <w:ilvl w:val="2"/>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voting power or investment power (within the meaning of Rule 13d-3 promulgated by the SEC under the Exchange Act) are not delegated to or shared with any person or entity other than a member of the Engine Group or any of its controlled Affiliates.</w:t>
      </w:r>
    </w:p>
    <w:p>
      <w:pPr>
        <w:spacing w:after="0" w:line="146" w:lineRule="exact"/>
        <w:rPr>
          <w:rFonts w:ascii="Times New Roman" w:cs="Times New Roman" w:eastAsia="Times New Roman" w:hAnsi="Times New Roman"/>
          <w:sz w:val="22"/>
          <w:szCs w:val="22"/>
          <w:color w:val="010000"/>
        </w:rPr>
      </w:pPr>
    </w:p>
    <w:p>
      <w:pPr>
        <w:ind w:firstLine="1304"/>
        <w:spacing w:after="0" w:line="239" w:lineRule="auto"/>
        <w:tabs>
          <w:tab w:leader="none" w:pos="1944"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Engine Group Minimum Ownership Requirement</w:t>
      </w:r>
      <w:r>
        <w:rPr>
          <w:rFonts w:ascii="Times New Roman" w:cs="Times New Roman" w:eastAsia="Times New Roman" w:hAnsi="Times New Roman"/>
          <w:sz w:val="22"/>
          <w:szCs w:val="22"/>
          <w:color w:val="auto"/>
        </w:rPr>
        <w:t>” means a net long position of at least 3.5% of the then outstanding Common Stock.</w:t>
      </w:r>
    </w:p>
    <w:p>
      <w:pPr>
        <w:spacing w:after="0" w:line="144"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color w:val="010000"/>
        </w:rPr>
      </w:pPr>
    </w:p>
    <w:p>
      <w:pPr>
        <w:jc w:val="both"/>
        <w:ind w:right="200" w:firstLine="1304"/>
        <w:spacing w:after="0" w:line="222" w:lineRule="auto"/>
        <w:tabs>
          <w:tab w:leader="none" w:pos="1939"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Extraordinary Transaction</w:t>
      </w:r>
      <w:r>
        <w:rPr>
          <w:rFonts w:ascii="Times New Roman" w:cs="Times New Roman" w:eastAsia="Times New Roman" w:hAnsi="Times New Roman"/>
          <w:sz w:val="22"/>
          <w:szCs w:val="22"/>
          <w:color w:val="auto"/>
        </w:rPr>
        <w:t>” means any tender offer, exchange offer, merger, consolidation, acquisition, business combination, sale, recapitalization, restructuring, plan of arrangement, or other corporate transaction with a third party that, in each case, results in a change in control of the Company or the sale, lease or exchange of all or substantially all of its property and assets.</w:t>
      </w:r>
    </w:p>
    <w:p>
      <w:pPr>
        <w:spacing w:after="0" w:line="143"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Form 8-K</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Investor Affiliate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right="780" w:firstLine="1304"/>
        <w:spacing w:after="0" w:line="239" w:lineRule="auto"/>
        <w:tabs>
          <w:tab w:leader="none" w:pos="1939"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net long position</w:t>
      </w:r>
      <w:r>
        <w:rPr>
          <w:rFonts w:ascii="Times New Roman" w:cs="Times New Roman" w:eastAsia="Times New Roman" w:hAnsi="Times New Roman"/>
          <w:sz w:val="22"/>
          <w:szCs w:val="22"/>
          <w:color w:val="auto"/>
        </w:rPr>
        <w:t>” means shares of Common Stock beneficially owned, directly or indirectly, that constitute a person’s net long position as defined in Rule 14e-4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240"/>
          </w:cols>
          <w:pgMar w:left="320" w:top="1416" w:right="339" w:bottom="1440" w:gutter="0" w:footer="0" w:header="0"/>
        </w:sectPr>
      </w:pPr>
    </w:p>
    <w:bookmarkStart w:id="6" w:name="page7"/>
    <w:bookmarkEnd w:id="6"/>
    <w:p>
      <w:pPr>
        <w:ind w:right="260"/>
        <w:spacing w:after="0" w:line="221" w:lineRule="auto"/>
        <w:rPr>
          <w:sz w:val="20"/>
          <w:szCs w:val="20"/>
          <w:color w:val="auto"/>
        </w:rPr>
      </w:pPr>
      <w:r>
        <w:rPr>
          <w:rFonts w:ascii="Times New Roman" w:cs="Times New Roman" w:eastAsia="Times New Roman" w:hAnsi="Times New Roman"/>
          <w:sz w:val="22"/>
          <w:szCs w:val="22"/>
          <w:color w:val="auto"/>
        </w:rPr>
        <w:t xml:space="preserve">the Exchange Act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“net long position” shall not include any shares as to which the person does not have the right to vote or direct the vote and shall be appropriately reduced to the extent the person has entered into a derivative or other agreement, arrangement or understanding that hedges or transfers, in whole or in part, directly or indirectly, any of the economic consequences of ownership of such shares.</w:t>
      </w:r>
    </w:p>
    <w:p>
      <w:pPr>
        <w:spacing w:after="0" w:line="146" w:lineRule="exact"/>
        <w:rPr>
          <w:sz w:val="20"/>
          <w:szCs w:val="20"/>
          <w:color w:val="auto"/>
        </w:rPr>
      </w:pPr>
    </w:p>
    <w:p>
      <w:pPr>
        <w:ind w:left="1940" w:hanging="636"/>
        <w:spacing w:after="0"/>
        <w:tabs>
          <w:tab w:leader="none" w:pos="1940"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New Directors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right="260" w:firstLine="1304"/>
        <w:spacing w:after="0" w:line="261" w:lineRule="auto"/>
        <w:tabs>
          <w:tab w:leader="none" w:pos="1932"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Nomination Deadline</w:t>
      </w:r>
      <w:r>
        <w:rPr>
          <w:rFonts w:ascii="Times New Roman" w:cs="Times New Roman" w:eastAsia="Times New Roman" w:hAnsi="Times New Roman"/>
          <w:sz w:val="21"/>
          <w:szCs w:val="21"/>
          <w:color w:val="auto"/>
        </w:rPr>
        <w:t>” means the date on which notices must be delivered to the Company pursuant to the Articles with respect to the nomination of candidates for election to the Board at a meeting of the Company’s shareholders.</w:t>
      </w:r>
    </w:p>
    <w:p>
      <w:pPr>
        <w:spacing w:after="0" w:line="122" w:lineRule="exact"/>
        <w:rPr>
          <w:rFonts w:ascii="Times New Roman" w:cs="Times New Roman" w:eastAsia="Times New Roman" w:hAnsi="Times New Roman"/>
          <w:sz w:val="21"/>
          <w:szCs w:val="21"/>
          <w:color w:val="010000"/>
        </w:rPr>
      </w:pPr>
    </w:p>
    <w:p>
      <w:pPr>
        <w:ind w:right="20" w:firstLine="1304"/>
        <w:spacing w:after="0" w:line="226" w:lineRule="auto"/>
        <w:tabs>
          <w:tab w:leader="none" w:pos="1939"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Policies</w:t>
      </w:r>
      <w:r>
        <w:rPr>
          <w:rFonts w:ascii="Times New Roman" w:cs="Times New Roman" w:eastAsia="Times New Roman" w:hAnsi="Times New Roman"/>
          <w:sz w:val="21"/>
          <w:szCs w:val="21"/>
          <w:color w:val="auto"/>
        </w:rPr>
        <w:t>” means the Company policies and guidelines applicable generally to directors serving on the Board in their individual capacity, including those with respect to conflicts of interest, related party transactions, fiduciary duties, codes of conduct and ethics, trading and disclosure policies (including the Company’s insider trading policy), director resignation policy, stock ownership guidelines, the director nondisclosure agreement, confidentiality obligations under British Columbia or Canadian law and the Articles and other applicable corporate governance guidelines and policies of the Company, in each case as may be altered, amended, modified, supplemented, updated, rescinded, revoked or otherwise changed from time to time.</w:t>
      </w:r>
    </w:p>
    <w:p>
      <w:pPr>
        <w:spacing w:after="0" w:line="147" w:lineRule="exact"/>
        <w:rPr>
          <w:rFonts w:ascii="Times New Roman" w:cs="Times New Roman" w:eastAsia="Times New Roman" w:hAnsi="Times New Roman"/>
          <w:sz w:val="21"/>
          <w:szCs w:val="21"/>
          <w:color w:val="010000"/>
        </w:rPr>
      </w:pPr>
    </w:p>
    <w:p>
      <w:pPr>
        <w:ind w:left="1940" w:hanging="636"/>
        <w:spacing w:after="0"/>
        <w:tabs>
          <w:tab w:leader="none" w:pos="1940"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Press Release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U.S. Securities Exchange Commission.</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Scofield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2(a).</w:t>
      </w:r>
    </w:p>
    <w:p>
      <w:pPr>
        <w:spacing w:after="0" w:line="179" w:lineRule="exact"/>
        <w:rPr>
          <w:rFonts w:ascii="Times New Roman" w:cs="Times New Roman" w:eastAsia="Times New Roman" w:hAnsi="Times New Roman"/>
          <w:sz w:val="22"/>
          <w:szCs w:val="22"/>
          <w:color w:val="010000"/>
        </w:rPr>
      </w:pPr>
    </w:p>
    <w:p>
      <w:pPr>
        <w:ind w:right="320" w:firstLine="1304"/>
        <w:spacing w:after="0" w:line="239" w:lineRule="auto"/>
        <w:tabs>
          <w:tab w:leader="none" w:pos="1944"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Silvers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(and includes any such director that replaces Silvers pursuant to </w:t>
      </w:r>
      <w:r>
        <w:rPr>
          <w:rFonts w:ascii="Times New Roman" w:cs="Times New Roman" w:eastAsia="Times New Roman" w:hAnsi="Times New Roman"/>
          <w:sz w:val="22"/>
          <w:szCs w:val="22"/>
          <w:u w:val="single" w:color="auto"/>
          <w:color w:val="auto"/>
        </w:rPr>
        <w:t>Section 2(f)</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such date that is the earlier of</w:t>
      </w:r>
    </w:p>
    <w:p>
      <w:pPr>
        <w:spacing w:after="0" w:line="185"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30 days prior to the Nomination Deadline for the 2027 Meeting and</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120 days prior to the first anniversary of the 2026 Meeting;</w:t>
      </w:r>
    </w:p>
    <w:p>
      <w:pPr>
        <w:spacing w:after="0" w:line="2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Company notifies the Engine Group in writing at least 20 days prior to the Termination Date that the Board irrevocably offers, subject to the Engine Group’s acceptance of such offer and provided that Silvers continues to meet all director independence and other standards of any applicable stock exchange (including the New York Stock Exchange), the Exchange Act, the SEC, and any applicable Canadian securities laws to serve as a director of the Company, to re-nominate Silvers for election at the 2027 Meeting and the Engine Group accepts such offer within 15 days of receipt of such notice, the Termination Date shall be automatically extended until the date that is the earlier of (A) 30 days prior to the Nomination Deadline for the 2028 Meeting and (B) 120 days prior to the first anniversary of the 2027 Meeting. For the avoidance of doubt, if the Engine Group does not accept the Company’s offer to irrevocably re-nominate Silvers or does not notify the Company within 15 day period as provided in clause (B) hereof, such offer will cease to remain irrevocable and there shall be no obligation to re-nominate Silvers.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220"/>
          </w:cols>
          <w:pgMar w:left="320" w:top="1391" w:right="359" w:bottom="1440" w:gutter="0" w:footer="0" w:header="0"/>
        </w:sectPr>
      </w:pPr>
    </w:p>
    <w:bookmarkStart w:id="7" w:name="page8"/>
    <w:bookmarkEnd w:id="7"/>
    <w:p>
      <w:pPr>
        <w:ind w:right="420" w:firstLine="1304"/>
        <w:spacing w:after="0" w:line="227" w:lineRule="auto"/>
        <w:tabs>
          <w:tab w:leader="none" w:pos="1932" w:val="left"/>
        </w:tabs>
        <w:numPr>
          <w:ilvl w:val="1"/>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Voting Securities</w:t>
      </w:r>
      <w:r>
        <w:rPr>
          <w:rFonts w:ascii="Times New Roman" w:cs="Times New Roman" w:eastAsia="Times New Roman" w:hAnsi="Times New Roman"/>
          <w:sz w:val="22"/>
          <w:szCs w:val="22"/>
          <w:color w:val="auto"/>
        </w:rPr>
        <w:t>” means, collectively, shares of Common Stock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or any other securities of the Company entitled to vote in the election of directors of the Company, or securities convertible into, or exercisable or exchangeable for, Common Stock or such other securities.</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2026 Meeting</w:t>
      </w:r>
      <w:r>
        <w:rPr>
          <w:rFonts w:ascii="Times New Roman" w:cs="Times New Roman" w:eastAsia="Times New Roman" w:hAnsi="Times New Roman"/>
          <w:sz w:val="22"/>
          <w:szCs w:val="22"/>
          <w:color w:val="auto"/>
        </w:rPr>
        <w:t>” means the Company’s 2026 Annual General Meeting of Shareholders.</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2027 Meeting</w:t>
      </w:r>
      <w:r>
        <w:rPr>
          <w:rFonts w:ascii="Times New Roman" w:cs="Times New Roman" w:eastAsia="Times New Roman" w:hAnsi="Times New Roman"/>
          <w:sz w:val="22"/>
          <w:szCs w:val="22"/>
          <w:color w:val="auto"/>
        </w:rPr>
        <w:t>” means the Company’s 2027 Annual General Meeting of Shareholders.</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2028 Meeting</w:t>
      </w:r>
      <w:r>
        <w:rPr>
          <w:rFonts w:ascii="Times New Roman" w:cs="Times New Roman" w:eastAsia="Times New Roman" w:hAnsi="Times New Roman"/>
          <w:sz w:val="22"/>
          <w:szCs w:val="22"/>
          <w:color w:val="auto"/>
        </w:rPr>
        <w:t>” means the Company’s 2028 Annual General Meeting of Shareholders.</w:t>
      </w:r>
    </w:p>
    <w:p>
      <w:pPr>
        <w:spacing w:after="0" w:line="185"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Board Matters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firstLine="1304"/>
        <w:spacing w:after="0" w:line="209" w:lineRule="auto"/>
        <w:tabs>
          <w:tab w:leader="none" w:pos="1941"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agrees that prior to the execution and delivery of this Agreement, the Board and all applicable committees of the Board will (i) take all necessary action (including increasing the size of the Board by two directorships) to appoint Mr. Daniel B. Silvers (“</w:t>
      </w:r>
      <w:r>
        <w:rPr>
          <w:rFonts w:ascii="Times New Roman" w:cs="Times New Roman" w:eastAsia="Times New Roman" w:hAnsi="Times New Roman"/>
          <w:sz w:val="22"/>
          <w:szCs w:val="22"/>
          <w:b w:val="1"/>
          <w:bCs w:val="1"/>
          <w:i w:val="1"/>
          <w:iCs w:val="1"/>
          <w:color w:val="auto"/>
        </w:rPr>
        <w:t>Silvers</w:t>
      </w:r>
      <w:r>
        <w:rPr>
          <w:rFonts w:ascii="Times New Roman" w:cs="Times New Roman" w:eastAsia="Times New Roman" w:hAnsi="Times New Roman"/>
          <w:sz w:val="22"/>
          <w:szCs w:val="22"/>
          <w:color w:val="auto"/>
        </w:rPr>
        <w:t>”) to the Board as a Class III director, with an initial term expiring at the 2026 Meeting, and to appoint Mr. Jeffrey B. Scofield (“</w:t>
      </w:r>
      <w:r>
        <w:rPr>
          <w:rFonts w:ascii="Times New Roman" w:cs="Times New Roman" w:eastAsia="Times New Roman" w:hAnsi="Times New Roman"/>
          <w:sz w:val="22"/>
          <w:szCs w:val="22"/>
          <w:b w:val="1"/>
          <w:bCs w:val="1"/>
          <w:i w:val="1"/>
          <w:iCs w:val="1"/>
          <w:color w:val="auto"/>
        </w:rPr>
        <w:t>Scofield</w:t>
      </w:r>
      <w:r>
        <w:rPr>
          <w:rFonts w:ascii="Times New Roman" w:cs="Times New Roman" w:eastAsia="Times New Roman" w:hAnsi="Times New Roman"/>
          <w:sz w:val="22"/>
          <w:szCs w:val="22"/>
          <w:color w:val="auto"/>
        </w:rPr>
        <w:t>” and, together with Silvers, the “</w:t>
      </w:r>
      <w:r>
        <w:rPr>
          <w:rFonts w:ascii="Times New Roman" w:cs="Times New Roman" w:eastAsia="Times New Roman" w:hAnsi="Times New Roman"/>
          <w:sz w:val="22"/>
          <w:szCs w:val="22"/>
          <w:b w:val="1"/>
          <w:bCs w:val="1"/>
          <w:i w:val="1"/>
          <w:iCs w:val="1"/>
          <w:color w:val="auto"/>
        </w:rPr>
        <w:t>New Directors</w:t>
      </w:r>
      <w:r>
        <w:rPr>
          <w:rFonts w:ascii="Times New Roman" w:cs="Times New Roman" w:eastAsia="Times New Roman" w:hAnsi="Times New Roman"/>
          <w:sz w:val="22"/>
          <w:szCs w:val="22"/>
          <w:color w:val="auto"/>
        </w:rPr>
        <w:t xml:space="preserve">”) to the Board as a Class I director, with an initial term expiring at the 2027 Meeting, and (ii) promptly appoint Silvers to each of the Compensation Committee and the Environmental, Social, Governance and Nominating Committee of the Board, upon which committees Silvers shall be entitled to serve until the 2027 Meeting, or such earlier date on which Silvers ceases to serve on the Board and (iii) promptly appoint Scofield to each of the Audit Committee and the Finance and Investment Committee, upon which committees Scofield shall be entitled to serve until the 2027 Meeting, or such earlier date on which Scofield ceases to serve on the Board. For the avoidance of doubt, the size and composition of the Committees of the Board shall be determined by the Board in its sole discretion, subject only to the inclusion of the New Directors on such committees as set forth in the immediately preceding sentence. Additionally, the Company agrees that the New Directors shall be given the same due consideration for membership to each committee of the Board as any other independent director. The Company shall appoint Silvers to any new committee of the Board created until the Termination Date to consider strategic alternatives or Extraordinary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Silvers is not conflicted from serving on any such committee.</w:t>
      </w:r>
    </w:p>
    <w:p>
      <w:pPr>
        <w:spacing w:after="0" w:line="151" w:lineRule="exact"/>
        <w:rPr>
          <w:rFonts w:ascii="Times New Roman" w:cs="Times New Roman" w:eastAsia="Times New Roman" w:hAnsi="Times New Roman"/>
          <w:sz w:val="22"/>
          <w:szCs w:val="22"/>
          <w:color w:val="010000"/>
        </w:rPr>
      </w:pPr>
    </w:p>
    <w:p>
      <w:pPr>
        <w:ind w:right="40" w:firstLine="1304"/>
        <w:spacing w:after="0" w:line="220" w:lineRule="auto"/>
        <w:tabs>
          <w:tab w:leader="none" w:pos="1939" w:val="left"/>
        </w:tabs>
        <w:numPr>
          <w:ilvl w:val="1"/>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Board and all applicable committees of the Board shall take all necessary actions to nominate Silvers as a director for election to the Board at the 2026 Meeting for a term expiring at the 2027 Meeting. The Company shall list Silvers in the Company’s proxy statement and the proxy card prepared, filed and delivered in connection with the 2026 Meeting. The Company shall recommend, support and solicit proxies for the election of Silvers at the 2026 Meeting in the same manner as it recommends, supports, and solicits proxies for the election of the Company’s other director nominees. Promptly after the New Directors’ appointment to the Board, the New Directors shall provide to the Company, to the same extent as provided with respect to other nominees, such information as is required to be disclosed in proxy statements or other Company filings under applicable law or is otherwise necessary for the inclusion of the New Directors on the Board’s slate of nominees for election as directors or for the Company to comply with applicable law. The Board’s slate of nominees for election to the Board at the 2026 Meeting shall be no greater than 9 members. From the conclusion of the 2026 Annual Meeting until the Termination Date, the Board’s size shall be no greater than 9 members without the Engine Group’s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220"/>
          </w:cols>
          <w:pgMar w:left="320" w:top="1389" w:right="359" w:bottom="1440" w:gutter="0" w:footer="0" w:header="0"/>
        </w:sectPr>
      </w:pPr>
    </w:p>
    <w:bookmarkStart w:id="8" w:name="page9"/>
    <w:bookmarkEnd w:id="8"/>
    <w:p>
      <w:pPr>
        <w:ind w:right="60" w:firstLine="1304"/>
        <w:spacing w:after="0" w:line="225" w:lineRule="auto"/>
        <w:tabs>
          <w:tab w:leader="none" w:pos="1941" w:val="left"/>
        </w:tabs>
        <w:numPr>
          <w:ilvl w:val="0"/>
          <w:numId w:val="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shall provide each of the New Directors the same director benefits for service as a member of the Board as other non-employee directors, including, but not limited to (i) compensation for such director’s service as a director and reimbursement for such director’s out-of-pocket expenses on the same basis as all other non-employee directors of the Company, (ii) equity-based compensation grants and other benefits if, to the extent, and on the same basis as all other non-employee directors of the Company and (iii) the same rights of indemnification and directors’ and officers’ liability insurance coverage as the other non-employee directors of the Company, as such rights may exist from time to time.</w:t>
      </w:r>
    </w:p>
    <w:p>
      <w:pPr>
        <w:spacing w:after="0" w:line="153" w:lineRule="exact"/>
        <w:rPr>
          <w:rFonts w:ascii="Times New Roman" w:cs="Times New Roman" w:eastAsia="Times New Roman" w:hAnsi="Times New Roman"/>
          <w:sz w:val="21"/>
          <w:szCs w:val="21"/>
          <w:color w:val="010000"/>
        </w:rPr>
      </w:pPr>
    </w:p>
    <w:p>
      <w:pPr>
        <w:ind w:right="500" w:firstLine="1304"/>
        <w:spacing w:after="0" w:line="225" w:lineRule="auto"/>
        <w:tabs>
          <w:tab w:leader="none" w:pos="1939"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member of the Engine Group shall comply, and shall cause each of its controlled Affiliates and Associates to comply with the terms of this Agreement, and shall be responsible for any breach of this Agreement by any Affiliate or Associate.</w:t>
      </w:r>
    </w:p>
    <w:p>
      <w:pPr>
        <w:spacing w:after="0" w:line="152" w:lineRule="exact"/>
        <w:rPr>
          <w:rFonts w:ascii="Times New Roman" w:cs="Times New Roman" w:eastAsia="Times New Roman" w:hAnsi="Times New Roman"/>
          <w:sz w:val="22"/>
          <w:szCs w:val="22"/>
          <w:color w:val="010000"/>
        </w:rPr>
      </w:pPr>
    </w:p>
    <w:p>
      <w:pPr>
        <w:ind w:right="220" w:firstLine="1304"/>
        <w:spacing w:after="0" w:line="220" w:lineRule="auto"/>
        <w:tabs>
          <w:tab w:leader="none" w:pos="1941"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not previously provided, prior to or simultaneously with the execution of this Agreement, each of the New Directors shall have submitted to the Company a fully completed copy of the Company’s directors’ questionnaire, director nondisclosure agreement, and other reasonable and customary director on-boarding documentation that the Company requires in connection with the appointment or election of a new director.</w:t>
      </w:r>
    </w:p>
    <w:p>
      <w:pPr>
        <w:spacing w:after="0" w:line="152" w:lineRule="exact"/>
        <w:rPr>
          <w:rFonts w:ascii="Times New Roman" w:cs="Times New Roman" w:eastAsia="Times New Roman" w:hAnsi="Times New Roman"/>
          <w:sz w:val="22"/>
          <w:szCs w:val="22"/>
          <w:color w:val="010000"/>
        </w:rPr>
      </w:pPr>
    </w:p>
    <w:p>
      <w:pPr>
        <w:ind w:right="360" w:firstLine="1304"/>
        <w:spacing w:after="0" w:line="220" w:lineRule="auto"/>
        <w:tabs>
          <w:tab w:leader="none" w:pos="1944"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Silvers ceases to be a director of the Board before the Termination Date and at such time the Engine Group satisfies the Engine Group Minimum Ownership Requirement, then the Engine Group, subject to certifying to the Company in writing its compliance with the Engine Group Minimum Ownership Requirement, shall be entitled to designate another individual who</w:t>
      </w:r>
    </w:p>
    <w:p>
      <w:pPr>
        <w:spacing w:after="0" w:line="152" w:lineRule="exact"/>
        <w:rPr>
          <w:rFonts w:ascii="Times New Roman" w:cs="Times New Roman" w:eastAsia="Times New Roman" w:hAnsi="Times New Roman"/>
          <w:sz w:val="22"/>
          <w:szCs w:val="22"/>
          <w:color w:val="010000"/>
        </w:rPr>
      </w:pPr>
    </w:p>
    <w:p>
      <w:pPr>
        <w:ind w:left="660" w:right="920" w:firstLine="1292"/>
        <w:spacing w:after="0" w:line="236" w:lineRule="auto"/>
        <w:tabs>
          <w:tab w:leader="none" w:pos="2592" w:val="left"/>
        </w:tabs>
        <w:numPr>
          <w:ilvl w:val="1"/>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 reasonably acceptable to the Board (such acceptance not to be unreasonably withheld, conditioned or delayed),</w:t>
      </w:r>
    </w:p>
    <w:p>
      <w:pPr>
        <w:spacing w:after="0" w:line="150" w:lineRule="exact"/>
        <w:rPr>
          <w:rFonts w:ascii="Times New Roman" w:cs="Times New Roman" w:eastAsia="Times New Roman" w:hAnsi="Times New Roman"/>
          <w:sz w:val="22"/>
          <w:szCs w:val="22"/>
          <w:color w:val="010000"/>
        </w:rPr>
      </w:pPr>
    </w:p>
    <w:p>
      <w:pPr>
        <w:ind w:left="660" w:right="360" w:firstLine="1292"/>
        <w:spacing w:after="0" w:line="236" w:lineRule="auto"/>
        <w:tabs>
          <w:tab w:leader="none" w:pos="2598" w:val="left"/>
        </w:tabs>
        <w:numPr>
          <w:ilvl w:val="1"/>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satisfies customary director nomination and onboarding procedures that are consistent with the Board’s past practice with all directors sitting on the Board, and</w:t>
      </w:r>
    </w:p>
    <w:p>
      <w:pPr>
        <w:spacing w:after="0" w:line="150" w:lineRule="exact"/>
        <w:rPr>
          <w:rFonts w:ascii="Times New Roman" w:cs="Times New Roman" w:eastAsia="Times New Roman" w:hAnsi="Times New Roman"/>
          <w:sz w:val="22"/>
          <w:szCs w:val="22"/>
          <w:color w:val="010000"/>
        </w:rPr>
      </w:pPr>
    </w:p>
    <w:p>
      <w:pPr>
        <w:jc w:val="both"/>
        <w:ind w:left="660" w:right="200" w:firstLine="1292"/>
        <w:spacing w:after="0" w:line="225" w:lineRule="auto"/>
        <w:tabs>
          <w:tab w:leader="none" w:pos="2604" w:val="left"/>
        </w:tabs>
        <w:numPr>
          <w:ilvl w:val="1"/>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meets all director independence and other standards of any applicable stock exchange (including the New York Stock Exchange), the Exchange Act, the SEC, and any applicable Canadian securities laws to serve as a director of the Company,</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 xml:space="preserve">in which case the Board will appoint the individual as a director of the Company (and as a member of each committee of which the replacement director’s predecessor was a member immediately prior to the conclusion of the predecessor’s membership on the Board to serve for the remainder of the term of the predecessor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replacement director is qualified to serve on such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notwithstanding anything to the contrary contained in this Agreement, a replacement director will not be a director, officer, employee or Affiliate or Associate of the Engine Group.</w:t>
      </w:r>
    </w:p>
    <w:p>
      <w:pPr>
        <w:spacing w:after="0" w:line="15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Proxy Contests and Other Matters</w:t>
      </w:r>
      <w:r>
        <w:rPr>
          <w:rFonts w:ascii="Times New Roman" w:cs="Times New Roman" w:eastAsia="Times New Roman" w:hAnsi="Times New Roman"/>
          <w:sz w:val="22"/>
          <w:szCs w:val="22"/>
          <w:color w:val="auto"/>
        </w:rPr>
        <w:t>. From the date hereof until the Termination Date:</w:t>
      </w:r>
    </w:p>
    <w:p>
      <w:pPr>
        <w:spacing w:after="0" w:line="179" w:lineRule="exact"/>
        <w:rPr>
          <w:rFonts w:ascii="Times New Roman" w:cs="Times New Roman" w:eastAsia="Times New Roman" w:hAnsi="Times New Roman"/>
          <w:sz w:val="22"/>
          <w:szCs w:val="22"/>
          <w:color w:val="010000"/>
        </w:rPr>
      </w:pPr>
    </w:p>
    <w:p>
      <w:pPr>
        <w:ind w:right="200" w:firstLine="1304"/>
        <w:spacing w:after="0" w:line="225" w:lineRule="auto"/>
        <w:tabs>
          <w:tab w:leader="none" w:pos="1941" w:val="left"/>
        </w:tabs>
        <w:numPr>
          <w:ilvl w:val="1"/>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members of the Engine Group or any controlled Affiliate or controlled Associate of any member of the Engine Group (such controlled Associates and controlled Affiliates, collectively and individually, the “</w:t>
      </w:r>
      <w:r>
        <w:rPr>
          <w:rFonts w:ascii="Times New Roman" w:cs="Times New Roman" w:eastAsia="Times New Roman" w:hAnsi="Times New Roman"/>
          <w:sz w:val="22"/>
          <w:szCs w:val="22"/>
          <w:b w:val="1"/>
          <w:bCs w:val="1"/>
          <w:i w:val="1"/>
          <w:iCs w:val="1"/>
          <w:color w:val="auto"/>
        </w:rPr>
        <w:t>Investor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Affiliates</w:t>
      </w:r>
      <w:r>
        <w:rPr>
          <w:rFonts w:ascii="Times New Roman" w:cs="Times New Roman" w:eastAsia="Times New Roman" w:hAnsi="Times New Roman"/>
          <w:sz w:val="22"/>
          <w:szCs w:val="22"/>
          <w:color w:val="auto"/>
        </w:rPr>
        <w: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140"/>
          </w:cols>
          <w:pgMar w:left="320" w:top="1395" w:right="439" w:bottom="1440" w:gutter="0" w:footer="0" w:header="0"/>
        </w:sectPr>
      </w:pPr>
    </w:p>
    <w:bookmarkStart w:id="9" w:name="page10"/>
    <w:bookmarkEnd w:id="9"/>
    <w:p>
      <w:pPr>
        <w:ind w:left="660" w:firstLine="1292"/>
        <w:spacing w:after="0" w:line="212" w:lineRule="auto"/>
        <w:tabs>
          <w:tab w:leader="none" w:pos="2592"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proxies or written consents of shareholders with respect to, or from the holders of, Voting Securities, or make, or in any way participate in (other than by voting its shares of Voting Securities in a way that does not violate this Agreement), any solicitation (within the meaning of Rule 14a-1(l) promulgated by the SEC under the Exchange Act) of any proxy, consent or other authority to vote any Voting Securities with respect to any matter, otherwise conduct any nonbinding referendum with respect to the Company, or become a participant in, support or encourage, or seek to advise, assist or influence any person or entity in, any solicitation with respect to the Company not approved and recommended by the Board, including relating to the removal or the election of directors, other than solicitations or acting as a participant in support of all of the Company’s nominees;</w:t>
      </w:r>
    </w:p>
    <w:p>
      <w:pPr>
        <w:spacing w:after="0" w:line="156" w:lineRule="exact"/>
        <w:rPr>
          <w:rFonts w:ascii="Times New Roman" w:cs="Times New Roman" w:eastAsia="Times New Roman" w:hAnsi="Times New Roman"/>
          <w:sz w:val="22"/>
          <w:szCs w:val="22"/>
          <w:color w:val="010000"/>
        </w:rPr>
      </w:pPr>
    </w:p>
    <w:p>
      <w:pPr>
        <w:ind w:left="660" w:right="440" w:firstLine="1292"/>
        <w:spacing w:after="0" w:line="212" w:lineRule="auto"/>
        <w:tabs>
          <w:tab w:leader="none" w:pos="2598"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form, join or in any other way participate in any “partnership, limited partnership, syndicate or other group” within the meaning of Section 13(d)(3) of the Exchange Act with respect to any Voting Securities, or otherwise support, encourage or participate in any effort by a third party with respect to the matters set forth in</w:t>
      </w:r>
    </w:p>
    <w:p>
      <w:pPr>
        <w:spacing w:after="0" w:line="1" w:lineRule="exact"/>
        <w:rPr>
          <w:rFonts w:ascii="Times New Roman" w:cs="Times New Roman" w:eastAsia="Times New Roman" w:hAnsi="Times New Roman"/>
          <w:sz w:val="22"/>
          <w:szCs w:val="22"/>
          <w:color w:val="010000"/>
        </w:rPr>
      </w:pPr>
    </w:p>
    <w:p>
      <w:pPr>
        <w:ind w:left="660" w:right="40"/>
        <w:spacing w:after="0" w:line="212"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3(a)(i)</w:t>
      </w:r>
      <w:r>
        <w:rPr>
          <w:rFonts w:ascii="Times New Roman" w:cs="Times New Roman" w:eastAsia="Times New Roman" w:hAnsi="Times New Roman"/>
          <w:sz w:val="22"/>
          <w:szCs w:val="22"/>
          <w:color w:val="auto"/>
        </w:rPr>
        <w:t>, or deposit any Voting Securities in a voting trust or subject any Voting Securities to any voting agreement, other than, in each case, solely with other members of the Engine Group or other Investor Affiliates with respect to the Voting Securities now or hereafter owned by them or pursuant to this Agreement (so long as any such Investor Affiliate has previously agreed with the Company in writing to be bound by the terms of this Agreement as a member of the Engine Group);</w:t>
      </w:r>
    </w:p>
    <w:p>
      <w:pPr>
        <w:spacing w:after="0" w:line="154" w:lineRule="exact"/>
        <w:rPr>
          <w:rFonts w:ascii="Times New Roman" w:cs="Times New Roman" w:eastAsia="Times New Roman" w:hAnsi="Times New Roman"/>
          <w:sz w:val="22"/>
          <w:szCs w:val="22"/>
          <w:color w:val="010000"/>
        </w:rPr>
      </w:pPr>
    </w:p>
    <w:p>
      <w:pPr>
        <w:ind w:left="660" w:right="40" w:firstLine="1292"/>
        <w:spacing w:after="0" w:line="236" w:lineRule="auto"/>
        <w:tabs>
          <w:tab w:leader="none" w:pos="2604"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seek to call, or request the call of, or to requisition, a special meeting of the shareholders or holders of any other Voting Securities of the Company;</w:t>
      </w:r>
    </w:p>
    <w:p>
      <w:pPr>
        <w:spacing w:after="0" w:line="150"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 request for a list of the holders of any of the Voting Securities;</w:t>
      </w:r>
    </w:p>
    <w:p>
      <w:pPr>
        <w:spacing w:after="0" w:line="179" w:lineRule="exact"/>
        <w:rPr>
          <w:rFonts w:ascii="Times New Roman" w:cs="Times New Roman" w:eastAsia="Times New Roman" w:hAnsi="Times New Roman"/>
          <w:sz w:val="22"/>
          <w:szCs w:val="22"/>
          <w:color w:val="010000"/>
        </w:rPr>
      </w:pPr>
    </w:p>
    <w:p>
      <w:pPr>
        <w:ind w:left="660" w:right="220" w:firstLine="1292"/>
        <w:spacing w:after="0" w:line="220" w:lineRule="auto"/>
        <w:tabs>
          <w:tab w:leader="none" w:pos="2599"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seek election to the Board, seek to place a representative on the Board or seek the removal of any director from the Board (in each case other than the election or removal of Silvers in his or her capacity as a director), including directly or indirectly, the nomination or the recommendation for nomination of any person for election at any annual or special meeting of the Company’s shareholders;</w:t>
      </w:r>
    </w:p>
    <w:p>
      <w:pPr>
        <w:spacing w:after="0" w:line="152" w:lineRule="exact"/>
        <w:rPr>
          <w:rFonts w:ascii="Times New Roman" w:cs="Times New Roman" w:eastAsia="Times New Roman" w:hAnsi="Times New Roman"/>
          <w:sz w:val="22"/>
          <w:szCs w:val="22"/>
          <w:color w:val="010000"/>
        </w:rPr>
      </w:pPr>
    </w:p>
    <w:p>
      <w:pPr>
        <w:ind w:left="660" w:right="180" w:firstLine="1292"/>
        <w:spacing w:after="0" w:line="236" w:lineRule="auto"/>
        <w:tabs>
          <w:tab w:leader="none" w:pos="2592"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otherwise acting alone or in concert with others, seek to alter, amend, change, waive or repeal any provision of, or adopt new provisions of, the Articles;</w:t>
      </w:r>
    </w:p>
    <w:p>
      <w:pPr>
        <w:spacing w:after="0" w:line="150" w:lineRule="exact"/>
        <w:rPr>
          <w:rFonts w:ascii="Times New Roman" w:cs="Times New Roman" w:eastAsia="Times New Roman" w:hAnsi="Times New Roman"/>
          <w:sz w:val="22"/>
          <w:szCs w:val="22"/>
          <w:color w:val="010000"/>
        </w:rPr>
      </w:pPr>
    </w:p>
    <w:p>
      <w:pPr>
        <w:ind w:left="660" w:right="60" w:firstLine="1292"/>
        <w:spacing w:after="0" w:line="215" w:lineRule="auto"/>
        <w:tabs>
          <w:tab w:leader="none" w:pos="2598"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separately or knowingly in conjunction with any other person in which it is or proposes to be either a principal, partner or financing source or is acting or proposing to act as broker or agent for compensation, solicit, effect or seek to effect, offer or propose (whether publicly or otherwise, directly or indirectly) to effect, or cause or participate in, or in any way assist or facilitate any other person to effect or seek, offer or propose (whether publicly or otherwise) to effect or participate in, or, except as expressly permitted by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make any statement with respect to an Extraordinary Transaction;</w:t>
      </w:r>
    </w:p>
    <w:p>
      <w:pPr>
        <w:spacing w:after="0" w:line="152" w:lineRule="exact"/>
        <w:rPr>
          <w:rFonts w:ascii="Times New Roman" w:cs="Times New Roman" w:eastAsia="Times New Roman" w:hAnsi="Times New Roman"/>
          <w:sz w:val="22"/>
          <w:szCs w:val="22"/>
          <w:color w:val="010000"/>
        </w:rPr>
      </w:pPr>
    </w:p>
    <w:p>
      <w:pPr>
        <w:ind w:left="660" w:right="60" w:firstLine="1292"/>
        <w:spacing w:after="0" w:line="220" w:lineRule="auto"/>
        <w:tabs>
          <w:tab w:leader="none" w:pos="2604"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tender or exchange any Voting Securities into any takeover bid, tender offer, or exchange offer;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3(a)(viii)</w:t>
      </w:r>
      <w:r>
        <w:rPr>
          <w:rFonts w:ascii="Times New Roman" w:cs="Times New Roman" w:eastAsia="Times New Roman" w:hAnsi="Times New Roman"/>
          <w:sz w:val="22"/>
          <w:szCs w:val="22"/>
          <w:color w:val="auto"/>
        </w:rPr>
        <w:t xml:space="preserve"> shall prevent the Engine Group or any Investor Affiliate from tendering or exchanging Voting Securities in, any Extraordinary Transaction that has been (and continues to be at the time of such tender or exchange) approved or recommended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220"/>
          </w:cols>
          <w:pgMar w:left="320" w:top="1395" w:right="359" w:bottom="1440" w:gutter="0" w:footer="0" w:header="0"/>
        </w:sectPr>
      </w:pPr>
    </w:p>
    <w:bookmarkStart w:id="10" w:name="page11"/>
    <w:bookmarkEnd w:id="10"/>
    <w:p>
      <w:pPr>
        <w:ind w:left="660" w:right="100" w:firstLine="1292"/>
        <w:spacing w:after="0" w:line="231" w:lineRule="auto"/>
        <w:tabs>
          <w:tab w:leader="none" w:pos="2592" w:val="left"/>
        </w:tabs>
        <w:numPr>
          <w:ilvl w:val="0"/>
          <w:numId w:val="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expressly permitted by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make or issue, or cause to be made or issued, any disclosure (whether written, verbal, public or private), statement or announcement (including the filing or furnishing of any document or report with the SEC or any other governmental agency or any disclosure through social media or to any journalist, member of the media or securities analyst) in support of any action described in </w:t>
      </w:r>
      <w:r>
        <w:rPr>
          <w:rFonts w:ascii="Times New Roman" w:cs="Times New Roman" w:eastAsia="Times New Roman" w:hAnsi="Times New Roman"/>
          <w:sz w:val="21"/>
          <w:szCs w:val="21"/>
          <w:u w:val="single" w:color="auto"/>
          <w:color w:val="auto"/>
        </w:rPr>
        <w:t>Sections 3(a)(i)-(viii)</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010000"/>
        </w:rPr>
      </w:pPr>
    </w:p>
    <w:p>
      <w:pPr>
        <w:ind w:left="660" w:right="100" w:firstLine="1292"/>
        <w:spacing w:after="0" w:line="215" w:lineRule="auto"/>
        <w:tabs>
          <w:tab w:leader="none" w:pos="2599" w:val="left"/>
        </w:tabs>
        <w:numPr>
          <w:ilvl w:val="0"/>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expressly permitted by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publicly make any statement regarding any intent, purpose, plan or proposal with respect to the Board, the Company, its management, policies or affairs or any of its securities or assets or this Agreement, that is inconsistent with the provisions of this Agreement, including any intent, purpose, plan or proposal that is conditioned on or would require any waiver, amendment, nullification or invalidation of any provision of this Agreement or take any action that requires the Company to make any public disclosure relating to any such intent, purpose, plan, proposal or condition;</w:t>
      </w:r>
    </w:p>
    <w:p>
      <w:pPr>
        <w:spacing w:after="0" w:line="152" w:lineRule="exact"/>
        <w:rPr>
          <w:rFonts w:ascii="Times New Roman" w:cs="Times New Roman" w:eastAsia="Times New Roman" w:hAnsi="Times New Roman"/>
          <w:sz w:val="22"/>
          <w:szCs w:val="22"/>
          <w:color w:val="010000"/>
        </w:rPr>
      </w:pPr>
    </w:p>
    <w:p>
      <w:pPr>
        <w:jc w:val="both"/>
        <w:ind w:left="660" w:right="140" w:firstLine="1292"/>
        <w:spacing w:after="0" w:line="225" w:lineRule="auto"/>
        <w:tabs>
          <w:tab w:leader="none" w:pos="2592" w:val="left"/>
        </w:tabs>
        <w:numPr>
          <w:ilvl w:val="0"/>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publicly request that the Company or any of its representatives release any member of the Engine Group from, amend or waive any provision of this Agreement, that would reasonably be expected to result in any public announcement or disclosure by the Company or the Engine Group;</w:t>
      </w:r>
    </w:p>
    <w:p>
      <w:pPr>
        <w:spacing w:after="0" w:line="152" w:lineRule="exact"/>
        <w:rPr>
          <w:rFonts w:ascii="Times New Roman" w:cs="Times New Roman" w:eastAsia="Times New Roman" w:hAnsi="Times New Roman"/>
          <w:sz w:val="22"/>
          <w:szCs w:val="22"/>
          <w:color w:val="010000"/>
        </w:rPr>
      </w:pPr>
    </w:p>
    <w:p>
      <w:pPr>
        <w:ind w:left="660" w:firstLine="1292"/>
        <w:spacing w:after="0" w:line="210" w:lineRule="auto"/>
        <w:tabs>
          <w:tab w:leader="none" w:pos="2598" w:val="left"/>
        </w:tabs>
        <w:numPr>
          <w:ilvl w:val="0"/>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acquire, agree to acquire or make any proposal or offer to acquire, or announce any intention to acquire, directly or indirectly, beneficially or otherwise, any Voting Securities or any property, asset or business of the Company (other than securities issued pursuant to a plan established by the Board for members of the Board or a stock split, stock dividend or similar corporate action initiated by the Company with respect to any securities beneficially owned by the members of the Engine Group and any Investor Affiliates on the date of this Agreement) if, immediately after such acquisition, the members of the Engine Group and any Investor Affiliates, collectively, would, in the aggregate, beneficially own more than the greater of (x) 1,486,004 shares of the Common Stock and (y) 13.0% of the outstanding shares of any class of Voting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Voting Securities beneficially owned by the Engine Group or any Investor Affiliates that are convertible into, or exercisable or exchangeable for, Common Stock or any other class of securities of the Company entitled to vote in the election of directors of the Company shall be treated on an as-converted basis). For purposes of this </w:t>
      </w:r>
      <w:r>
        <w:rPr>
          <w:rFonts w:ascii="Times New Roman" w:cs="Times New Roman" w:eastAsia="Times New Roman" w:hAnsi="Times New Roman"/>
          <w:sz w:val="22"/>
          <w:szCs w:val="22"/>
          <w:u w:val="single" w:color="auto"/>
          <w:color w:val="auto"/>
        </w:rPr>
        <w:t>Section 3(a)(xii)</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ind w:left="1300" w:right="140" w:firstLine="1300"/>
        <w:spacing w:after="0" w:line="220" w:lineRule="auto"/>
        <w:tabs>
          <w:tab w:leader="none" w:pos="3233" w:val="left"/>
        </w:tabs>
        <w:numPr>
          <w:ilvl w:val="1"/>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Voting Securities that are the subject of any derivative, swap or hedging transaction or agreement or similar arrangement that has the effect of increasing the voting power or economic interest of any member of the Engine Group or any Investor Affiliate in any Voting Securities shall be deemed beneficially owned by the members of the Engine Group or the applicable Investor Affiliate and</w:t>
      </w:r>
    </w:p>
    <w:p>
      <w:pPr>
        <w:spacing w:after="0" w:line="152" w:lineRule="exact"/>
        <w:rPr>
          <w:rFonts w:ascii="Times New Roman" w:cs="Times New Roman" w:eastAsia="Times New Roman" w:hAnsi="Times New Roman"/>
          <w:sz w:val="22"/>
          <w:szCs w:val="22"/>
          <w:color w:val="010000"/>
        </w:rPr>
      </w:pPr>
    </w:p>
    <w:p>
      <w:pPr>
        <w:ind w:left="1300" w:firstLine="1300"/>
        <w:spacing w:after="0" w:line="217" w:lineRule="auto"/>
        <w:tabs>
          <w:tab w:leader="none" w:pos="3235" w:val="left"/>
        </w:tabs>
        <w:numPr>
          <w:ilvl w:val="1"/>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derivative, swap or hedging transaction or agreement or similar arrangement that has the effect of decreasing the voting power or economic interest of any member of the Engine Group or any Investor Affiliate in any Voting Securities shall not be given effect, so that the Voting Securities that are the subject of such derivative, swap or hedging transaction or agreement or similar arrangement shall be deemed beneficially owned by the members of the Engine Group or the applicable Investor Affiliate;</w:t>
      </w:r>
    </w:p>
    <w:p>
      <w:pPr>
        <w:spacing w:after="0" w:line="152" w:lineRule="exact"/>
        <w:rPr>
          <w:rFonts w:ascii="Times New Roman" w:cs="Times New Roman" w:eastAsia="Times New Roman" w:hAnsi="Times New Roman"/>
          <w:sz w:val="22"/>
          <w:szCs w:val="22"/>
          <w:color w:val="010000"/>
        </w:rPr>
      </w:pPr>
    </w:p>
    <w:p>
      <w:pPr>
        <w:ind w:left="660" w:right="540" w:firstLine="1292"/>
        <w:spacing w:after="0" w:line="236" w:lineRule="auto"/>
        <w:tabs>
          <w:tab w:leader="none" w:pos="2604" w:val="left"/>
        </w:tabs>
        <w:numPr>
          <w:ilvl w:val="0"/>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institute any litigation against the Company, its directors or its officers, make any “books and records” demands against the Company or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200"/>
          </w:cols>
          <w:pgMar w:left="320" w:top="1395" w:right="379" w:bottom="1440" w:gutter="0" w:footer="0" w:header="0"/>
        </w:sectPr>
      </w:pPr>
    </w:p>
    <w:bookmarkStart w:id="11" w:name="page12"/>
    <w:bookmarkEnd w:id="11"/>
    <w:p>
      <w:pPr>
        <w:jc w:val="both"/>
        <w:ind w:left="660" w:right="400"/>
        <w:spacing w:after="0" w:line="225" w:lineRule="auto"/>
        <w:rPr>
          <w:sz w:val="20"/>
          <w:szCs w:val="20"/>
          <w:color w:val="auto"/>
        </w:rPr>
      </w:pPr>
      <w:r>
        <w:rPr>
          <w:rFonts w:ascii="Times New Roman" w:cs="Times New Roman" w:eastAsia="Times New Roman" w:hAnsi="Times New Roman"/>
          <w:sz w:val="22"/>
          <w:szCs w:val="22"/>
          <w:color w:val="auto"/>
        </w:rPr>
        <w:t>application or demand to a court or other person for an inspection, investigation or examination of the Company or its subsidiaries or Affiliates (whether pursuant to the laws of British Columbia or Canada or otherwise) other than (in the case of non-“books and records” litigation) as may be necessary to enforce the terms of this Agreement;</w:t>
      </w:r>
    </w:p>
    <w:p>
      <w:pPr>
        <w:spacing w:after="0" w:line="153" w:lineRule="exact"/>
        <w:rPr>
          <w:sz w:val="20"/>
          <w:szCs w:val="20"/>
          <w:color w:val="auto"/>
        </w:rPr>
      </w:pPr>
    </w:p>
    <w:p>
      <w:pPr>
        <w:jc w:val="both"/>
        <w:ind w:left="660" w:right="340" w:firstLine="1292"/>
        <w:spacing w:after="0" w:line="220" w:lineRule="auto"/>
        <w:tabs>
          <w:tab w:leader="none" w:pos="2592"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 or agree to sell directly or indirectly, through swap or hedging transactions or otherwise, Common Stock or any derivatives relating to Common Stock to any third party if the Engine Group or any Investor Affiliate knows, after reasonable inquiry, that such third party has, or will as a result of the transaction have, beneficial ownership of more than 4.9% of the outstanding Common Stock;</w:t>
      </w:r>
    </w:p>
    <w:p>
      <w:pPr>
        <w:spacing w:after="0" w:line="152" w:lineRule="exact"/>
        <w:rPr>
          <w:rFonts w:ascii="Times New Roman" w:cs="Times New Roman" w:eastAsia="Times New Roman" w:hAnsi="Times New Roman"/>
          <w:sz w:val="22"/>
          <w:szCs w:val="22"/>
          <w:color w:val="010000"/>
        </w:rPr>
      </w:pPr>
    </w:p>
    <w:p>
      <w:pPr>
        <w:ind w:left="660" w:firstLine="1292"/>
        <w:spacing w:after="0" w:line="225" w:lineRule="auto"/>
        <w:tabs>
          <w:tab w:leader="none" w:pos="2599"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directly or indirectly, initiate, encourage or participate in any “vote no,” “withhold” or similar campaign with respect to any annual or special meeting of the Company’s shareholders, or publicly or privately encourage or support any other shareholder, person or entity to take any of the actions described herein; or</w:t>
      </w:r>
    </w:p>
    <w:p>
      <w:pPr>
        <w:spacing w:after="0" w:line="152" w:lineRule="exact"/>
        <w:rPr>
          <w:rFonts w:ascii="Times New Roman" w:cs="Times New Roman" w:eastAsia="Times New Roman" w:hAnsi="Times New Roman"/>
          <w:sz w:val="22"/>
          <w:szCs w:val="22"/>
          <w:color w:val="010000"/>
        </w:rPr>
      </w:pPr>
    </w:p>
    <w:p>
      <w:pPr>
        <w:ind w:left="660" w:right="220" w:firstLine="1292"/>
        <w:spacing w:after="0" w:line="225" w:lineRule="auto"/>
        <w:tabs>
          <w:tab w:leader="none" w:pos="2592"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enter into any discussions, negotiations, agreements or undertakings with any person with respect to the foregoing or advise, assist, encourage or seek to persuade others to take any action with respect to any of the foregoing.</w:t>
      </w:r>
    </w:p>
    <w:p>
      <w:pPr>
        <w:spacing w:after="0" w:line="18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anything in this Agreement to the contrary, the restrictions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not prevent the members of the Engine Group from (1) making any factual statement or public disclosure as required by applicable legal process, subpoena or legal requirement from any governmental authority with competent jurisdiction over the party from whom information is sought, (2) making any confidential communication to the Company or its directors and officers that would not be reasonably expected to trigger public disclosure obligations for either party, or (3) tendering shares of Common Stock, receiving payment for shares of Common Stock or otherwise participating in any transaction on the same basis as the other shareholders of the Company or from participating in any such transaction that has been approved by the Board, subject to the other terms of this Agreement. Furthermore, for the avoidance of doubt, nothing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be deemed to limit the exercise in good faith by Silvers of his fiduciary duties in his capacity as a director of the Company.</w:t>
      </w:r>
    </w:p>
    <w:p>
      <w:pPr>
        <w:spacing w:after="0" w:line="153" w:lineRule="exact"/>
        <w:rPr>
          <w:sz w:val="20"/>
          <w:szCs w:val="20"/>
          <w:color w:val="auto"/>
        </w:rPr>
      </w:pPr>
    </w:p>
    <w:p>
      <w:pPr>
        <w:ind w:right="220" w:firstLine="1304"/>
        <w:spacing w:after="0" w:line="220" w:lineRule="auto"/>
        <w:tabs>
          <w:tab w:leader="none" w:pos="1939"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member of the Engine Group shall cause all Voting Securities beneficially owned, directly or indirectly, by it, or by any Investor Affiliate, as of the record date for any meeting of the Company’s shareholders, to be present for quorum purposes and to be voted, at any meeting of the Company’s shareholders or at any adjournments or postponements thereof,</w:t>
      </w:r>
    </w:p>
    <w:p>
      <w:pPr>
        <w:spacing w:after="0" w:line="13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favor of each director nominated and recommended by the Board for election at any such</w:t>
      </w: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meeting and</w:t>
      </w:r>
    </w:p>
    <w:p>
      <w:pPr>
        <w:spacing w:after="0" w:line="155" w:lineRule="exact"/>
        <w:rPr>
          <w:rFonts w:ascii="Times New Roman" w:cs="Times New Roman" w:eastAsia="Times New Roman" w:hAnsi="Times New Roman"/>
          <w:sz w:val="22"/>
          <w:szCs w:val="22"/>
          <w:color w:val="010000"/>
        </w:rPr>
      </w:pPr>
    </w:p>
    <w:p>
      <w:pPr>
        <w:ind w:left="660" w:right="140" w:firstLine="1292"/>
        <w:spacing w:after="0" w:line="236" w:lineRule="auto"/>
        <w:tabs>
          <w:tab w:leader="none" w:pos="2598" w:val="left"/>
        </w:tabs>
        <w:numPr>
          <w:ilvl w:val="1"/>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against any shareholder nominations for director which are not approved and recommended by the Board for election at any such meeting.</w:t>
      </w:r>
    </w:p>
    <w:p>
      <w:pPr>
        <w:spacing w:after="0" w:line="177"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With respect to any Extraordinary Transaction, each member of the Engine Group or any Investor Affiliates shall have the ability to vote freely.</w:t>
      </w:r>
    </w:p>
    <w:p>
      <w:pPr>
        <w:spacing w:after="0" w:line="131" w:lineRule="exact"/>
        <w:rPr>
          <w:sz w:val="20"/>
          <w:szCs w:val="20"/>
          <w:color w:val="auto"/>
        </w:rPr>
      </w:pPr>
    </w:p>
    <w:p>
      <w:pPr>
        <w:jc w:val="both"/>
        <w:ind w:right="340" w:firstLine="656"/>
        <w:spacing w:after="0" w:line="225" w:lineRule="auto"/>
        <w:tabs>
          <w:tab w:leader="none" w:pos="1296"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Non-Disparagemen</w:t>
      </w:r>
      <w:r>
        <w:rPr>
          <w:rFonts w:ascii="Times New Roman" w:cs="Times New Roman" w:eastAsia="Times New Roman" w:hAnsi="Times New Roman"/>
          <w:sz w:val="22"/>
          <w:szCs w:val="22"/>
          <w:color w:val="auto"/>
        </w:rPr>
        <w:t>t. Prior to the Termination Date, the Company and each member of the Engine Group shall each refrain from making, and shall instruct their respective representatives not to make or cause to be made, any statement or announcement, including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240"/>
          </w:cols>
          <w:pgMar w:left="320" w:top="1395" w:right="339" w:bottom="1440" w:gutter="0" w:footer="0" w:header="0"/>
        </w:sectPr>
      </w:pPr>
    </w:p>
    <w:bookmarkStart w:id="12" w:name="page13"/>
    <w:bookmarkEnd w:id="12"/>
    <w:p>
      <w:pPr>
        <w:spacing w:after="0" w:line="208" w:lineRule="auto"/>
        <w:rPr>
          <w:sz w:val="20"/>
          <w:szCs w:val="20"/>
          <w:color w:val="auto"/>
        </w:rPr>
      </w:pPr>
      <w:r>
        <w:rPr>
          <w:rFonts w:ascii="Times New Roman" w:cs="Times New Roman" w:eastAsia="Times New Roman" w:hAnsi="Times New Roman"/>
          <w:sz w:val="22"/>
          <w:szCs w:val="22"/>
          <w:color w:val="auto"/>
        </w:rPr>
        <w:t xml:space="preserve">any document or report filed with or furnished to the SEC or through the press, media (including social media), analysts or other persons, that constitutes an ad hominem attack on, or otherwise disparages, attempts to discredit, criticizes, calls into disrepute, defames, slanders, impugns or is reasonably likely to damage the reputation of, (a) in the case of statements or announcements by any of the members of the Engine Group or their respective representatives, the Company, or any of its representatives, or the Company’s corporate strategy, corporate activities, practices, corporate officers, directors, employees, procedures, business, business operations, products or services and (b) in the case of statements or announcements by the Company or its representatives, the members of the Engine Group or any of their respective representatives. The restrictions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not (i) apply to (A) any compelled testimony or production of information, whether by legal process, subpoena or as part of a response to a request for information from any governmental or regulatory authority with jurisdiction over the party from whom information is sought, in each case, to the extent legally required, or (B) any disclosure that such party reasonably believes, after consultation with outside counsel, to be legally required by applicable law, rules or regulations; (ii) prohibit any party from reporting what it reasonably believes, after consultation with outside counsel, to be violations of federal law or regulation to any governmental authority pursuant to Section 21F of the Exchange Act or Rule 21F promulgated thereunder or any applicable Canadian whistleblower protection legislation; or (iii) apply to efforts to enforce either party’s rights pursuant to this Agreement in accordance with this Agreement. The limitations set forth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not prevent any party from responding to any public statement made by the other party of the nature described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if such statement by the other party was made in breach of this Agreement.</w:t>
      </w:r>
    </w:p>
    <w:p>
      <w:pPr>
        <w:spacing w:after="0" w:line="161"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Public Announcement and SEC Filing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Company and the Engine Group shall announce the entry into this Agreement and the material terms hereof by means of a press release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Press Release</w:t>
      </w:r>
      <w:r>
        <w:rPr>
          <w:rFonts w:ascii="Times New Roman" w:cs="Times New Roman" w:eastAsia="Times New Roman" w:hAnsi="Times New Roman"/>
          <w:sz w:val="22"/>
          <w:szCs w:val="22"/>
          <w:color w:val="auto"/>
        </w:rPr>
        <w:t>”) as soon as practicable on or after the date of this Agreement. Promptly following the date of this Agreement, the Company shall file with the SEC a Current Report on Form 8-K, setting forth a brief description of this Agreement and appending this Agreement as an exhibit thereto (the “</w:t>
      </w:r>
      <w:r>
        <w:rPr>
          <w:rFonts w:ascii="Times New Roman" w:cs="Times New Roman" w:eastAsia="Times New Roman" w:hAnsi="Times New Roman"/>
          <w:sz w:val="22"/>
          <w:szCs w:val="22"/>
          <w:b w:val="1"/>
          <w:bCs w:val="1"/>
          <w:i w:val="1"/>
          <w:iCs w:val="1"/>
          <w:color w:val="auto"/>
        </w:rPr>
        <w:t>Form 8-K</w:t>
      </w:r>
      <w:r>
        <w:rPr>
          <w:rFonts w:ascii="Times New Roman" w:cs="Times New Roman" w:eastAsia="Times New Roman" w:hAnsi="Times New Roman"/>
          <w:sz w:val="22"/>
          <w:szCs w:val="22"/>
          <w:color w:val="auto"/>
        </w:rPr>
        <w:t>”). The Company shall provide the Engine Group with a reasonable opportunity to review and comment on such Form 8-K prior to the filing with the SEC and consider in good faith any comments of the Engine Group. Except as otherwise expressly set forth herein, none of the Engine Group or any Investor Affiliates shall:</w:t>
      </w:r>
    </w:p>
    <w:p>
      <w:pPr>
        <w:spacing w:after="0" w:line="153" w:lineRule="exact"/>
        <w:rPr>
          <w:sz w:val="20"/>
          <w:szCs w:val="20"/>
          <w:color w:val="auto"/>
        </w:rPr>
      </w:pPr>
    </w:p>
    <w:p>
      <w:pPr>
        <w:ind w:left="1940" w:hanging="636"/>
        <w:spacing w:after="0"/>
        <w:tabs>
          <w:tab w:leader="none" w:pos="1940" w:val="left"/>
        </w:tabs>
        <w:numPr>
          <w:ilvl w:val="1"/>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issue a press release in connection with this Agreement or the actions contemplated hereby,</w:t>
      </w:r>
    </w:p>
    <w:p>
      <w:pPr>
        <w:spacing w:after="0" w:line="179" w:lineRule="exact"/>
        <w:rPr>
          <w:rFonts w:ascii="Times New Roman" w:cs="Times New Roman" w:eastAsia="Times New Roman" w:hAnsi="Times New Roman"/>
          <w:sz w:val="22"/>
          <w:szCs w:val="22"/>
          <w:color w:val="010000"/>
        </w:rPr>
      </w:pPr>
    </w:p>
    <w:p>
      <w:pPr>
        <w:ind w:right="300" w:firstLine="1304"/>
        <w:spacing w:after="0" w:line="236" w:lineRule="auto"/>
        <w:tabs>
          <w:tab w:leader="none" w:pos="1939" w:val="left"/>
        </w:tabs>
        <w:numPr>
          <w:ilvl w:val="1"/>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otherwise make any public statement, disclosure or announcement with respect to this Agreement or the actions contemplated hereby or</w:t>
      </w:r>
    </w:p>
    <w:p>
      <w:pPr>
        <w:spacing w:after="0" w:line="150" w:lineRule="exact"/>
        <w:rPr>
          <w:rFonts w:ascii="Times New Roman" w:cs="Times New Roman" w:eastAsia="Times New Roman" w:hAnsi="Times New Roman"/>
          <w:sz w:val="22"/>
          <w:szCs w:val="22"/>
          <w:color w:val="010000"/>
        </w:rPr>
      </w:pPr>
    </w:p>
    <w:p>
      <w:pPr>
        <w:ind w:right="140" w:firstLine="1304"/>
        <w:spacing w:after="0" w:line="236" w:lineRule="auto"/>
        <w:tabs>
          <w:tab w:leader="none" w:pos="1941" w:val="left"/>
        </w:tabs>
        <w:numPr>
          <w:ilvl w:val="1"/>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any public statements (including in any filing with the SEC, any regulatory or governmental agency or any stock exchange) that are inconsistent with, or otherwise contrary to, the statements in the Press Release.</w:t>
      </w:r>
    </w:p>
    <w:p>
      <w:pPr>
        <w:spacing w:after="0" w:line="150"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hereby represents and warrants to the Engine Group the following:</w:t>
      </w:r>
    </w:p>
    <w:p>
      <w:pPr>
        <w:spacing w:after="0" w:line="179" w:lineRule="exact"/>
        <w:rPr>
          <w:rFonts w:ascii="Times New Roman" w:cs="Times New Roman" w:eastAsia="Times New Roman" w:hAnsi="Times New Roman"/>
          <w:sz w:val="22"/>
          <w:szCs w:val="22"/>
          <w:color w:val="010000"/>
        </w:rPr>
      </w:pPr>
    </w:p>
    <w:p>
      <w:pPr>
        <w:ind w:left="660" w:right="160" w:firstLine="1292"/>
        <w:spacing w:after="0" w:line="236" w:lineRule="auto"/>
        <w:tabs>
          <w:tab w:leader="none" w:pos="2592" w:val="left"/>
        </w:tabs>
        <w:numPr>
          <w:ilvl w:val="2"/>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and the performance by the Company of its obligations hereunder have been duly authorized, executed and delivered by it,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240"/>
          </w:cols>
          <w:pgMar w:left="320" w:top="1395" w:right="339" w:bottom="1440" w:gutter="0" w:footer="0" w:header="0"/>
        </w:sectPr>
      </w:pPr>
    </w:p>
    <w:bookmarkStart w:id="13" w:name="page14"/>
    <w:bookmarkEnd w:id="13"/>
    <w:p>
      <w:pPr>
        <w:jc w:val="both"/>
        <w:ind w:left="660" w:right="60"/>
        <w:spacing w:after="0" w:line="225" w:lineRule="auto"/>
        <w:rPr>
          <w:sz w:val="20"/>
          <w:szCs w:val="20"/>
          <w:color w:val="auto"/>
        </w:rPr>
      </w:pPr>
      <w:r>
        <w:rPr>
          <w:rFonts w:ascii="Times New Roman" w:cs="Times New Roman" w:eastAsia="Times New Roman" w:hAnsi="Times New Roman"/>
          <w:sz w:val="22"/>
          <w:szCs w:val="22"/>
          <w:color w:val="auto"/>
        </w:rPr>
        <w:t>valid and binding obligations of the Company, enforceable against the Company in accordance with its terms, except as such enforceability may be limited by bankruptcy, insolvency, reorganization, moratorium or other similar laws affecting or relating to creditors’ rights generally.</w:t>
      </w:r>
    </w:p>
    <w:p>
      <w:pPr>
        <w:spacing w:after="0" w:line="153" w:lineRule="exact"/>
        <w:rPr>
          <w:sz w:val="20"/>
          <w:szCs w:val="20"/>
          <w:color w:val="auto"/>
        </w:rPr>
      </w:pPr>
    </w:p>
    <w:p>
      <w:pPr>
        <w:ind w:left="660" w:right="680" w:firstLine="1292"/>
        <w:spacing w:after="0" w:line="236" w:lineRule="auto"/>
        <w:tabs>
          <w:tab w:leader="none" w:pos="2598" w:val="left"/>
        </w:tabs>
        <w:numPr>
          <w:ilvl w:val="1"/>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is duly organized, validly existing and in good standing under the laws of its jurisdiction of organization and has all requisite power and authority to execute and deliver this Agreement.</w:t>
      </w:r>
    </w:p>
    <w:p>
      <w:pPr>
        <w:spacing w:after="0" w:line="150" w:lineRule="exact"/>
        <w:rPr>
          <w:rFonts w:ascii="Times New Roman" w:cs="Times New Roman" w:eastAsia="Times New Roman" w:hAnsi="Times New Roman"/>
          <w:sz w:val="22"/>
          <w:szCs w:val="22"/>
          <w:color w:val="010000"/>
        </w:rPr>
      </w:pPr>
    </w:p>
    <w:p>
      <w:pPr>
        <w:ind w:left="660" w:right="180" w:firstLine="1292"/>
        <w:spacing w:after="0" w:line="225" w:lineRule="auto"/>
        <w:tabs>
          <w:tab w:leader="none" w:pos="2604" w:val="left"/>
        </w:tabs>
        <w:numPr>
          <w:ilvl w:val="1"/>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date hereof, the Audit Committee, Environmental, Social, Governance and Nominating Committee, Compensation Committee and Finance and Investment Committee are the only committees of the Board, whether standing, ad hoc or otherwise.</w:t>
      </w:r>
    </w:p>
    <w:p>
      <w:pPr>
        <w:spacing w:after="0" w:line="152" w:lineRule="exact"/>
        <w:rPr>
          <w:rFonts w:ascii="Times New Roman" w:cs="Times New Roman" w:eastAsia="Times New Roman" w:hAnsi="Times New Roman"/>
          <w:sz w:val="22"/>
          <w:szCs w:val="22"/>
          <w:color w:val="010000"/>
        </w:rPr>
      </w:pPr>
    </w:p>
    <w:p>
      <w:pPr>
        <w:ind w:left="660" w:right="40" w:firstLine="1292"/>
        <w:spacing w:after="0" w:line="236" w:lineRule="auto"/>
        <w:tabs>
          <w:tab w:leader="none" w:pos="2592" w:val="left"/>
        </w:tabs>
        <w:numPr>
          <w:ilvl w:val="1"/>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does not have an Executive Committee of the Board and will not form an Executive Committee during the period beginning as of the date hereof and ending upon the Termination Date.</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member of the Engine Group hereby represents and warrants to the Company the following:</w:t>
      </w:r>
    </w:p>
    <w:p>
      <w:pPr>
        <w:spacing w:after="0" w:line="179" w:lineRule="exact"/>
        <w:rPr>
          <w:rFonts w:ascii="Times New Roman" w:cs="Times New Roman" w:eastAsia="Times New Roman" w:hAnsi="Times New Roman"/>
          <w:sz w:val="22"/>
          <w:szCs w:val="22"/>
          <w:color w:val="010000"/>
        </w:rPr>
      </w:pPr>
    </w:p>
    <w:p>
      <w:pPr>
        <w:jc w:val="both"/>
        <w:ind w:left="660" w:right="200" w:firstLine="1292"/>
        <w:spacing w:after="0" w:line="220" w:lineRule="auto"/>
        <w:tabs>
          <w:tab w:leader="none" w:pos="2592"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and the performance by such person of its obligations hereunder have been duly authorized, executed and delivered by it, and are valid and binding obligations of such person, enforceable against it in accordance with its terms, except as such enforceability may be limited by bankruptcy, insolvency, reorganization, moratorium or other similar laws affecting or relating to creditors’ rights generally.</w:t>
      </w:r>
    </w:p>
    <w:p>
      <w:pPr>
        <w:spacing w:after="0" w:line="152" w:lineRule="exact"/>
        <w:rPr>
          <w:rFonts w:ascii="Times New Roman" w:cs="Times New Roman" w:eastAsia="Times New Roman" w:hAnsi="Times New Roman"/>
          <w:sz w:val="22"/>
          <w:szCs w:val="22"/>
          <w:color w:val="010000"/>
        </w:rPr>
      </w:pPr>
    </w:p>
    <w:p>
      <w:pPr>
        <w:jc w:val="both"/>
        <w:ind w:left="660" w:right="40" w:firstLine="1292"/>
        <w:spacing w:after="0" w:line="225" w:lineRule="auto"/>
        <w:tabs>
          <w:tab w:leader="none" w:pos="2598"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person is, if not a natural person, duly organized, validly existing and in good standing under the laws of its jurisdiction of organization and has all requisite power and authority, and, if a natural person, is competent and has the legal capacity, to execute and deliver this Agreement.</w:t>
      </w:r>
    </w:p>
    <w:p>
      <w:pPr>
        <w:spacing w:after="0" w:line="152" w:lineRule="exact"/>
        <w:rPr>
          <w:rFonts w:ascii="Times New Roman" w:cs="Times New Roman" w:eastAsia="Times New Roman" w:hAnsi="Times New Roman"/>
          <w:sz w:val="22"/>
          <w:szCs w:val="22"/>
          <w:color w:val="010000"/>
        </w:rPr>
      </w:pPr>
    </w:p>
    <w:p>
      <w:pPr>
        <w:ind w:left="660" w:firstLine="1292"/>
        <w:spacing w:after="0" w:line="225" w:lineRule="auto"/>
        <w:tabs>
          <w:tab w:leader="none" w:pos="2604" w:val="left"/>
        </w:tabs>
        <w:numPr>
          <w:ilvl w:val="1"/>
          <w:numId w:val="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of the date hereof, the Engine Group satisfies the Engine Group Minimum Ownership Requirement, has provided the Company with accurate and complete Voting Security ownership information with respect to the Engine Group prior to the date hereof, is the beneficial owner of an aggregate of 1,338,114 shares of Common Stock, and has no other economic interests in securities of the Company. For purposes of this Agreement, except as otherwise provided herein, the terms “beneficial owner,” “beneficial ownership” and terms of like import shall have the meanings set forth in Rule 13d-3 promulgated by the Securities and Exchange Commission under the Exchange Act.</w:t>
      </w:r>
    </w:p>
    <w:p>
      <w:pPr>
        <w:spacing w:after="0" w:line="153" w:lineRule="exact"/>
        <w:rPr>
          <w:rFonts w:ascii="Times New Roman" w:cs="Times New Roman" w:eastAsia="Times New Roman" w:hAnsi="Times New Roman"/>
          <w:sz w:val="21"/>
          <w:szCs w:val="21"/>
          <w:color w:val="010000"/>
        </w:rPr>
      </w:pPr>
    </w:p>
    <w:p>
      <w:pPr>
        <w:ind w:left="660" w:right="20" w:firstLine="1292"/>
        <w:spacing w:after="0" w:line="220" w:lineRule="auto"/>
        <w:tabs>
          <w:tab w:leader="none" w:pos="2592"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date of this Agreement, neither the Engine Group nor any Investor Affiliate is engaged in any discussions or negotiations or has any agreements or understandings with any third party whether or not legally enforceable, concerning the acquisition of beneficial ownership of or any other economic interest in any Common Stock or other Voting Securities.</w:t>
      </w:r>
    </w:p>
    <w:p>
      <w:pPr>
        <w:spacing w:after="0" w:line="152" w:lineRule="exact"/>
        <w:rPr>
          <w:rFonts w:ascii="Times New Roman" w:cs="Times New Roman" w:eastAsia="Times New Roman" w:hAnsi="Times New Roman"/>
          <w:sz w:val="22"/>
          <w:szCs w:val="22"/>
          <w:color w:val="010000"/>
        </w:rPr>
      </w:pPr>
    </w:p>
    <w:p>
      <w:pPr>
        <w:jc w:val="both"/>
        <w:ind w:left="660" w:right="120" w:firstLine="1292"/>
        <w:spacing w:after="0" w:line="225" w:lineRule="auto"/>
        <w:tabs>
          <w:tab w:leader="none" w:pos="2599"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Engine Group has informed the Company of all agreements and other instruments entered into on or prior to the date hereof between or among any member of the Engine Group or any Affiliate or Associate thereof, on the one hand, and any other investor, on the other hand, which relate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160"/>
          </w:cols>
          <w:pgMar w:left="320" w:top="1395" w:right="419" w:bottom="1440" w:gutter="0" w:footer="0" w:header="0"/>
        </w:sectPr>
      </w:pPr>
    </w:p>
    <w:bookmarkStart w:id="14" w:name="page15"/>
    <w:bookmarkEnd w:id="14"/>
    <w:p>
      <w:pPr>
        <w:ind w:left="1300" w:hanging="644"/>
        <w:spacing w:after="0"/>
        <w:tabs>
          <w:tab w:leader="none" w:pos="1300"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This Agreement shall terminate on the Termination Date. No termination of this Agreement shall relieve any party of liability for any breach of this Agreement arising prior to such termination.</w:t>
      </w:r>
    </w:p>
    <w:p>
      <w:pPr>
        <w:spacing w:after="0" w:line="131" w:lineRule="exact"/>
        <w:rPr>
          <w:sz w:val="20"/>
          <w:szCs w:val="20"/>
          <w:color w:val="auto"/>
        </w:rPr>
      </w:pPr>
    </w:p>
    <w:p>
      <w:pPr>
        <w:ind w:right="60" w:firstLine="656"/>
        <w:spacing w:after="0" w:line="220" w:lineRule="auto"/>
        <w:tabs>
          <w:tab w:leader="none" w:pos="1296"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Promptly following the execution of this Agreement, the Company shall reimburse the Engine Group for not more than US$375,000 of its reasonably incurred and documented out-of-pocket fees and expenses (including reasonable legal fees) incurred in connection with its investment in the Company, the negotiation and execution of this Agreement and any SEC filings arising from this Agreement.</w:t>
      </w:r>
    </w:p>
    <w:p>
      <w:pPr>
        <w:spacing w:after="0" w:line="15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right="140" w:firstLine="1304"/>
        <w:spacing w:after="0" w:line="220" w:lineRule="auto"/>
        <w:tabs>
          <w:tab w:leader="none" w:pos="1941" w:val="left"/>
        </w:tabs>
        <w:numPr>
          <w:ilvl w:val="1"/>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Policies</w:t>
      </w:r>
      <w:r>
        <w:rPr>
          <w:rFonts w:ascii="Times New Roman" w:cs="Times New Roman" w:eastAsia="Times New Roman" w:hAnsi="Times New Roman"/>
          <w:sz w:val="22"/>
          <w:szCs w:val="22"/>
          <w:color w:val="auto"/>
        </w:rPr>
        <w:t>. The Engine Group acknowledges that Silvers has received a copy of the Policies in effect on the date hereof and the Engine Group shall cause Silvers to provide to the Company such certifications or acknowledgments in respect of Silvers’ compliance with the Policies as the Company may from time to time require from each of the other directors serving on the Board.</w:t>
      </w:r>
    </w:p>
    <w:p>
      <w:pPr>
        <w:spacing w:after="0" w:line="152" w:lineRule="exact"/>
        <w:rPr>
          <w:rFonts w:ascii="Times New Roman" w:cs="Times New Roman" w:eastAsia="Times New Roman" w:hAnsi="Times New Roman"/>
          <w:sz w:val="22"/>
          <w:szCs w:val="22"/>
          <w:color w:val="010000"/>
        </w:rPr>
      </w:pPr>
    </w:p>
    <w:p>
      <w:pPr>
        <w:ind w:firstLine="1304"/>
        <w:spacing w:after="0" w:line="213" w:lineRule="auto"/>
        <w:tabs>
          <w:tab w:leader="none" w:pos="1939" w:val="left"/>
        </w:tabs>
        <w:numPr>
          <w:ilvl w:val="1"/>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Remedies; Submission to Jurisdiction</w:t>
      </w:r>
      <w:r>
        <w:rPr>
          <w:rFonts w:ascii="Times New Roman" w:cs="Times New Roman" w:eastAsia="Times New Roman" w:hAnsi="Times New Roman"/>
          <w:sz w:val="22"/>
          <w:szCs w:val="22"/>
          <w:color w:val="auto"/>
        </w:rPr>
        <w:t>. Each party hereby acknowledges and agrees, on behalf of itself and its Affiliates and Associates, that irreparable harm would occur if any of the provisions of this Agreement were not performed in accordance with their specific terms or were otherwise breached. It is accordingly agreed that each party shall be entitled to specific relief hereunder, including an injunction or injunctions to prevent breaches of this Agreement and to enforce specifically the terms and provisions of this Agreement, in addition to any other remedy to which they are entitled at law or in equity, without the requirement to post any bond or deposit, and any party sued for breach of this Agreement expressly waives any defense that a remedy in damages would be adequate. Each of the parties irrevocably:</w:t>
      </w:r>
    </w:p>
    <w:p>
      <w:pPr>
        <w:spacing w:after="0" w:line="156" w:lineRule="exact"/>
        <w:rPr>
          <w:rFonts w:ascii="Times New Roman" w:cs="Times New Roman" w:eastAsia="Times New Roman" w:hAnsi="Times New Roman"/>
          <w:sz w:val="22"/>
          <w:szCs w:val="22"/>
          <w:color w:val="010000"/>
        </w:rPr>
      </w:pPr>
    </w:p>
    <w:p>
      <w:pPr>
        <w:ind w:left="660" w:right="260" w:firstLine="1292"/>
        <w:spacing w:after="0" w:line="236" w:lineRule="auto"/>
        <w:tabs>
          <w:tab w:leader="none" w:pos="2592"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consents to submit itself to the personal jurisdiction of the Supreme Court of British Columbia if any dispute arises out of this Agreement or the transactions contemplated by this Agreement,</w:t>
      </w:r>
    </w:p>
    <w:p>
      <w:pPr>
        <w:spacing w:after="0" w:line="150" w:lineRule="exact"/>
        <w:rPr>
          <w:rFonts w:ascii="Times New Roman" w:cs="Times New Roman" w:eastAsia="Times New Roman" w:hAnsi="Times New Roman"/>
          <w:sz w:val="22"/>
          <w:szCs w:val="22"/>
          <w:color w:val="010000"/>
        </w:rPr>
      </w:pPr>
    </w:p>
    <w:p>
      <w:pPr>
        <w:ind w:left="660" w:right="560" w:firstLine="1292"/>
        <w:spacing w:after="0" w:line="236" w:lineRule="auto"/>
        <w:tabs>
          <w:tab w:leader="none" w:pos="2598"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agrees that it shall not attempt to deny or defeat such personal jurisdiction by motion or other request for leave from any such court,</w:t>
      </w:r>
    </w:p>
    <w:p>
      <w:pPr>
        <w:spacing w:after="0" w:line="150" w:lineRule="exact"/>
        <w:rPr>
          <w:rFonts w:ascii="Times New Roman" w:cs="Times New Roman" w:eastAsia="Times New Roman" w:hAnsi="Times New Roman"/>
          <w:sz w:val="22"/>
          <w:szCs w:val="22"/>
          <w:color w:val="010000"/>
        </w:rPr>
      </w:pPr>
    </w:p>
    <w:p>
      <w:pPr>
        <w:ind w:left="660" w:right="20" w:firstLine="1292"/>
        <w:spacing w:after="0" w:line="236" w:lineRule="auto"/>
        <w:tabs>
          <w:tab w:leader="none" w:pos="2604" w:val="left"/>
        </w:tabs>
        <w:numPr>
          <w:ilvl w:val="2"/>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agrees that it shall not bring any action relating to this Agreement or the transactions contemplated by this Agreement in any court other than the Supreme Court of British Columbia or the British Columbia Court of Appeal, waives any argument that such courts are an inconvenient or improper forum and waives the right to trial by jury,</w:t>
      </w:r>
    </w:p>
    <w:p>
      <w:pPr>
        <w:spacing w:after="0" w:line="151" w:lineRule="exact"/>
        <w:rPr>
          <w:rFonts w:ascii="Times New Roman" w:cs="Times New Roman" w:eastAsia="Times New Roman" w:hAnsi="Times New Roman"/>
          <w:sz w:val="21"/>
          <w:szCs w:val="21"/>
          <w:color w:val="010000"/>
        </w:rPr>
      </w:pPr>
    </w:p>
    <w:p>
      <w:pPr>
        <w:ind w:left="660" w:right="460" w:firstLine="1292"/>
        <w:spacing w:after="0" w:line="236" w:lineRule="auto"/>
        <w:tabs>
          <w:tab w:leader="none" w:pos="2592"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agrees to waive any bonding requirement under any applicable law, in the case any other party seeks to enforce the terms hereof by way of equitable relief and</w:t>
      </w:r>
    </w:p>
    <w:p>
      <w:pPr>
        <w:spacing w:after="0" w:line="150" w:lineRule="exact"/>
        <w:rPr>
          <w:rFonts w:ascii="Times New Roman" w:cs="Times New Roman" w:eastAsia="Times New Roman" w:hAnsi="Times New Roman"/>
          <w:sz w:val="22"/>
          <w:szCs w:val="22"/>
          <w:color w:val="010000"/>
        </w:rPr>
      </w:pPr>
    </w:p>
    <w:p>
      <w:pPr>
        <w:ind w:left="660" w:right="180" w:firstLine="1292"/>
        <w:spacing w:after="0" w:line="236" w:lineRule="auto"/>
        <w:tabs>
          <w:tab w:leader="none" w:pos="2599"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consents to service of process by a reputable overnight mail delivery service, signature requested, to the address of such party’s principal place of business or as otherwise provided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200"/>
          </w:cols>
          <w:pgMar w:left="320" w:top="1395" w:right="379" w:bottom="1440" w:gutter="0" w:footer="0" w:header="0"/>
        </w:sectPr>
      </w:pPr>
    </w:p>
    <w:bookmarkStart w:id="15" w:name="page16"/>
    <w:bookmarkEnd w:id="15"/>
    <w:p>
      <w:pPr>
        <w:spacing w:after="0" w:line="262" w:lineRule="auto"/>
        <w:rPr>
          <w:sz w:val="20"/>
          <w:szCs w:val="20"/>
          <w:color w:val="auto"/>
        </w:rPr>
      </w:pPr>
      <w:r>
        <w:rPr>
          <w:rFonts w:ascii="Times New Roman" w:cs="Times New Roman" w:eastAsia="Times New Roman" w:hAnsi="Times New Roman"/>
          <w:sz w:val="21"/>
          <w:szCs w:val="21"/>
          <w:color w:val="auto"/>
        </w:rPr>
        <w:t xml:space="preserve">THIS AGREEMENT SHALL BE GOVERNED IN ALL RESPECTS, INCLUDING VALIDITY, INTERPRETATION AND EFFECT, BY THE LAWS OF THE PROVINCE OF BRITISH COLUMBIA APPLICABLE TO CONTRACTS EXECUTED AND TO BE PERFORMED WHOLLY WITHIN SUCH PROVINCE WITHOUT GIVING EFFECT TO THE CHOICE OF LAW PRINCIPLES OF SUCH PROVINCE. Nothing in this </w:t>
      </w:r>
      <w:r>
        <w:rPr>
          <w:rFonts w:ascii="Times New Roman" w:cs="Times New Roman" w:eastAsia="Times New Roman" w:hAnsi="Times New Roman"/>
          <w:sz w:val="21"/>
          <w:szCs w:val="21"/>
          <w:u w:val="single" w:color="auto"/>
          <w:color w:val="auto"/>
        </w:rPr>
        <w:t>Section 9(b)</w:t>
      </w:r>
      <w:r>
        <w:rPr>
          <w:rFonts w:ascii="Times New Roman" w:cs="Times New Roman" w:eastAsia="Times New Roman" w:hAnsi="Times New Roman"/>
          <w:sz w:val="21"/>
          <w:szCs w:val="21"/>
          <w:color w:val="auto"/>
        </w:rPr>
        <w:t xml:space="preserve"> shall prevent any of the parties from enforcing their respective rights under this Agreement or shall impose any limitation on any of the parties or their respective past, present or future general partners, directors, officers or employees in defending any claim, action, cause of action, suit, administrative action or proceeding of any kind, including any federal, state or other governmental proceeding of any kind, against any of them. The rights and remedies provided in this Agreement are cumulative and do not exclude any rights or remedies provided by law.</w:t>
      </w:r>
    </w:p>
    <w:p>
      <w:pPr>
        <w:spacing w:after="0" w:line="159" w:lineRule="exact"/>
        <w:rPr>
          <w:sz w:val="20"/>
          <w:szCs w:val="20"/>
          <w:color w:val="auto"/>
        </w:rPr>
      </w:pPr>
    </w:p>
    <w:p>
      <w:pPr>
        <w:ind w:right="120" w:firstLine="1304"/>
        <w:spacing w:after="0" w:line="215" w:lineRule="auto"/>
        <w:tabs>
          <w:tab w:leader="none" w:pos="1941"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xml:space="preserve">. This Agreement contains the entire understanding of the parties with respect to the subject matter hereof or thereof. Any previous agreements among the parties relating to the specific subject matter hereof are superseded by this Agreement. Neither this Agreement nor any provision hereof (including this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may be amended, changed or waived except by a written instrument signed by the party against whom enforcement of any such amendment, change or waiver is sought, which shall be effective only to the extent specifically set forth in such written instrument.</w:t>
      </w:r>
    </w:p>
    <w:p>
      <w:pPr>
        <w:spacing w:after="0" w:line="152" w:lineRule="exact"/>
        <w:rPr>
          <w:rFonts w:ascii="Times New Roman" w:cs="Times New Roman" w:eastAsia="Times New Roman" w:hAnsi="Times New Roman"/>
          <w:sz w:val="22"/>
          <w:szCs w:val="22"/>
          <w:color w:val="010000"/>
        </w:rPr>
      </w:pPr>
    </w:p>
    <w:p>
      <w:pPr>
        <w:ind w:right="160" w:firstLine="1304"/>
        <w:spacing w:after="0" w:line="217" w:lineRule="auto"/>
        <w:tabs>
          <w:tab w:leader="none" w:pos="1939"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consents, requests, instructions, approvals and other communications provided for herein and all legal process in regard hereto shall be in writing (including electronic format) and shall be deemed validly given, made or served, if (i) given by email, when such email is transmitted to the email address set forth below and the appropriate confirmation is received or (ii) if given by any other means, when actually received during normal business hours at the address set forth below:</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Engine Group, to: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1345 Avenue of the Americas, 2nd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10105</w:t>
      </w:r>
    </w:p>
    <w:p>
      <w:pPr>
        <w:spacing w:after="0" w:line="4" w:lineRule="exact"/>
        <w:rPr>
          <w:sz w:val="20"/>
          <w:szCs w:val="20"/>
          <w:color w:val="auto"/>
        </w:rPr>
      </w:pPr>
    </w:p>
    <w:p>
      <w:pPr>
        <w:ind w:left="1300"/>
        <w:spacing w:after="0"/>
        <w:tabs>
          <w:tab w:leader="none" w:pos="2420" w:val="left"/>
        </w:tabs>
        <w:rPr>
          <w:sz w:val="20"/>
          <w:szCs w:val="20"/>
          <w:color w:val="auto"/>
        </w:rPr>
      </w:pPr>
      <w:r>
        <w:rPr>
          <w:rFonts w:ascii="Times New Roman" w:cs="Times New Roman" w:eastAsia="Times New Roman" w:hAnsi="Times New Roman"/>
          <w:sz w:val="22"/>
          <w:szCs w:val="22"/>
          <w:color w:val="auto"/>
        </w:rPr>
        <w:t>Attention:</w:t>
        <w:tab/>
        <w:t>Arnaud Ajdler</w:t>
      </w:r>
    </w:p>
    <w:p>
      <w:pPr>
        <w:spacing w:after="0" w:line="4"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aajdler@enginecap.com</w:t>
      </w: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Olshan Frome Wolosky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1325 Avenue of the Americas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4" w:lineRule="exact"/>
        <w:rPr>
          <w:sz w:val="20"/>
          <w:szCs w:val="20"/>
          <w:color w:val="auto"/>
        </w:rPr>
      </w:pPr>
    </w:p>
    <w:p>
      <w:pPr>
        <w:ind w:left="1300"/>
        <w:spacing w:after="0"/>
        <w:tabs>
          <w:tab w:leader="none" w:pos="2420" w:val="left"/>
        </w:tabs>
        <w:rPr>
          <w:sz w:val="20"/>
          <w:szCs w:val="20"/>
          <w:color w:val="auto"/>
        </w:rPr>
      </w:pPr>
      <w:r>
        <w:rPr>
          <w:rFonts w:ascii="Times New Roman" w:cs="Times New Roman" w:eastAsia="Times New Roman" w:hAnsi="Times New Roman"/>
          <w:sz w:val="22"/>
          <w:szCs w:val="22"/>
          <w:color w:val="auto"/>
        </w:rPr>
        <w:t>Attention:</w:t>
        <w:tab/>
        <w:t>Andrew M. Freedman</w:t>
      </w:r>
    </w:p>
    <w:p>
      <w:pPr>
        <w:spacing w:after="0" w:line="5"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AFreedman@olshanlaw.com</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Civeo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Three Allen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220"/>
          </w:cols>
          <w:pgMar w:left="320" w:top="1422" w:right="35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22"/>
          <w:szCs w:val="22"/>
          <w:color w:val="auto"/>
        </w:rPr>
        <w:t>333 Clay Street, Suite 4400</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4"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Bradley J. Dodson</w:t>
      </w:r>
    </w:p>
    <w:p>
      <w:pPr>
        <w:spacing w:after="0" w:line="5"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bradley.dodson@civeo.com</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Wachtell, Lipton, Rosen &amp; Katz</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51 West 52nd Street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5"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Daniel A. Neff</w:t>
      </w:r>
    </w:p>
    <w:p>
      <w:pPr>
        <w:spacing w:after="0" w:line="15"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DANeff@wlrk.com</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Gibson, Dunn &amp; Crutcher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811 Main Street, Suite 3000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5" w:lineRule="exact"/>
        <w:rPr>
          <w:sz w:val="20"/>
          <w:szCs w:val="20"/>
          <w:color w:val="auto"/>
        </w:rPr>
      </w:pPr>
    </w:p>
    <w:p>
      <w:pPr>
        <w:ind w:left="1300"/>
        <w:spacing w:after="0"/>
        <w:tabs>
          <w:tab w:leader="none" w:pos="2420" w:val="left"/>
        </w:tabs>
        <w:rPr>
          <w:sz w:val="20"/>
          <w:szCs w:val="20"/>
          <w:color w:val="auto"/>
        </w:rPr>
      </w:pPr>
      <w:r>
        <w:rPr>
          <w:rFonts w:ascii="Times New Roman" w:cs="Times New Roman" w:eastAsia="Times New Roman" w:hAnsi="Times New Roman"/>
          <w:sz w:val="22"/>
          <w:szCs w:val="22"/>
          <w:color w:val="auto"/>
        </w:rPr>
        <w:t>Attention:</w:t>
        <w:tab/>
        <w:t>Tull Florey</w:t>
      </w:r>
    </w:p>
    <w:p>
      <w:pPr>
        <w:spacing w:after="0" w:line="15"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TFlorey@gibsondunn.com</w:t>
      </w:r>
    </w:p>
    <w:p>
      <w:pPr>
        <w:spacing w:after="0" w:line="169" w:lineRule="exact"/>
        <w:rPr>
          <w:sz w:val="20"/>
          <w:szCs w:val="20"/>
          <w:color w:val="auto"/>
        </w:rPr>
      </w:pPr>
    </w:p>
    <w:p>
      <w:pPr>
        <w:ind w:right="640" w:firstLine="1304"/>
        <w:spacing w:after="0" w:line="220" w:lineRule="auto"/>
        <w:tabs>
          <w:tab w:leader="none" w:pos="1941"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at any time any provision of this Agreement shall be held by any court of competent jurisdiction to be illegal, void or unenforceable, such provision shall be of no force and effect, but the illegality or unenforceability of such provision shall have no effect upon the legality or enforceability of any other provision of this Agreement.</w:t>
      </w:r>
    </w:p>
    <w:p>
      <w:pPr>
        <w:spacing w:after="0" w:line="152" w:lineRule="exact"/>
        <w:rPr>
          <w:rFonts w:ascii="Times New Roman" w:cs="Times New Roman" w:eastAsia="Times New Roman" w:hAnsi="Times New Roman"/>
          <w:sz w:val="22"/>
          <w:szCs w:val="22"/>
          <w:color w:val="010000"/>
        </w:rPr>
      </w:pPr>
    </w:p>
    <w:p>
      <w:pPr>
        <w:ind w:right="880" w:firstLine="1304"/>
        <w:spacing w:after="0" w:line="236" w:lineRule="auto"/>
        <w:tabs>
          <w:tab w:leader="none" w:pos="1944"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and by .pdf or other electronic means, which together shall constitute a single agreement.</w:t>
      </w:r>
    </w:p>
    <w:p>
      <w:pPr>
        <w:spacing w:after="0" w:line="148"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Third-Party Beneficiaries</w:t>
      </w:r>
      <w:r>
        <w:rPr>
          <w:rFonts w:ascii="Times New Roman" w:cs="Times New Roman" w:eastAsia="Times New Roman" w:hAnsi="Times New Roman"/>
          <w:sz w:val="21"/>
          <w:szCs w:val="21"/>
          <w:color w:val="auto"/>
        </w:rPr>
        <w:t>. This Agreement is solely for the benefit of the parties and is not enforceable</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by any other person.</w:t>
      </w:r>
    </w:p>
    <w:p>
      <w:pPr>
        <w:spacing w:after="0" w:line="155" w:lineRule="exact"/>
        <w:rPr>
          <w:rFonts w:ascii="Times New Roman" w:cs="Times New Roman" w:eastAsia="Times New Roman" w:hAnsi="Times New Roman"/>
          <w:sz w:val="21"/>
          <w:szCs w:val="21"/>
          <w:color w:val="010000"/>
        </w:rPr>
      </w:pPr>
    </w:p>
    <w:p>
      <w:pPr>
        <w:ind w:firstLine="1304"/>
        <w:spacing w:after="0" w:line="222" w:lineRule="auto"/>
        <w:tabs>
          <w:tab w:leader="none" w:pos="1939" w:val="left"/>
        </w:tabs>
        <w:numPr>
          <w:ilvl w:val="0"/>
          <w:numId w:val="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Interpretation and Construction</w:t>
      </w:r>
      <w:r>
        <w:rPr>
          <w:rFonts w:ascii="Times New Roman" w:cs="Times New Roman" w:eastAsia="Times New Roman" w:hAnsi="Times New Roman"/>
          <w:sz w:val="21"/>
          <w:szCs w:val="21"/>
          <w:color w:val="auto"/>
        </w:rPr>
        <w:t>. Each of the parties acknowledges that it has been represented by internal or external counsel of its choice throughout all negotiations that have preceded the execution of this Agreement, and that it has executed the same with the advice of said independent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 to events relating to drafting or preparation. Unless the context expressly requires the contrary, references in this Agreement to:</w:t>
      </w:r>
    </w:p>
    <w:p>
      <w:pPr>
        <w:spacing w:after="0" w:line="149" w:lineRule="exact"/>
        <w:rPr>
          <w:rFonts w:ascii="Times New Roman" w:cs="Times New Roman" w:eastAsia="Times New Roman" w:hAnsi="Times New Roman"/>
          <w:sz w:val="21"/>
          <w:szCs w:val="21"/>
          <w:color w:val="010000"/>
        </w:rPr>
      </w:pPr>
    </w:p>
    <w:p>
      <w:pPr>
        <w:ind w:left="2580" w:hanging="628"/>
        <w:spacing w:after="0"/>
        <w:tabs>
          <w:tab w:leader="none" w:pos="2580" w:val="left"/>
        </w:tabs>
        <w:numPr>
          <w:ilvl w:val="1"/>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singular include the plural, and the plural includes the singular;</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masculine, feminine, or neutral gender, shall include all other genders;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220"/>
          </w:cols>
          <w:pgMar w:left="320" w:top="1422" w:right="359" w:bottom="1440" w:gutter="0" w:footer="0" w:header="0"/>
        </w:sectPr>
      </w:pPr>
    </w:p>
    <w:bookmarkStart w:id="17" w:name="page18"/>
    <w:bookmarkEnd w:id="17"/>
    <w:p>
      <w:pPr>
        <w:ind w:left="2600" w:hanging="648"/>
        <w:spacing w:after="0"/>
        <w:tabs>
          <w:tab w:leader="none" w:pos="2600" w:val="left"/>
        </w:tabs>
        <w:numPr>
          <w:ilvl w:val="1"/>
          <w:numId w:val="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“includes” or “including” means “includes, without limitation” or “including, without limitation”;</w:t>
      </w:r>
    </w:p>
    <w:p>
      <w:pPr>
        <w:spacing w:after="0" w:line="190" w:lineRule="exact"/>
        <w:rPr>
          <w:rFonts w:ascii="Times New Roman" w:cs="Times New Roman" w:eastAsia="Times New Roman" w:hAnsi="Times New Roman"/>
          <w:sz w:val="21"/>
          <w:szCs w:val="21"/>
          <w:color w:val="010000"/>
        </w:rPr>
      </w:pPr>
    </w:p>
    <w:p>
      <w:pPr>
        <w:ind w:left="660" w:right="100" w:firstLine="1292"/>
        <w:spacing w:after="0" w:line="225" w:lineRule="auto"/>
        <w:tabs>
          <w:tab w:leader="none" w:pos="2592" w:val="left"/>
        </w:tabs>
        <w:numPr>
          <w:ilvl w:val="1"/>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“persons” include natural persons and entities (including corporations (profit and non-profit), general or limited partnerships, joint ventures, trusts, estates, limited and unlimited liability companies, organizations or other entities of any kind or nature);</w:t>
      </w:r>
    </w:p>
    <w:p>
      <w:pPr>
        <w:spacing w:after="0" w:line="151"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“Sections,” “Exhibits,” or “Schedules” mean the sections, exhibits or schedules to this Agreement;</w:t>
      </w:r>
    </w:p>
    <w:p>
      <w:pPr>
        <w:ind w:left="6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and</w:t>
      </w:r>
    </w:p>
    <w:p>
      <w:pPr>
        <w:spacing w:after="0" w:line="155" w:lineRule="exact"/>
        <w:rPr>
          <w:rFonts w:ascii="Times New Roman" w:cs="Times New Roman" w:eastAsia="Times New Roman" w:hAnsi="Times New Roman"/>
          <w:sz w:val="21"/>
          <w:szCs w:val="21"/>
          <w:color w:val="010000"/>
        </w:rPr>
      </w:pPr>
    </w:p>
    <w:p>
      <w:pPr>
        <w:ind w:left="2580" w:hanging="628"/>
        <w:spacing w:after="0"/>
        <w:tabs>
          <w:tab w:leader="none" w:pos="2580" w:val="left"/>
        </w:tabs>
        <w:numPr>
          <w:ilvl w:val="1"/>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mean the parties to this Agreement.</w:t>
      </w:r>
    </w:p>
    <w:p>
      <w:pPr>
        <w:spacing w:after="0" w:line="179" w:lineRule="exact"/>
        <w:rPr>
          <w:rFonts w:ascii="Times New Roman" w:cs="Times New Roman" w:eastAsia="Times New Roman" w:hAnsi="Times New Roman"/>
          <w:sz w:val="22"/>
          <w:szCs w:val="22"/>
          <w:color w:val="010000"/>
        </w:rPr>
      </w:pPr>
    </w:p>
    <w:p>
      <w:pPr>
        <w:jc w:val="both"/>
        <w:ind w:right="100" w:firstLine="1304"/>
        <w:spacing w:after="0" w:line="225" w:lineRule="auto"/>
        <w:tabs>
          <w:tab w:leader="none" w:pos="1932"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Successors; No Assignments</w:t>
      </w:r>
      <w:r>
        <w:rPr>
          <w:rFonts w:ascii="Times New Roman" w:cs="Times New Roman" w:eastAsia="Times New Roman" w:hAnsi="Times New Roman"/>
          <w:sz w:val="22"/>
          <w:szCs w:val="22"/>
          <w:color w:val="auto"/>
        </w:rPr>
        <w:t>. Except as otherwise expressly provided herein, the provisions hereof shall inure to the benefit of, and be binding upon, the successors of the parties hereto. This Agreement shall not be assignable by any of the parties.</w:t>
      </w:r>
    </w:p>
    <w:p>
      <w:pPr>
        <w:spacing w:after="0" w:line="152" w:lineRule="exact"/>
        <w:rPr>
          <w:rFonts w:ascii="Times New Roman" w:cs="Times New Roman" w:eastAsia="Times New Roman" w:hAnsi="Times New Roman"/>
          <w:sz w:val="22"/>
          <w:szCs w:val="22"/>
          <w:color w:val="010000"/>
        </w:rPr>
      </w:pPr>
    </w:p>
    <w:p>
      <w:pPr>
        <w:ind w:right="160" w:firstLine="1304"/>
        <w:spacing w:after="0" w:line="217" w:lineRule="auto"/>
        <w:tabs>
          <w:tab w:leader="none" w:pos="1932"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Delays or Omissions</w:t>
      </w:r>
      <w:r>
        <w:rPr>
          <w:rFonts w:ascii="Times New Roman" w:cs="Times New Roman" w:eastAsia="Times New Roman" w:hAnsi="Times New Roman"/>
          <w:sz w:val="22"/>
          <w:szCs w:val="22"/>
          <w:color w:val="auto"/>
        </w:rPr>
        <w:t>. It is agreed that no delay or omission to exercise any right, power or remedy accruing to any party upon any breach or default of any other party under this Agreement shall impair any such right, power or remedy, nor shall it be construed to be a waiver of any such breach or default, or any acquiescence therein, or of any similar breach or default thereafter occurring, nor shall any waiver of any single breach or default be deemed a waiver of any other breach or default theretofore or thereafter occurring.</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has been left blank intentionally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120"/>
          </w:cols>
          <w:pgMar w:left="320" w:top="1395" w:right="459" w:bottom="1440" w:gutter="0" w:footer="0" w:header="0"/>
        </w:sectPr>
      </w:pPr>
    </w:p>
    <w:bookmarkStart w:id="18" w:name="page19"/>
    <w:bookmarkEnd w:id="18"/>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or caused the same to be executed, by its duly authorized representative as of the date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CIVEO CORPORATION</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1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Bradley J. Dodson</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w:t>
      </w:r>
    </w:p>
    <w:p>
      <w:pPr>
        <w:spacing w:after="0" w:line="1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ENGINE GROUP:</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220"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Engine Investments, LLC, its General Partner</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Arnaud Ajdler</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Member</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233"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Engine Investments, LLC, its General Partner</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097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Arnaud Ajdler</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Member</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233"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Engine Investments II, LLC, its General Partner</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097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Arnaud Ajdler</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Cooperation Agreement</w:t>
      </w:r>
      <w:r>
        <w:rPr>
          <w:rFonts w:ascii="Times New Roman" w:cs="Times New Roman" w:eastAsia="Times New Roman" w:hAnsi="Times New Roman"/>
          <w:sz w:val="22"/>
          <w:szCs w:val="22"/>
          <w:color w:val="auto"/>
        </w:rPr>
        <w:t>]</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1240"/>
          </w:cols>
          <w:pgMar w:left="320" w:top="1422" w:right="339" w:bottom="1440" w:gutter="0" w:footer="0" w:header="0"/>
        </w:sectPr>
      </w:pPr>
    </w:p>
    <w:bookmarkStart w:id="19" w:name="page20"/>
    <w:bookmarkEnd w:id="19"/>
    <w:p>
      <w:pPr>
        <w:ind w:left="390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Engine Capital Management GP, LLC, its General Partner</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097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Arnaud Ajdler</w:t>
      </w:r>
    </w:p>
    <w:p>
      <w:pPr>
        <w:spacing w:after="0" w:line="1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Member</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097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Arnaud Ajdler</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Member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097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Arnaud Ajdler</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Member</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23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0972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Arnaud Ajdler</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Member</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097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ARNAUD AJDLER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Cooperation Agreement</w:t>
      </w:r>
      <w:r>
        <w:rPr>
          <w:rFonts w:ascii="Times New Roman" w:cs="Times New Roman" w:eastAsia="Times New Roman" w:hAnsi="Times New Roman"/>
          <w:sz w:val="22"/>
          <w:szCs w:val="22"/>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0139"/>
          </w:cols>
          <w:pgMar w:left="320" w:top="1422" w:right="1440" w:bottom="1440" w:gutter="0" w:footer="0" w:header="0"/>
        </w:sectPr>
      </w:pPr>
    </w:p>
    <w:bookmarkStart w:id="20" w:name="page21"/>
    <w:bookmarkEnd w:id="20"/>
    <w:p>
      <w:pPr>
        <w:ind w:left="50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5004501573.3</w:t>
      </w:r>
    </w:p>
    <w:p>
      <w:pPr>
        <w:sectPr>
          <w:pgSz w:w="11900" w:h="16838" w:orient="portrait"/>
          <w:cols w:equalWidth="0" w:num="1">
            <w:col w:w="10139"/>
          </w:cols>
          <w:pgMar w:left="320" w:top="1418"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103695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36955" cy="5314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Civeo Appoints Jeffrey B. Scofield and Daniel B. Silvers to Board of Directors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26, 2025</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Enters into Cooperation Agreement with Engine Capital</w:t>
      </w:r>
    </w:p>
    <w:p>
      <w:pPr>
        <w:spacing w:after="0" w:line="161" w:lineRule="exact"/>
        <w:rPr>
          <w:sz w:val="20"/>
          <w:szCs w:val="20"/>
          <w:color w:val="auto"/>
        </w:rPr>
      </w:pPr>
    </w:p>
    <w:p>
      <w:pPr>
        <w:ind w:left="20" w:right="100" w:hanging="8"/>
        <w:spacing w:after="0" w:line="293" w:lineRule="auto"/>
        <w:rPr>
          <w:sz w:val="20"/>
          <w:szCs w:val="20"/>
          <w:color w:val="auto"/>
        </w:rPr>
      </w:pPr>
      <w:r>
        <w:rPr>
          <w:rFonts w:ascii="Arial" w:cs="Arial" w:eastAsia="Arial" w:hAnsi="Arial"/>
          <w:sz w:val="14"/>
          <w:szCs w:val="14"/>
          <w:color w:val="auto"/>
        </w:rPr>
        <w:t>HOUSTON--(BUSINESS WIRE)--Nov. 26, 2025-- Civeo Corporation (NYSE: CVEO) (“Civeo” or “the Company”) today appointed Jeffrey B. Scofield and Daniel B. Silvers to its Board of Directors (the “Board”), effective immediately. Mr. Silvers’ and Mr. Scofield’s appointments are made in conjunction with a cooperation agreement that the Company has reached with Engine Capital LP (“Engine Capital”) and certain of its affiliates.</w:t>
      </w:r>
    </w:p>
    <w:p>
      <w:pPr>
        <w:spacing w:after="0" w:line="85" w:lineRule="exact"/>
        <w:rPr>
          <w:sz w:val="20"/>
          <w:szCs w:val="20"/>
          <w:color w:val="auto"/>
        </w:rPr>
      </w:pPr>
    </w:p>
    <w:p>
      <w:pPr>
        <w:ind w:left="20" w:right="120" w:hanging="8"/>
        <w:spacing w:after="0" w:line="293" w:lineRule="auto"/>
        <w:rPr>
          <w:sz w:val="20"/>
          <w:szCs w:val="20"/>
          <w:color w:val="auto"/>
        </w:rPr>
      </w:pPr>
      <w:r>
        <w:rPr>
          <w:rFonts w:ascii="Arial" w:cs="Arial" w:eastAsia="Arial" w:hAnsi="Arial"/>
          <w:sz w:val="14"/>
          <w:szCs w:val="14"/>
          <w:color w:val="auto"/>
        </w:rPr>
        <w:t>Mr. Scofield will serve on the Audit and Finance and Investment Committees of the Board and Mr. Silvers will serve on the Compensation and Environmental, Social, Governance &amp; Nominating Committees. With the appointments of Mr. Scofield and Mr. Silvers, the Board will temporarily increase to 11 directors. Two incumbent directors will not stand for reelection at the Company’s 2026 Annual Meeting, at which time the Board will once again comprise nine directors, eight of whom will be independent.</w:t>
      </w:r>
    </w:p>
    <w:p>
      <w:pPr>
        <w:spacing w:after="0" w:line="85" w:lineRule="exact"/>
        <w:rPr>
          <w:sz w:val="20"/>
          <w:szCs w:val="20"/>
          <w:color w:val="auto"/>
        </w:rPr>
      </w:pPr>
    </w:p>
    <w:p>
      <w:pPr>
        <w:ind w:left="20" w:right="60" w:hanging="8"/>
        <w:spacing w:after="0" w:line="282"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We are excited to welcome Jeff and Daniel to the Board and look forward to benefitting from their unique perspectives in the boardroom,” said Richard A. Navarre, Chairman</w:t>
      </w:r>
      <w:r>
        <w:rPr>
          <w:rFonts w:ascii="Arial" w:cs="Arial" w:eastAsia="Arial" w:hAnsi="Arial"/>
          <w:sz w:val="14"/>
          <w:szCs w:val="14"/>
          <w:b w:val="1"/>
          <w:bCs w:val="1"/>
          <w:color w:val="auto"/>
        </w:rPr>
        <w:t xml:space="preserve"> </w:t>
      </w:r>
      <w:r>
        <w:rPr>
          <w:rFonts w:ascii="Arial" w:cs="Arial" w:eastAsia="Arial" w:hAnsi="Arial"/>
          <w:sz w:val="14"/>
          <w:szCs w:val="14"/>
          <w:color w:val="auto"/>
        </w:rPr>
        <w:t>of the Board of Directors. “Given his more than two decades of global, natural-resource investment management and corporate governance experience, Jeff adds another seasoned, shareholder-focused voice to our Board. We particularly look forward to benefitting from his expertise in North American and international natural resources and infrastructure, Civeo’s core markets. Daniel brings a proven track record as an investor, executive and public company director. We expect that his capital allocation and boardroom experience will make him a valuable contributor to Civeo’s Board as we oversee the Company’s continued strategic execution. These appointments underscore our commitment to ongoing Board refreshment and rigorous governance practices, consistent with our focus on delivering enhanced long-term value for all shareholders.”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“We invested in Civeo because we believe in the Company’s growth profile in key markets and its strong customer relationships,” said Arnaud Ajdler,</w:t>
      </w:r>
    </w:p>
    <w:p>
      <w:pPr>
        <w:spacing w:after="0" w:line="29" w:lineRule="exact"/>
        <w:rPr>
          <w:sz w:val="20"/>
          <w:szCs w:val="20"/>
          <w:color w:val="auto"/>
        </w:rPr>
      </w:pPr>
    </w:p>
    <w:p>
      <w:pPr>
        <w:ind w:left="20" w:right="260" w:hanging="8"/>
        <w:spacing w:after="0" w:line="303" w:lineRule="auto"/>
        <w:rPr>
          <w:sz w:val="20"/>
          <w:szCs w:val="20"/>
          <w:color w:val="auto"/>
        </w:rPr>
      </w:pPr>
      <w:r>
        <w:rPr>
          <w:rFonts w:ascii="Arial" w:cs="Arial" w:eastAsia="Arial" w:hAnsi="Arial"/>
          <w:sz w:val="14"/>
          <w:szCs w:val="14"/>
          <w:color w:val="auto"/>
        </w:rPr>
        <w:t>Founder and Managing Member of Engine Capital. “We trust that the appointment of these two highly accomplished individuals will further enhance Civeo’s focus on growth and value creation. We appreciate Civeo’s ongoing collaboration and look to build on this constructive relationship.”</w:t>
      </w:r>
    </w:p>
    <w:p>
      <w:pPr>
        <w:spacing w:after="0" w:line="92" w:lineRule="exact"/>
        <w:rPr>
          <w:sz w:val="20"/>
          <w:szCs w:val="20"/>
          <w:color w:val="auto"/>
        </w:rPr>
      </w:pPr>
    </w:p>
    <w:p>
      <w:pPr>
        <w:ind w:left="20" w:hanging="8"/>
        <w:spacing w:after="0" w:line="305" w:lineRule="auto"/>
        <w:rPr>
          <w:sz w:val="20"/>
          <w:szCs w:val="20"/>
          <w:color w:val="auto"/>
        </w:rPr>
      </w:pPr>
      <w:r>
        <w:rPr>
          <w:rFonts w:ascii="Arial" w:cs="Arial" w:eastAsia="Arial" w:hAnsi="Arial"/>
          <w:sz w:val="14"/>
          <w:szCs w:val="14"/>
          <w:color w:val="auto"/>
        </w:rPr>
        <w:t>“We appreciate the productive discussions we’ve had with Engine Capital,” continued Mr. Navarre. “We are pleased to have achieved an outcome that advances the interests of all Civeo shareholders.”</w:t>
      </w:r>
    </w:p>
    <w:p>
      <w:pPr>
        <w:spacing w:after="0" w:line="90" w:lineRule="exact"/>
        <w:rPr>
          <w:sz w:val="20"/>
          <w:szCs w:val="20"/>
          <w:color w:val="auto"/>
        </w:rPr>
      </w:pPr>
    </w:p>
    <w:p>
      <w:pPr>
        <w:ind w:left="20" w:right="480" w:hanging="8"/>
        <w:spacing w:after="0" w:line="305" w:lineRule="auto"/>
        <w:rPr>
          <w:sz w:val="20"/>
          <w:szCs w:val="20"/>
          <w:color w:val="auto"/>
        </w:rPr>
      </w:pPr>
      <w:r>
        <w:rPr>
          <w:rFonts w:ascii="Arial" w:cs="Arial" w:eastAsia="Arial" w:hAnsi="Arial"/>
          <w:sz w:val="14"/>
          <w:szCs w:val="14"/>
          <w:color w:val="auto"/>
        </w:rPr>
        <w:t>The Agreement includes customary standstill, voting and other provisions. The full text of the Agreement will be filed on Form 8-K with the U.S. Securities and Exchange Commission.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Jeffrey B. Scofield</w:t>
      </w:r>
    </w:p>
    <w:p>
      <w:pPr>
        <w:spacing w:after="0" w:line="163" w:lineRule="exact"/>
        <w:rPr>
          <w:sz w:val="20"/>
          <w:szCs w:val="20"/>
          <w:color w:val="auto"/>
        </w:rPr>
      </w:pPr>
    </w:p>
    <w:p>
      <w:pPr>
        <w:ind w:left="20" w:right="420" w:hanging="8"/>
        <w:spacing w:after="0" w:line="282" w:lineRule="auto"/>
        <w:rPr>
          <w:sz w:val="20"/>
          <w:szCs w:val="20"/>
          <w:color w:val="auto"/>
        </w:rPr>
      </w:pPr>
      <w:r>
        <w:rPr>
          <w:rFonts w:ascii="Arial" w:cs="Arial" w:eastAsia="Arial" w:hAnsi="Arial"/>
          <w:sz w:val="14"/>
          <w:szCs w:val="14"/>
          <w:color w:val="auto"/>
        </w:rPr>
        <w:t>Mr. Scofield is Chief Operating Officer and Managing Director of Lime Rock Partners, a global private equity firm focused on investments across the upstream oil and gas sector. At Lime Rock, Mr. Scofield helps lead day-to-day investment operations and strategy, capital deployment, fundraising, investor relations, and oversees team management. Since joining Lime Rock in 2005, he has helped guide the firm’s growth to more than $7 billion in total capital commitments, with investments spanning exploration and production, mining, oilfield services, and manufacturing companies.</w:t>
      </w:r>
    </w:p>
    <w:p>
      <w:pPr>
        <w:spacing w:after="0" w:line="107" w:lineRule="exact"/>
        <w:rPr>
          <w:sz w:val="20"/>
          <w:szCs w:val="20"/>
          <w:color w:val="auto"/>
        </w:rPr>
      </w:pPr>
    </w:p>
    <w:p>
      <w:pPr>
        <w:jc w:val="both"/>
        <w:ind w:left="20" w:right="200" w:hanging="8"/>
        <w:spacing w:after="0" w:line="293" w:lineRule="auto"/>
        <w:rPr>
          <w:sz w:val="20"/>
          <w:szCs w:val="20"/>
          <w:color w:val="auto"/>
        </w:rPr>
      </w:pPr>
      <w:r>
        <w:rPr>
          <w:rFonts w:ascii="Arial" w:cs="Arial" w:eastAsia="Arial" w:hAnsi="Arial"/>
          <w:sz w:val="14"/>
          <w:szCs w:val="14"/>
          <w:color w:val="auto"/>
        </w:rPr>
        <w:t>Mr. Scofield also brings valuable board-level experience, having previously served as an Independent Director of Covia Corporation where he played a central role in helping the company navigate a complex restructuring and legal process. Additionally, he was Lead Independent Director of Sponsor Bearkat II Holdings and oversaw strategic and financial decisions related to the company’s renewable energy operations. He currently serves on the boards of several of Lime Rock’s portfolio companies.</w:t>
      </w:r>
    </w:p>
    <w:p>
      <w:pPr>
        <w:spacing w:after="0" w:line="85" w:lineRule="exact"/>
        <w:rPr>
          <w:sz w:val="20"/>
          <w:szCs w:val="20"/>
          <w:color w:val="auto"/>
        </w:rPr>
      </w:pPr>
    </w:p>
    <w:p>
      <w:pPr>
        <w:ind w:left="20" w:right="560" w:hanging="8"/>
        <w:spacing w:after="0" w:line="305" w:lineRule="auto"/>
        <w:rPr>
          <w:sz w:val="20"/>
          <w:szCs w:val="20"/>
          <w:color w:val="auto"/>
        </w:rPr>
      </w:pPr>
      <w:r>
        <w:rPr>
          <w:rFonts w:ascii="Arial" w:cs="Arial" w:eastAsia="Arial" w:hAnsi="Arial"/>
          <w:sz w:val="14"/>
          <w:szCs w:val="14"/>
          <w:color w:val="auto"/>
        </w:rPr>
        <w:t>Prior to Lime Rock, Mr. Scofield held positions in the investment banking groups of Harrison Lovegrove &amp; Co., Credit Suisse, and Donaldson, Lufkin &amp; Jenrette. He is a graduate of Vanderbilt University (B.A.).</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Daniel B. Silvers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Mr. Silvers is the Founder and has served as the managing member of Matthews Lane Capital Partners LLC, an investment firm, since 2015.</w:t>
      </w:r>
    </w:p>
    <w:p>
      <w:pPr>
        <w:spacing w:after="0" w:line="29" w:lineRule="exact"/>
        <w:rPr>
          <w:sz w:val="20"/>
          <w:szCs w:val="20"/>
          <w:color w:val="auto"/>
        </w:rPr>
      </w:pPr>
    </w:p>
    <w:p>
      <w:pPr>
        <w:ind w:left="20" w:right="20" w:hanging="8"/>
        <w:spacing w:after="0" w:line="272" w:lineRule="auto"/>
        <w:rPr>
          <w:sz w:val="20"/>
          <w:szCs w:val="20"/>
          <w:color w:val="auto"/>
        </w:rPr>
      </w:pPr>
      <w:r>
        <w:rPr>
          <w:rFonts w:ascii="Arial" w:cs="Arial" w:eastAsia="Arial" w:hAnsi="Arial"/>
          <w:sz w:val="14"/>
          <w:szCs w:val="14"/>
          <w:color w:val="auto"/>
        </w:rPr>
        <w:t>Additionally, Mr. Silvers has served as Executive Chairman of Winventory, Inc., a tech-enabled event ticketing management partner, since January 2024. Mr. Silvers served as Executive Vice President and Chief Strategy Officer at Inspired Entertainment, Inc., a gaming technology company, between December 2016 and January 2023 and as Chief Executive Officer and a director of Leisure Acquisition Corp., a special purpose acquisition company, from September 2017 to June 2021. Previously, Mr. Silvers was the President of SpringOwl Asset Management LLC, an investment management firm, from 2009 to 2015 (including predecessor entities). Mr. Silvers was the President of Western Liberty Bancorp, an acquisition oriented holding company, from 2009 to 2010. Mr. Silvers previously held positions at Fortress Investment Group LLC, a leading global alternative asset manager, and Bear, Stearns &amp; Co. Inc., a global financial services firm. Mr. Silvers has served on the board of directors of ModivCare, Inc., a leading technology-enabled healthcare services company, since April 2025. Mr. Silvers serves as Chair of ModivCare’s Capital Structure Committee. Mr. Silvers previously has served on the boards of directors of several companies, including MRC Global, Inc., an industrial distributor, from 2024 to 2025, Zen JV LLC, an operator of job posting information, during 2025, Avid Technology, Inc., a global media technology provider, from 2018 to 2023, Leisure Acquisition from 2017 to 2021, PICO Holdings, Inc., a diversified holding company, from 2016 to 2018, Forestar Group Inc., a real estate development company, from 2015 to 2017, Ashford Hospitality Prime, a hospitality REIT, in 2017, bwin.party digital entertainment plc, an online gaming company, from 2014 to 2015, International Game Technology PLC, an international gaming technology company, in 2013, Universal Health Services, Inc., a hospital management and health services company, from 2009 to 2011 and India Hospitality Corp., a hospitality and food service company, from 2010 to 2017.</w:t>
      </w:r>
    </w:p>
    <w:p>
      <w:pPr>
        <w:sectPr>
          <w:pgSz w:w="11900" w:h="16838" w:orient="portrait"/>
          <w:cols w:equalWidth="0" w:num="1">
            <w:col w:w="11180"/>
          </w:cols>
          <w:pgMar w:left="320" w:top="1440" w:right="399" w:bottom="1440" w:gutter="0" w:footer="0" w:header="0"/>
        </w:sectPr>
      </w:pPr>
    </w:p>
    <w:bookmarkStart w:id="22" w:name="page23"/>
    <w:bookmarkEnd w:id="22"/>
    <w:p>
      <w:pPr>
        <w:ind w:left="20" w:right="40" w:hanging="8"/>
        <w:spacing w:after="0" w:line="305" w:lineRule="auto"/>
        <w:rPr>
          <w:sz w:val="20"/>
          <w:szCs w:val="20"/>
          <w:color w:val="auto"/>
        </w:rPr>
      </w:pPr>
      <w:r>
        <w:rPr>
          <w:rFonts w:ascii="Arial" w:cs="Arial" w:eastAsia="Arial" w:hAnsi="Arial"/>
          <w:sz w:val="14"/>
          <w:szCs w:val="14"/>
          <w:color w:val="auto"/>
        </w:rPr>
        <w:t>Mr. Silvers holds a B.S. in Economics and an M.B.A. in Finance from The Wharton School of the University of Pennsylvania. Mr. Silvers also received a Corporate Governance certification through the Director Education &amp; Certification Program at the UCLA Anderson School of Management.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Civeo Corporation</w:t>
      </w:r>
    </w:p>
    <w:p>
      <w:pPr>
        <w:spacing w:after="0" w:line="150" w:lineRule="exact"/>
        <w:rPr>
          <w:sz w:val="20"/>
          <w:szCs w:val="20"/>
          <w:color w:val="auto"/>
        </w:rPr>
      </w:pPr>
    </w:p>
    <w:p>
      <w:pPr>
        <w:ind w:left="20" w:right="40" w:hanging="8"/>
        <w:spacing w:after="0" w:line="278" w:lineRule="auto"/>
        <w:rPr>
          <w:sz w:val="20"/>
          <w:szCs w:val="20"/>
          <w:color w:val="auto"/>
        </w:rPr>
      </w:pPr>
      <w:r>
        <w:rPr>
          <w:rFonts w:ascii="Arial" w:cs="Arial" w:eastAsia="Arial" w:hAnsi="Arial"/>
          <w:sz w:val="14"/>
          <w:szCs w:val="14"/>
          <w:color w:val="auto"/>
        </w:rPr>
        <w:t xml:space="preserve">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owns and operates a total of 28 lodges and villages in North America and Australia with an aggregate of approximately 27,500 rooms. In addition, Civeo operates and provides hospitality services at 24 customer-owned locations with approximately 19,500 rooms. Civeo is publicly traded under the symbol CVEO on the New York Stock Exchange. For more information, please visit Civeo's website at </w:t>
      </w:r>
      <w:r>
        <w:rPr>
          <w:rFonts w:ascii="Arial" w:cs="Arial" w:eastAsia="Arial" w:hAnsi="Arial"/>
          <w:sz w:val="14"/>
          <w:szCs w:val="14"/>
          <w:u w:val="single" w:color="auto"/>
          <w:color w:val="0000EE"/>
        </w:rPr>
        <w:t>www.civeo.com</w:t>
      </w:r>
      <w:r>
        <w:rPr>
          <w:rFonts w:ascii="Arial" w:cs="Arial" w:eastAsia="Arial" w:hAnsi="Arial"/>
          <w:sz w:val="14"/>
          <w:szCs w:val="14"/>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50" w:lineRule="exact"/>
        <w:rPr>
          <w:sz w:val="20"/>
          <w:szCs w:val="20"/>
          <w:color w:val="auto"/>
        </w:rPr>
      </w:pPr>
    </w:p>
    <w:p>
      <w:pPr>
        <w:ind w:left="20" w:hanging="8"/>
        <w:spacing w:after="0" w:line="273" w:lineRule="auto"/>
        <w:rPr>
          <w:sz w:val="20"/>
          <w:szCs w:val="20"/>
          <w:color w:val="auto"/>
        </w:rPr>
      </w:pPr>
      <w:r>
        <w:rPr>
          <w:rFonts w:ascii="Arial" w:cs="Arial" w:eastAsia="Arial" w:hAnsi="Arial"/>
          <w:sz w:val="14"/>
          <w:szCs w:val="14"/>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growth and value creation,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coal, iron ore, oil, natural gas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including wildfires,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View source version on </w:t>
      </w:r>
      <w:r>
        <w:rPr>
          <w:rFonts w:ascii="Arial" w:cs="Arial" w:eastAsia="Arial" w:hAnsi="Arial"/>
          <w:sz w:val="14"/>
          <w:szCs w:val="14"/>
          <w:u w:val="single" w:color="auto"/>
          <w:color w:val="0000EE"/>
        </w:rPr>
        <w:t>businesswire.com</w:t>
      </w:r>
      <w:r>
        <w:rPr>
          <w:rFonts w:ascii="Arial" w:cs="Arial" w:eastAsia="Arial" w:hAnsi="Arial"/>
          <w:sz w:val="14"/>
          <w:szCs w:val="14"/>
          <w:color w:val="auto"/>
        </w:rPr>
        <w:t xml:space="preserve">: </w:t>
      </w:r>
      <w:r>
        <w:rPr>
          <w:rFonts w:ascii="Arial" w:cs="Arial" w:eastAsia="Arial" w:hAnsi="Arial"/>
          <w:sz w:val="14"/>
          <w:szCs w:val="14"/>
          <w:u w:val="single" w:color="auto"/>
          <w:color w:val="0000EE"/>
        </w:rPr>
        <w:t>https://www.businesswire.com/news/home/20251126653273/en/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Regan Nielsen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Civeo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Corporate Development &amp;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713-510-2400</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Source: Civeo Corporation</w:t>
      </w:r>
    </w:p>
    <w:sectPr>
      <w:pgSz w:w="11900" w:h="16838" w:orient="portrait"/>
      <w:cols w:equalWidth="0" w:num="1">
        <w:col w:w="11160"/>
      </w:cols>
      <w:pgMar w:left="320" w:top="96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4"/>
    </w:lvl>
  </w:abstractNum>
  <w:abstractNum w:abstractNumId="2">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DED7263"/>
    <w:multiLevelType w:val="hybridMultilevel"/>
    <w:lvl w:ilvl="0">
      <w:lvlJc w:val="left"/>
      <w:lvlText w:val="(%1)"/>
      <w:numFmt w:val="lowerLetter"/>
      <w:start w:val="12"/>
    </w:lvl>
    <w:lvl w:ilvl="1">
      <w:lvlJc w:val="left"/>
      <w:lvlText w:val="(%2)"/>
      <w:numFmt w:val="lowerRoman"/>
      <w:start w:val="1"/>
    </w:lvl>
  </w:abstractNum>
  <w:abstractNum w:abstractNumId="4">
    <w:nsid w:val="7FDCC233"/>
    <w:multiLevelType w:val="hybridMultilevel"/>
    <w:lvl w:ilvl="0">
      <w:lvlJc w:val="left"/>
      <w:lvlText w:val="%1"/>
      <w:numFmt w:val="decimal"/>
      <w:start w:val="1"/>
    </w:lvl>
    <w:lvl w:ilvl="1">
      <w:lvlJc w:val="left"/>
      <w:lvlText w:val="(%2)"/>
      <w:numFmt w:val="lowerLetter"/>
      <w:start w:val="20"/>
    </w:lvl>
  </w:abstractNum>
  <w:abstractNum w:abstractNumId="5">
    <w:nsid w:val="1BEFD79F"/>
    <w:multiLevelType w:val="hybridMultilevel"/>
    <w:lvl w:ilvl="0">
      <w:lvlJc w:val="left"/>
      <w:lvlText w:val="%1."/>
      <w:numFmt w:val="decimal"/>
      <w:start w:val="2"/>
    </w:lvl>
    <w:lvl w:ilvl="1">
      <w:lvlJc w:val="left"/>
      <w:lvlText w:val="(%2)"/>
      <w:numFmt w:val="lowerLetter"/>
      <w:start w:val="1"/>
    </w:lvl>
  </w:abstractNum>
  <w:abstractNum w:abstractNumId="6">
    <w:nsid w:val="41A7C4C9"/>
    <w:multiLevelType w:val="hybridMultilevel"/>
    <w:lvl w:ilvl="0">
      <w:lvlJc w:val="left"/>
      <w:lvlText w:val="(%1)"/>
      <w:numFmt w:val="lowerLetter"/>
      <w:start w:val="3"/>
    </w:lvl>
    <w:lvl w:ilvl="1">
      <w:lvlJc w:val="left"/>
      <w:lvlText w:val="(%2)"/>
      <w:numFmt w:val="lowerRoman"/>
      <w:start w:val="1"/>
    </w:lvl>
  </w:abstractNum>
  <w:abstractNum w:abstractNumId="7">
    <w:nsid w:val="6B68079A"/>
    <w:multiLevelType w:val="hybridMultilevel"/>
    <w:lvl w:ilvl="0">
      <w:lvlJc w:val="left"/>
      <w:lvlText w:val="%1."/>
      <w:numFmt w:val="decimal"/>
      <w:start w:val="3"/>
    </w:lvl>
    <w:lvl w:ilvl="1">
      <w:lvlJc w:val="left"/>
      <w:lvlText w:val="(%2)"/>
      <w:numFmt w:val="lowerLetter"/>
      <w:start w:val="1"/>
    </w:lvl>
  </w:abstractNum>
  <w:abstractNum w:abstractNumId="8">
    <w:nsid w:val="4E6AFB66"/>
    <w:multiLevelType w:val="hybridMultilevel"/>
    <w:lvl w:ilvl="0">
      <w:lvlJc w:val="left"/>
      <w:lvlText w:val="(%1)"/>
      <w:numFmt w:val="lowerRoman"/>
      <w:start w:val="1"/>
    </w:lvl>
  </w:abstractNum>
  <w:abstractNum w:abstractNumId="9">
    <w:nsid w:val="25E45D32"/>
    <w:multiLevelType w:val="hybridMultilevel"/>
    <w:lvl w:ilvl="0">
      <w:lvlJc w:val="left"/>
      <w:lvlText w:val="(%1)"/>
      <w:numFmt w:val="lowerRoman"/>
      <w:start w:val="9"/>
    </w:lvl>
    <w:lvl w:ilvl="1">
      <w:lvlJc w:val="left"/>
      <w:lvlText w:val="(%2)"/>
      <w:numFmt w:val="upperLetter"/>
      <w:start w:val="1"/>
    </w:lvl>
  </w:abstractNum>
  <w:abstractNum w:abstractNumId="10">
    <w:nsid w:val="519B500D"/>
    <w:multiLevelType w:val="hybridMultilevel"/>
    <w:lvl w:ilvl="0">
      <w:lvlJc w:val="left"/>
      <w:lvlText w:val="(%1)"/>
      <w:numFmt w:val="lowerRoman"/>
      <w:start w:val="14"/>
    </w:lvl>
  </w:abstractNum>
  <w:abstractNum w:abstractNumId="11">
    <w:nsid w:val="431BD7B7"/>
    <w:multiLevelType w:val="hybridMultilevel"/>
    <w:lvl w:ilvl="0">
      <w:lvlJc w:val="left"/>
      <w:lvlText w:val="(%1)"/>
      <w:numFmt w:val="lowerLetter"/>
      <w:start w:val="2"/>
    </w:lvl>
    <w:lvl w:ilvl="1">
      <w:lvlJc w:val="left"/>
      <w:lvlText w:val="(%2)"/>
      <w:numFmt w:val="lowerRoman"/>
      <w:start w:val="1"/>
    </w:lvl>
  </w:abstractNum>
  <w:abstractNum w:abstractNumId="12">
    <w:nsid w:val="3F2DBA31"/>
    <w:multiLevelType w:val="hybridMultilevel"/>
    <w:lvl w:ilvl="0">
      <w:lvlJc w:val="left"/>
      <w:lvlText w:val="%1."/>
      <w:numFmt w:val="decimal"/>
      <w:start w:val="4"/>
    </w:lvl>
  </w:abstractNum>
  <w:abstractNum w:abstractNumId="13">
    <w:nsid w:val="7C83E458"/>
    <w:multiLevelType w:val="hybridMultilevel"/>
    <w:lvl w:ilvl="0">
      <w:lvlJc w:val="left"/>
      <w:lvlText w:val="%1."/>
      <w:numFmt w:val="decimal"/>
      <w:start w:val="5"/>
    </w:lvl>
  </w:abstractNum>
  <w:abstractNum w:abstractNumId="14">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62BBD95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6">
    <w:nsid w:val="436C6125"/>
    <w:multiLevelType w:val="hybridMultilevel"/>
    <w:lvl w:ilvl="0">
      <w:lvlJc w:val="left"/>
      <w:lvlText w:val="%1"/>
      <w:numFmt w:val="lowerLetter"/>
      <w:start w:val="1"/>
    </w:lvl>
    <w:lvl w:ilvl="1">
      <w:lvlJc w:val="left"/>
      <w:lvlText w:val="(%2)"/>
      <w:numFmt w:val="lowerRoman"/>
      <w:start w:val="2"/>
    </w:lvl>
  </w:abstractNum>
  <w:abstractNum w:abstractNumId="17">
    <w:nsid w:val="628C895D"/>
    <w:multiLevelType w:val="hybridMultilevel"/>
    <w:lvl w:ilvl="0">
      <w:lvlJc w:val="left"/>
      <w:lvlText w:val="(%1)"/>
      <w:numFmt w:val="lowerLetter"/>
      <w:start w:val="2"/>
    </w:lvl>
    <w:lvl w:ilvl="1">
      <w:lvlJc w:val="left"/>
      <w:lvlText w:val="(%2)"/>
      <w:numFmt w:val="lowerRoman"/>
      <w:start w:val="1"/>
    </w:lvl>
  </w:abstractNum>
  <w:abstractNum w:abstractNumId="18">
    <w:nsid w:val="333AB105"/>
    <w:multiLevelType w:val="hybridMultilevel"/>
    <w:lvl w:ilvl="0">
      <w:lvlJc w:val="left"/>
      <w:lvlText w:val="%1."/>
      <w:numFmt w:val="decimal"/>
      <w:start w:val="7"/>
    </w:lvl>
  </w:abstractNum>
  <w:abstractNum w:abstractNumId="19">
    <w:nsid w:val="721DA31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0">
    <w:nsid w:val="2443A858"/>
    <w:multiLevelType w:val="hybridMultilevel"/>
    <w:lvl w:ilvl="0">
      <w:lvlJc w:val="left"/>
      <w:lvlText w:val="(%1)"/>
      <w:numFmt w:val="lowerLetter"/>
      <w:start w:val="3"/>
    </w:lvl>
  </w:abstractNum>
  <w:abstractNum w:abstractNumId="21">
    <w:nsid w:val="2D1D5AE9"/>
    <w:multiLevelType w:val="hybridMultilevel"/>
    <w:lvl w:ilvl="0">
      <w:lvlJc w:val="left"/>
      <w:lvlText w:val="(%1)"/>
      <w:numFmt w:val="lowerLetter"/>
      <w:start w:val="5"/>
    </w:lvl>
    <w:lvl w:ilvl="1">
      <w:lvlJc w:val="left"/>
      <w:lvlText w:val="(%2)"/>
      <w:numFmt w:val="lowerRoman"/>
      <w:start w:val="1"/>
    </w:lvl>
  </w:abstractNum>
  <w:abstractNum w:abstractNumId="22">
    <w:nsid w:val="6763845E"/>
    <w:multiLevelType w:val="hybridMultilevel"/>
    <w:lvl w:ilvl="0">
      <w:lvlJc w:val="left"/>
      <w:lvlText w:val="%1"/>
      <w:numFmt w:val="lowerLetter"/>
      <w:start w:val="1"/>
    </w:lvl>
    <w:lvl w:ilvl="1">
      <w:lvlJc w:val="left"/>
      <w:lvlText w:val="(%2)"/>
      <w:numFmt w:val="lowerRoman"/>
      <w:start w:val="3"/>
    </w:lvl>
  </w:abstractNum>
  <w:abstractNum w:abstractNumId="23">
    <w:nsid w:val="75A2A8D4"/>
    <w:multiLevelType w:val="hybridMultilevel"/>
    <w:lvl w:ilvl="0">
      <w:lvlJc w:val="left"/>
      <w:lvlText w:val="(%1)"/>
      <w:numFmt w:val="lowerLetter"/>
      <w:start w:val="9"/>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2025-11-28T13:59:05Z</dcterms:created>
  <dcterms:modified xsi:type="dcterms:W3CDTF">2025-11-28T13:59:05Z</dcterms:modified>
</cp:coreProperties>
</file>