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McCann Peter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06/22/2015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80" w:type="dxa"/>
            <w:vAlign w:val="bottom"/>
            <w:gridSpan w:val="2"/>
          </w:tcPr>
          <w:p>
            <w:pPr>
              <w:jc w:val="center"/>
              <w:ind w:left="573"/>
              <w:spacing w:after="0"/>
              <w:rPr>
                <w:sz w:val="20"/>
                <w:szCs w:val="20"/>
                <w:color w:val="auto"/>
              </w:rPr>
            </w:pPr>
            <w:r>
              <w:rPr>
                <w:rFonts w:ascii="Arial" w:cs="Arial" w:eastAsia="Arial" w:hAnsi="Arial"/>
                <w:sz w:val="18"/>
                <w:szCs w:val="18"/>
                <w:color w:val="0000FF"/>
                <w:w w:val="88"/>
              </w:rPr>
              <w:t>06/22/2015</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0000FF"/>
                <w:w w:val="93"/>
              </w:rPr>
              <w:t>3,444</w:t>
            </w:r>
          </w:p>
        </w:tc>
        <w:tc>
          <w:tcPr>
            <w:tcW w:w="6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380" w:type="dxa"/>
            <w:vAlign w:val="bottom"/>
            <w:gridSpan w:val="3"/>
          </w:tcPr>
          <w:p>
            <w:pPr>
              <w:ind w:left="480"/>
              <w:spacing w:after="0"/>
              <w:rPr>
                <w:sz w:val="20"/>
                <w:szCs w:val="20"/>
                <w:color w:val="auto"/>
              </w:rPr>
            </w:pPr>
            <w:r>
              <w:rPr>
                <w:rFonts w:ascii="Arial" w:cs="Arial" w:eastAsia="Arial" w:hAnsi="Arial"/>
                <w:sz w:val="18"/>
                <w:szCs w:val="18"/>
                <w:color w:val="0000FF"/>
              </w:rPr>
              <w:t>18,633</w:t>
            </w:r>
          </w:p>
        </w:tc>
        <w:tc>
          <w:tcPr>
            <w:tcW w:w="2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jc w:val="right"/>
              <w:ind w:righ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8"/>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06/22/2015</w:t>
            </w:r>
          </w:p>
        </w:tc>
        <w:tc>
          <w:tcPr>
            <w:tcW w:w="1140" w:type="dxa"/>
            <w:vAlign w:val="bottom"/>
          </w:tcPr>
          <w:p>
            <w:pPr>
              <w:spacing w:after="0"/>
              <w:rPr>
                <w:sz w:val="16"/>
                <w:szCs w:val="16"/>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920" w:type="dxa"/>
            <w:vAlign w:val="bottom"/>
            <w:vMerge w:val="restart"/>
          </w:tcPr>
          <w:p>
            <w:pPr>
              <w:ind w:left="480"/>
              <w:spacing w:after="0"/>
              <w:rPr>
                <w:sz w:val="20"/>
                <w:szCs w:val="20"/>
                <w:color w:val="auto"/>
              </w:rPr>
            </w:pPr>
            <w:r>
              <w:rPr>
                <w:rFonts w:ascii="Arial" w:cs="Arial" w:eastAsia="Arial" w:hAnsi="Arial"/>
                <w:sz w:val="14"/>
                <w:szCs w:val="14"/>
                <w:color w:val="0000FF"/>
              </w:rPr>
              <w:t>3,444</w:t>
            </w: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680" w:type="dxa"/>
            <w:vAlign w:val="bottom"/>
            <w:gridSpan w:val="2"/>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6"/>
              <w:spacing w:after="0"/>
              <w:rPr>
                <w:sz w:val="20"/>
                <w:szCs w:val="20"/>
                <w:color w:val="auto"/>
              </w:rPr>
            </w:pPr>
            <w:r>
              <w:rPr>
                <w:rFonts w:ascii="Arial" w:cs="Arial" w:eastAsia="Arial" w:hAnsi="Arial"/>
                <w:sz w:val="18"/>
                <w:szCs w:val="18"/>
                <w:color w:val="0000FF"/>
                <w:w w:val="93"/>
              </w:rPr>
              <w:t>3,444</w:t>
            </w:r>
          </w:p>
        </w:tc>
        <w:tc>
          <w:tcPr>
            <w:tcW w:w="60" w:type="dxa"/>
            <w:vAlign w:val="bottom"/>
          </w:tcPr>
          <w:p>
            <w:pPr>
              <w:spacing w:after="0"/>
              <w:rPr>
                <w:sz w:val="16"/>
                <w:szCs w:val="16"/>
                <w:color w:val="auto"/>
              </w:rPr>
            </w:pPr>
          </w:p>
        </w:tc>
        <w:tc>
          <w:tcPr>
            <w:tcW w:w="7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200"/>
              <w:spacing w:after="0"/>
              <w:rPr>
                <w:sz w:val="20"/>
                <w:szCs w:val="20"/>
                <w:color w:val="auto"/>
              </w:rPr>
            </w:pPr>
            <w:r>
              <w:rPr>
                <w:rFonts w:ascii="Arial" w:cs="Arial" w:eastAsia="Arial" w:hAnsi="Arial"/>
                <w:sz w:val="14"/>
                <w:szCs w:val="14"/>
                <w:color w:val="0000FF"/>
                <w:w w:val="82"/>
              </w:rPr>
              <w:t>177,971</w:t>
            </w:r>
          </w:p>
        </w:tc>
        <w:tc>
          <w:tcPr>
            <w:tcW w:w="26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share of deferred stock represents a contingent right to receive one share of common stock of the Issuer. The deferred stock vests at various times based on the grant date. 3,444 shares vested on June 22, 2015.</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Senior Vice President, Australia</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8"/>
              </w:rPr>
              <w:t>/s/ Peter McCann, by Bradley</w:t>
            </w:r>
          </w:p>
        </w:tc>
        <w:tc>
          <w:tcPr>
            <w:tcW w:w="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06/23/2015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0"/>
              </w:rPr>
              <w:t>J. Dodson, as Attorney-in-Fact</w:t>
            </w:r>
          </w:p>
        </w:tc>
        <w:tc>
          <w:tcPr>
            <w:tcW w:w="8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Signature of Reporting Person</w:t>
            </w:r>
          </w:p>
        </w:tc>
        <w:tc>
          <w:tcPr>
            <w:tcW w:w="60" w:type="dxa"/>
            <w:vAlign w:val="bottom"/>
          </w:tcPr>
          <w:p>
            <w:pPr>
              <w:spacing w:after="0"/>
              <w:rPr>
                <w:sz w:val="20"/>
                <w:szCs w:val="20"/>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734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2019-12-09T03:44:26Z</dcterms:created>
  <dcterms:modified xsi:type="dcterms:W3CDTF">2019-12-09T03:44:26Z</dcterms:modified>
</cp:coreProperties>
</file>