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4"/>
        <w:spacing w:after="0"/>
        <w:rPr>
          <w:sz w:val="20"/>
          <w:szCs w:val="20"/>
          <w:color w:val="auto"/>
        </w:rPr>
      </w:pPr>
      <w:r>
        <w:rPr>
          <w:rFonts w:ascii="Arial" w:cs="Arial" w:eastAsia="Arial" w:hAnsi="Arial"/>
          <w:sz w:val="17"/>
          <w:szCs w:val="17"/>
          <w:color w:val="0000FF"/>
        </w:rPr>
        <w:t>SVP, CFO &amp; Treasurer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7,672</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36,899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7,672</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21.97</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29,227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rPr>
                <w:sz w:val="20"/>
                <w:szCs w:val="20"/>
                <w:color w:val="auto"/>
              </w:rPr>
            </w:pPr>
            <w:r>
              <w:rPr>
                <w:rFonts w:ascii="Arial" w:cs="Arial" w:eastAsia="Arial" w:hAnsi="Arial"/>
                <w:sz w:val="13"/>
                <w:szCs w:val="13"/>
                <w:color w:val="0000FF"/>
              </w:rPr>
              <w:t>02/25/2022</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7,672</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7,672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14,963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7,672 shares vested on February 25, 2022.</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Carolyn Stone,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03/01/2022</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J. Dodson, Attorney-in-fact</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2022-03-01T15:38:35Z</dcterms:created>
  <dcterms:modified xsi:type="dcterms:W3CDTF">2022-03-01T15:38:35Z</dcterms:modified>
</cp:coreProperties>
</file>