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March 2, 2024</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365"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ind w:right="260" w:firstLine="324"/>
        <w:spacing w:after="0" w:line="265" w:lineRule="auto"/>
        <w:rPr>
          <w:sz w:val="20"/>
          <w:szCs w:val="20"/>
          <w:color w:val="auto"/>
        </w:rPr>
      </w:pPr>
      <w:r>
        <w:rPr>
          <w:rFonts w:ascii="Times New Roman" w:cs="Times New Roman" w:eastAsia="Times New Roman" w:hAnsi="Times New Roman"/>
          <w:sz w:val="17"/>
          <w:szCs w:val="17"/>
          <w:color w:val="auto"/>
        </w:rPr>
        <w:t>On March 4, 2024 (the “Separation Date”), Carolyn J. Stone has departed the Company and will no longer serve as the Senior Vice President, Chief Financial Officer and Treasurer of the Company. Ms. Stone’s departure from the Company was not the result of any disagreement with the Company on any matter related to the Company’s operations, policies or practices. Effective as of March 5, 2024, Barclay Brewer, the Company’s Vice President and</w:t>
      </w:r>
    </w:p>
    <w:p>
      <w:pPr>
        <w:ind w:right="20"/>
        <w:spacing w:after="0" w:line="242" w:lineRule="auto"/>
        <w:rPr>
          <w:sz w:val="20"/>
          <w:szCs w:val="20"/>
          <w:color w:val="auto"/>
        </w:rPr>
      </w:pPr>
      <w:r>
        <w:rPr>
          <w:rFonts w:ascii="Times New Roman" w:cs="Times New Roman" w:eastAsia="Times New Roman" w:hAnsi="Times New Roman"/>
          <w:sz w:val="18"/>
          <w:szCs w:val="18"/>
          <w:color w:val="auto"/>
        </w:rPr>
        <w:t>Controller, has been appointed as Interim Chief Financial Officer. Mr. Brewer has served as Vice President and Controller of the Company since November 15, 2019. Previously, he served as Assistant Controller for the Company beginning August 8, 2014. The Company has commenced a search for a permanent Chief Financial Officer.</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connection with Mr. Brewer’s appointment to the position of Interim Chief Financial Officer, Mr. Brewer will receive an increase in his base salary</w:t>
      </w:r>
    </w:p>
    <w:p>
      <w:pPr>
        <w:spacing w:after="0" w:line="48" w:lineRule="exact"/>
        <w:rPr>
          <w:sz w:val="20"/>
          <w:szCs w:val="20"/>
          <w:color w:val="auto"/>
        </w:rPr>
      </w:pPr>
    </w:p>
    <w:p>
      <w:pPr>
        <w:jc w:val="both"/>
        <w:ind w:right="320"/>
        <w:spacing w:after="0" w:line="245" w:lineRule="auto"/>
        <w:rPr>
          <w:sz w:val="20"/>
          <w:szCs w:val="20"/>
          <w:color w:val="auto"/>
        </w:rPr>
      </w:pPr>
      <w:r>
        <w:rPr>
          <w:rFonts w:ascii="Times New Roman" w:cs="Times New Roman" w:eastAsia="Times New Roman" w:hAnsi="Times New Roman"/>
          <w:sz w:val="18"/>
          <w:szCs w:val="18"/>
          <w:color w:val="auto"/>
        </w:rPr>
        <w:t>from $223,000 to $365,000 and an increase in his Annual Incentive Compensation Plan (ACIP) target bonus percentage from 40% to 60%. There is no arrangement or understanding between Mr. Brewer and any other person pursuant to which he was appointed as an officer or director of the Company; there is no family relationship between Mr. Brewer and any of the Company’s directors or other executive officers; and Mr. Brewer is not a party to any transactions of the type that would require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7, 2024</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By: /s/ Bradley Dodson </w:t>
      </w:r>
      <w:r>
        <w:rPr>
          <w:rFonts w:ascii="Times New Roman" w:cs="Times New Roman" w:eastAsia="Times New Roman" w:hAnsi="Times New Roman"/>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-7620</wp:posOffset>
            </wp:positionV>
            <wp:extent cx="939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9165" cy="8890"/>
                    </a:xfrm>
                    <a:prstGeom prst="rect">
                      <a:avLst/>
                    </a:prstGeom>
                    <a:noFill/>
                  </pic:spPr>
                </pic:pic>
              </a:graphicData>
            </a:graphic>
          </wp:anchor>
        </w:drawing>
      </w:r>
    </w:p>
    <w:p>
      <w:pPr>
        <w:spacing w:after="0" w:line="7" w:lineRule="exact"/>
        <w:rPr>
          <w:sz w:val="20"/>
          <w:szCs w:val="20"/>
          <w:color w:val="auto"/>
        </w:rPr>
      </w:pPr>
    </w:p>
    <w:p>
      <w:pPr>
        <w:ind w:left="1560"/>
        <w:spacing w:after="0"/>
        <w:tabs>
          <w:tab w:leader="none" w:pos="2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Bradley Dodson</w:t>
      </w:r>
    </w:p>
    <w:p>
      <w:pPr>
        <w:spacing w:after="0" w:line="9" w:lineRule="exact"/>
        <w:rPr>
          <w:sz w:val="20"/>
          <w:szCs w:val="20"/>
          <w:color w:val="auto"/>
        </w:rPr>
      </w:pPr>
    </w:p>
    <w:p>
      <w:pPr>
        <w:jc w:val="center"/>
        <w:ind w:right="14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sectPr>
      <w:pgSz w:w="11900" w:h="16838" w:orient="portrait"/>
      <w:cols w:equalWidth="0" w:num="1">
        <w:col w:w="11240"/>
      </w:cols>
      <w:pgMar w:left="320" w:top="12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2024-03-07T16:25:35Z</dcterms:created>
  <dcterms:modified xsi:type="dcterms:W3CDTF">2024-03-07T16:25:35Z</dcterms:modified>
</cp:coreProperties>
</file>