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29, 2019</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3360" w:type="dxa"/>
            <w:vAlign w:val="bottom"/>
          </w:tcPr>
          <w:p>
            <w:pPr>
              <w:jc w:val="center"/>
              <w:ind w:right="824"/>
              <w:spacing w:after="0"/>
              <w:rPr>
                <w:sz w:val="20"/>
                <w:szCs w:val="20"/>
                <w:color w:val="auto"/>
              </w:rPr>
            </w:pPr>
            <w:r>
              <w:rPr>
                <w:rFonts w:ascii="Arial" w:cs="Arial" w:eastAsia="Arial" w:hAnsi="Arial"/>
                <w:sz w:val="22"/>
                <w:szCs w:val="22"/>
                <w:b w:val="1"/>
                <w:bCs w:val="1"/>
                <w:color w:val="auto"/>
                <w:w w:val="91"/>
              </w:rPr>
              <w:t>British Columbia, Canada</w:t>
            </w:r>
          </w:p>
        </w:tc>
        <w:tc>
          <w:tcPr>
            <w:tcW w:w="3380" w:type="dxa"/>
            <w:vAlign w:val="bottom"/>
          </w:tcPr>
          <w:p>
            <w:pPr>
              <w:jc w:val="center"/>
              <w:ind w:right="124"/>
              <w:spacing w:after="0"/>
              <w:rPr>
                <w:sz w:val="20"/>
                <w:szCs w:val="20"/>
                <w:color w:val="auto"/>
              </w:rPr>
            </w:pPr>
            <w:r>
              <w:rPr>
                <w:rFonts w:ascii="Arial" w:cs="Arial" w:eastAsia="Arial" w:hAnsi="Arial"/>
                <w:sz w:val="22"/>
                <w:szCs w:val="22"/>
                <w:b w:val="1"/>
                <w:bCs w:val="1"/>
                <w:color w:val="auto"/>
                <w:w w:val="89"/>
              </w:rPr>
              <w:t>1-36246</w:t>
            </w:r>
          </w:p>
        </w:tc>
        <w:tc>
          <w:tcPr>
            <w:tcW w:w="250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60" w:type="dxa"/>
            <w:vAlign w:val="bottom"/>
          </w:tcPr>
          <w:p>
            <w:pPr>
              <w:jc w:val="center"/>
              <w:ind w:right="844"/>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824"/>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64"/>
              <w:spacing w:after="0"/>
              <w:rPr>
                <w:sz w:val="20"/>
                <w:szCs w:val="20"/>
                <w:color w:val="auto"/>
              </w:rPr>
            </w:pPr>
            <w:r>
              <w:rPr>
                <w:rFonts w:ascii="Arial" w:cs="Arial" w:eastAsia="Arial" w:hAnsi="Arial"/>
                <w:sz w:val="18"/>
                <w:szCs w:val="18"/>
                <w:color w:val="auto"/>
                <w:w w:val="95"/>
              </w:rPr>
              <w:t>Identification No.)</w:t>
            </w:r>
          </w:p>
        </w:tc>
      </w:tr>
    </w:tbl>
    <w:p>
      <w:pPr>
        <w:spacing w:after="0" w:line="21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333 Clay Street, Suite 4980</w:t>
      </w:r>
    </w:p>
    <w:p>
      <w:pPr>
        <w:jc w:val="center"/>
        <w:ind w:left="34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r>
        <w:trPr>
          <w:trHeight w:val="237"/>
        </w:trPr>
        <w:tc>
          <w:tcPr>
            <w:tcW w:w="3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400"/>
          </w:cols>
          <w:pgMar w:left="240" w:top="459" w:right="2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584"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July 29, 2019, Civeo Corporation (“Civeo”) issued a press release announcing its financial condition and results of operations as of and for the quarter ended June 30, 2019. A copy of the press release is furnished as Exhibit 99.1 to this report on Form 8-K, and is incorporated herein by reference.</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66" w:lineRule="exact"/>
        <w:rPr>
          <w:sz w:val="20"/>
          <w:szCs w:val="20"/>
          <w:color w:val="auto"/>
        </w:rPr>
      </w:pPr>
    </w:p>
    <w:p>
      <w:pPr>
        <w:ind w:left="1120" w:hanging="464"/>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294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r>
      <w:tr>
        <w:trPr>
          <w:trHeight w:val="223"/>
        </w:trPr>
        <w:tc>
          <w:tcPr>
            <w:tcW w:w="1720" w:type="dxa"/>
            <w:vAlign w:val="bottom"/>
            <w:gridSpan w:val="2"/>
          </w:tcPr>
          <w:p>
            <w:pPr>
              <w:spacing w:after="0" w:line="223" w:lineRule="exact"/>
              <w:rPr>
                <w:sz w:val="20"/>
                <w:szCs w:val="20"/>
                <w:color w:val="auto"/>
              </w:rPr>
            </w:pPr>
            <w:r>
              <w:rPr>
                <w:rFonts w:ascii="Arial" w:cs="Arial" w:eastAsia="Arial" w:hAnsi="Arial"/>
                <w:sz w:val="22"/>
                <w:szCs w:val="22"/>
                <w:color w:val="auto"/>
              </w:rPr>
              <w:t>Number</w:t>
            </w:r>
          </w:p>
        </w:tc>
        <w:tc>
          <w:tcPr>
            <w:tcW w:w="22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520"/>
        </w:trPr>
        <w:tc>
          <w:tcPr>
            <w:tcW w:w="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July 29, 2019</w:t>
              </w:r>
            </w:hyperlink>
          </w:p>
        </w:tc>
      </w:tr>
    </w:tbl>
    <w:p>
      <w:pPr>
        <w:sectPr>
          <w:pgSz w:w="11900" w:h="16838" w:orient="portrait"/>
          <w:cols w:equalWidth="0" w:num="1">
            <w:col w:w="11420"/>
          </w:cols>
          <w:pgMar w:left="240" w:top="36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July 29, 2019</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tab/>
        <w:t>Frank C. Steininger</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 Officer and Treasurer</w:t>
      </w:r>
    </w:p>
    <w:p>
      <w:pPr>
        <w:sectPr>
          <w:pgSz w:w="11900" w:h="16838" w:orient="portrait"/>
          <w:cols w:equalWidth="0" w:num="1">
            <w:col w:w="11420"/>
          </w:cols>
          <w:pgMar w:left="240" w:top="369"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7"/>
          <w:szCs w:val="27"/>
          <w:b w:val="1"/>
          <w:bCs w:val="1"/>
          <w:color w:val="auto"/>
        </w:rPr>
        <w:t>Civeo Reports Second Quarter 2019 Results</w:t>
      </w:r>
    </w:p>
    <w:p>
      <w:pPr>
        <w:spacing w:after="0" w:line="200" w:lineRule="exact"/>
        <w:rPr>
          <w:sz w:val="20"/>
          <w:szCs w:val="20"/>
          <w:color w:val="auto"/>
        </w:rPr>
      </w:pPr>
    </w:p>
    <w:p>
      <w:pPr>
        <w:spacing w:after="0" w:line="31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HOUSTON and CALGARY, July 29, 2019 (BUSINESS WIRE) -- Civeo Corporation (NYSE:CVEO) today reported financial and operating results for the second quarter ended June 30,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second quarter revenues of $122.2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second quarter net loss of $15.3 million and Adjusted EBITDA of $26.5 million, with Adjusted EBITDA up 8% year-over-year</w:t>
      </w:r>
    </w:p>
    <w:p>
      <w:pPr>
        <w:spacing w:after="0" w:line="225"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acquisition of Action Industrial Catering Pty Ltd, a provider of catering and managed services to the remote mining industry in Western Australia, on July 1, 2019</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a four-year contract renewal from BHP Billiton Mitsui Coal Pty Ltd (“BMC”) to provide rooms and hospitality services from the Company's existing Coppabella and Nebo villages in Australia</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a two-year contract renewal to provide rooms and hospitality services to a major oil sands producer at the Company's Fort McMurray Village and Grey Wolf lodges in Canada with take-or-pay revenues totaling approximately C$62 million</w:t>
      </w:r>
    </w:p>
    <w:p>
      <w:pPr>
        <w:spacing w:after="0" w:line="196"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expansion of our Sitka Lodge from 646 rooms to approximately 1,100 rooms to support the LNG Canada project in Kitimat, B.C.</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second quarter, we generated improved year-over-year Adjusted EBITDA, up 8%. Our Australia business generated improved year-over-year revenues and Adjusted EBITDA as Bowen Basin activity, supported by current metallurgical coal prices, continued to improve. The U.S business continued to benefit from the repositioning of our well site assets to the Permian and Mid-Con regions in 2018, with Adjusted EBITDA up 30% on a year-over-year basis. Our second quarter Canadian results were down year-over-year due to lower year-over-year oil sands-related turnaround activity partially offset by increased LNG-related occupancy," stated Bradley J. Dodson, Civeo's President and Chief Executive Officer.</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Dodson added, "We continue to focus on operational execution and winning work as opportunities present themselves. As a testament to this, we are pleased to announce a two-year contract renewal with one of our largest oil sands customers in Canada, as well as the previously announced contract renewal from BMC in Australia. These awards demonstrate our strong customer relationships and commitment to a quality service offering.”</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Mr. Dodson concluded, “In July, we also completed the acquisition of Action Industrial Catering in Western Australia, an exciting milestone for our Australian business. This acquisition materially grows our business in Western Australia and provides a strategic entry point into the catering and managed services industry in Australia, underpinning our focus on pursuing opportunities that align with our core competencies and strategic direction."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2019 Results</w:t>
      </w:r>
    </w:p>
    <w:p>
      <w:pPr>
        <w:spacing w:after="0" w:line="14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the second quarter of 2019, Civeo generated revenues of $122.2 million and reported a net loss of $15.3 million, or $0.09 per share. The second quarter net loss included asset impairments in Australia totaling $ 5.5 million, or $0.03 per share. During the second quarter of 2019, Civeo produced operating cash flow of $3.6 million and Adjusted EBITDA of $26.5 million.</w:t>
      </w:r>
    </w:p>
    <w:p>
      <w:pPr>
        <w:spacing w:after="0" w:line="12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Overall, the second quarter of 2019 outperformed the second quarter of 2018 due to stronger results in Australia and the U.S. coupled with a reduction in SG&amp;A primarily related to costs incurred in connection with the Noralta acquisition and lower share-based compensation.</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By comparison, in the second quarter of 2018, Civeo generated revenues of $130.2 million and reported a net loss of $48.3 million, or $0.29 per share. The second quarter net loss was largely driven by the recognition of the accounting impact of a non-cash beneficial conversion feature on the outstanding preferred shares totaling $48.5</w:t>
      </w:r>
    </w:p>
    <w:p>
      <w:pPr>
        <w:sectPr>
          <w:pgSz w:w="11900" w:h="16838" w:orient="portrait"/>
          <w:cols w:equalWidth="0" w:num="1">
            <w:col w:w="11360"/>
          </w:cols>
          <w:pgMar w:left="240" w:top="585" w:right="299" w:bottom="1440" w:gutter="0" w:footer="0" w:header="0"/>
        </w:sectPr>
      </w:pPr>
    </w:p>
    <w:bookmarkStart w:id="5" w:name="page6"/>
    <w:bookmarkEnd w:id="5"/>
    <w:p>
      <w:pPr>
        <w:ind w:right="200"/>
        <w:spacing w:after="0" w:line="262" w:lineRule="auto"/>
        <w:rPr>
          <w:sz w:val="20"/>
          <w:szCs w:val="20"/>
          <w:color w:val="auto"/>
        </w:rPr>
      </w:pPr>
      <w:r>
        <w:rPr>
          <w:rFonts w:ascii="Arial" w:cs="Arial" w:eastAsia="Arial" w:hAnsi="Arial"/>
          <w:sz w:val="18"/>
          <w:szCs w:val="18"/>
          <w:color w:val="auto"/>
        </w:rPr>
        <w:t>million, or $0.29 per share. During the second quarter of 2018, Civeo generated operating cash flow of $11.1 million and Adjusted EBITDA of $24.5 million.</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certain costs associated with Civeo's acquisition of Noralta. Please see the reconciliations to GAAP measures at the end of this news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2019 to the results for the second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second quarter of 2019, the Canadian segment generated revenues of $78.1 million, operating loss of $5.8 million and Adjusted EBITDA of $16.3 million, compared to revenues of $86.5 million, operating loss of $7.4 million and Adjusted EBITDA of $17.6 million in the second quarter of 2018. The second quarter of 2019 results reflect the impact of a weakened Canadian dollar relative to the U.S. dollar, which decreased revenues and Adjusted EBITDA by $2.8 million and $0.6 million, respectively.</w:t>
      </w:r>
    </w:p>
    <w:p>
      <w:pPr>
        <w:spacing w:after="0" w:line="12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 constant currency basis, the Canadian segment experienced a 6% period-over-period decrease in revenues driven by a year-over-year decrease in maintenance and turnaround activity related to the continued impact of provincially imposed oil production curtailments. The decrease was partially offset by the improving contribution of LNG-related occupancy in British Columbia.</w:t>
      </w: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Canadian Adjusted EBITDA in the second quarter of 2019 was also positively impacted by $1.1 million of other income for proceeds from an insurance claim related to the closure of a lodge in 2018 for maintenance-related operational issues.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Earlier this month, Civeo was awarded a two-year contract renewal with a major oil sands producer at our Fort McMurray Village and Grey Wolf lodges in Canada. The contract includes a minimum room commitment, with take-or-pay revenues totaling C$62 million through 2021, with further potential upside based on room usage.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second quarter of 2019, the Australian segment generated revenues of $31.0 million, operating loss of $5.6 million and Adjusted EBITDA of $13.0 million, compared to revenues of $30.6 million, operating loss of $1.1 million and Adjusted EBITDA of $ 11.5 million in the second quarter of 2018. The second quarter of 2019 results reflect the impact of a weakened Australian dollar relative to the U.S. dollar, which decreased revenues and Adjusted EBITDA by $2.5 million and $1.0 million, respectively.</w:t>
      </w:r>
    </w:p>
    <w:p>
      <w:pPr>
        <w:spacing w:after="0" w:line="12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On a constant currency basis, the Australian segment experienced a 10% period-over-period increase in revenues driven by strong occupancy with billed rooms up 11% year-over-year primarily due to continued improvement in metallurgical coal activity across our Bowen Basin villages.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July 1, 2019, Civeo acquired Action Industrial Catering, a provider of catering and managed services to the remote mining industry in Western Australia. The acquisition is immediately delevering to the Company's balance sheet, strengthens its presence in Western Australia, expands its service offering and provides Civeo access to the iron ore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 U.S. segment generated revenues of $13.1 million, operating loss of $1.4 million and Adjusted EBITDA of $2.6 million in the second quarter of 2019, compared to revenues of $13.1 million, operating loss of $1.8 million and Adjusted EBITDA of $2.0 million in the second quarter of 2018. While year-over-year revenues were flat, the Adjusted EBITDA improvement was primarily driven by lower year-over-year relocation expenses for the well site business, which spent most of 2018 moving well site assets out of legacy northern markets into the Permian and Mid-Con regions.</w:t>
      </w:r>
    </w:p>
    <w:p>
      <w:pPr>
        <w:sectPr>
          <w:pgSz w:w="11900" w:h="16838" w:orient="portrait"/>
          <w:cols w:equalWidth="0" w:num="1">
            <w:col w:w="11400"/>
          </w:cols>
          <w:pgMar w:left="240" w:top="59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Civeo recognized an income tax benefit of $2.9 million, which resulted in an effective tax rate of 16.1%, in the second quarter of 2019. During the second quarter of 2018, Civeo recognized an income tax benefit of $23.4 million, which resulted in an effective tax rate of 101%.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As of June 30, 2019, Civeo had total liquidity of approximately $33.2 million, consisting of $19.8 million available under its revolving credit facilities and $13.5 million of cash on hand.</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Civeo’s total debt outstanding on June 30, 2019 was $405.3 million, a $21.8 million increase since March 31, 2019. The increase resulted primarily from a negative foreign currency translation impact of $8.2 million and capital expenditures related to the expansion of Sitka Lodge.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2019, Civeo invested $11.5 million in capital expenditures, up from $3.2 million during second quarter of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related to the recently completed expansion of its Sitka Lodge in Canada to support LNG Canada related contracts.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and Full Year 2019 Guidance</w:t>
      </w:r>
    </w:p>
    <w:p>
      <w:pPr>
        <w:spacing w:after="0" w:line="14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For the third quarter of 2019, Civeo expects Adjusted EBITDA of $30.0 million to $33.5 million and for the full year of 2019, Civeo expects Adjusted EBITDA of $95.0 million to $101.0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Civeo will host a conference call to discuss its second quarter 2019 financial results today at 11:00 a.m. Eastern time. This call is being webcast and can be accessed at Civeo's website at www.civeo.com. Participants may also join the conference call by dialing (866)-548-4713 in the United States or (323)-794-2093 internationally and using the conference ID 8316888#. A replay will be available after the call by dialing</w:t>
      </w:r>
    </w:p>
    <w:p>
      <w:pPr>
        <w:spacing w:after="0" w:line="1" w:lineRule="exact"/>
        <w:rPr>
          <w:sz w:val="20"/>
          <w:szCs w:val="20"/>
          <w:color w:val="auto"/>
        </w:rPr>
      </w:pPr>
    </w:p>
    <w:p>
      <w:pPr>
        <w:ind w:right="2700" w:firstLine="8"/>
        <w:spacing w:after="0" w:line="407"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8316888#. </w:t>
      </w:r>
      <w:r>
        <w:rPr>
          <w:rFonts w:ascii="Arial" w:cs="Arial" w:eastAsia="Arial" w:hAnsi="Arial"/>
          <w:sz w:val="18"/>
          <w:szCs w:val="18"/>
          <w:u w:val="single" w:color="auto"/>
          <w:color w:val="auto"/>
        </w:rPr>
        <w:t>About Civeo</w:t>
      </w:r>
    </w:p>
    <w:p>
      <w:pPr>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33 lodges and villages in Canada, Australia and the U.S., with an aggregate of approximately 33,000 rooms. Civeo is publicly traded under the symbol CVEO on the New York Stock Exchange. For more information, please visit Civeo's website at www.civeo.com.</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 this news release include the statements regarding Civeo’s future plans, priorities, contracted revenues and borrowing needs; growth opportunities and ability to adapt to market conditions; expectations about activity, market demand and commodity price environment in 2019; expected benefits of the agreement with LNG Canada and LNG-related activity and third quarter and full year 2019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Action Industrial Catering acquisition,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380"/>
          </w:cols>
          <w:pgMar w:left="240" w:top="598" w:right="2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r>
      <w:tr>
        <w:trPr>
          <w:trHeight w:val="276"/>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r>
      <w:tr>
        <w:trPr>
          <w:trHeight w:val="582"/>
        </w:trPr>
        <w:tc>
          <w:tcPr>
            <w:tcW w:w="456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122,153</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130,177</w:t>
            </w:r>
          </w:p>
        </w:tc>
        <w:tc>
          <w:tcPr>
            <w:tcW w:w="1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230,703</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231,681</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Cost of sales and services</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85,240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89,455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164,870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167,156</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21,821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38,335</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30,996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34,270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61,778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65,034</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28,661</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Other operating expense (income)</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r>
      <w:tr>
        <w:trPr>
          <w:trHeight w:val="250"/>
        </w:trPr>
        <w:tc>
          <w:tcPr>
            <w:tcW w:w="4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134,209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145,678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260,652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299,697</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Operating loss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(15,501)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(68,016)</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(12,925)</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76</w:t>
            </w: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2,511</w:t>
            </w:r>
          </w:p>
        </w:tc>
      </w:tr>
      <w:tr>
        <w:trPr>
          <w:trHeight w:val="244"/>
        </w:trPr>
        <w:tc>
          <w:tcPr>
            <w:tcW w:w="456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(23,082)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(79,102)</w:t>
            </w: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Income tax benefit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23,371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24,056</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(55,046)</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244</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(55,290)</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48,488</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48,488</w:t>
            </w: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Net loss attributable to Civeo common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(48,321)</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(32,808)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(103,778)</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36"/>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(0.29)</w:t>
            </w:r>
          </w:p>
        </w:tc>
        <w:tc>
          <w:tcPr>
            <w:tcW w:w="18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(0.29)</w:t>
            </w:r>
          </w:p>
        </w:tc>
        <w:tc>
          <w:tcPr>
            <w:tcW w:w="18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165,373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166,437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148,595</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165,373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166,437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148,595</w:t>
            </w:r>
          </w:p>
        </w:tc>
      </w:tr>
    </w:tbl>
    <w:p>
      <w:pPr>
        <w:sectPr>
          <w:pgSz w:w="11900" w:h="16838" w:orient="portrait"/>
          <w:cols w:equalWidth="0" w:num="1">
            <w:col w:w="9180"/>
          </w:cols>
          <w:pgMar w:left="1380" w:top="576" w:right="1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6"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June 30, 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13,459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12,372</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90,763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70,223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107,797</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636,038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658,905</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121,674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114,207</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119,409</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1,020,405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30,796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28,334</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15,956</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34,833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86,683</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368,247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18,220</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510,359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466,253</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57,200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56,280</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1,567,162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1,562,133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(744,058)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(710,551)</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(364,786)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(371,249)</w:t>
            </w:r>
          </w:p>
        </w:tc>
        <w:tc>
          <w:tcPr>
            <w:tcW w:w="0" w:type="dxa"/>
            <w:vAlign w:val="bottom"/>
          </w:tcPr>
          <w:p>
            <w:pPr>
              <w:spacing w:after="0"/>
              <w:rPr>
                <w:sz w:val="1"/>
                <w:szCs w:val="1"/>
                <w:color w:val="auto"/>
              </w:rPr>
            </w:pPr>
          </w:p>
        </w:tc>
      </w:tr>
      <w:tr>
        <w:trPr>
          <w:trHeight w:val="250"/>
        </w:trPr>
        <w:tc>
          <w:tcPr>
            <w:tcW w:w="3860" w:type="dxa"/>
            <w:vAlign w:val="bottom"/>
          </w:tcPr>
          <w:p>
            <w:pPr>
              <w:ind w:left="24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510,046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510,046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40"/>
        </w:trPr>
        <w:tc>
          <w:tcPr>
            <w:tcW w:w="3860" w:type="dxa"/>
            <w:vAlign w:val="bottom"/>
          </w:tcPr>
          <w:p>
            <w:pPr>
              <w:ind w:left="2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1,020,405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8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4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June 30,</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548"/>
        </w:trPr>
        <w:tc>
          <w:tcPr>
            <w:tcW w:w="59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(31,888)</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(55,046)</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61,778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65,034</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28,661</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748</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(23,661)</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5,013</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Provision for loss on receivables, net of recoveries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3,065</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10,661</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3,111</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(16,668)</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83"/>
        </w:trPr>
        <w:tc>
          <w:tcPr>
            <w:tcW w:w="5960" w:type="dxa"/>
            <w:vAlign w:val="bottom"/>
          </w:tcPr>
          <w:p>
            <w:pPr>
              <w:ind w:left="24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13,977</w:t>
            </w:r>
          </w:p>
        </w:tc>
      </w:tr>
      <w:tr>
        <w:trPr>
          <w:trHeight w:val="567"/>
        </w:trPr>
        <w:tc>
          <w:tcPr>
            <w:tcW w:w="59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(5,943)</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Payments related to acquisitions, net of cash acquired</w:t>
            </w:r>
          </w:p>
        </w:tc>
        <w:tc>
          <w:tcPr>
            <w:tcW w:w="3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(185,200)</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3,438</w:t>
            </w:r>
          </w:p>
        </w:tc>
      </w:tr>
      <w:tr>
        <w:trPr>
          <w:trHeight w:val="283"/>
        </w:trPr>
        <w:tc>
          <w:tcPr>
            <w:tcW w:w="59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(187,595)</w:t>
            </w:r>
          </w:p>
        </w:tc>
      </w:tr>
      <w:tr>
        <w:trPr>
          <w:trHeight w:val="567"/>
        </w:trPr>
        <w:tc>
          <w:tcPr>
            <w:tcW w:w="59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(11,068)</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27,754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162,056</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(2,742)</w:t>
            </w:r>
          </w:p>
        </w:tc>
      </w:tr>
      <w:tr>
        <w:trPr>
          <w:trHeight w:val="283"/>
        </w:trPr>
        <w:tc>
          <w:tcPr>
            <w:tcW w:w="5960" w:type="dxa"/>
            <w:vAlign w:val="bottom"/>
          </w:tcPr>
          <w:p>
            <w:pPr>
              <w:ind w:left="14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provided by financing activities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147,614</w:t>
            </w:r>
          </w:p>
        </w:tc>
      </w:tr>
      <w:tr>
        <w:trPr>
          <w:trHeight w:val="580"/>
        </w:trPr>
        <w:tc>
          <w:tcPr>
            <w:tcW w:w="59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r>
      <w:tr>
        <w:trPr>
          <w:trHeight w:val="237"/>
        </w:trPr>
        <w:tc>
          <w:tcPr>
            <w:tcW w:w="596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(27,861)</w:t>
            </w:r>
          </w:p>
        </w:tc>
      </w:tr>
      <w:tr>
        <w:trPr>
          <w:trHeight w:val="580"/>
        </w:trPr>
        <w:tc>
          <w:tcPr>
            <w:tcW w:w="59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32,647</w:t>
            </w: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13,459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4,786</w:t>
            </w: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581" w:right="1440"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1"/>
        </w:trPr>
        <w:tc>
          <w:tcPr>
            <w:tcW w:w="36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78,102</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86,518</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144,872</w:t>
            </w:r>
          </w:p>
        </w:tc>
        <w:tc>
          <w:tcPr>
            <w:tcW w:w="12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149,908</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58,452</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23,321</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122,153</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130,177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230,703</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231,681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16,306</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15,933</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26,479</w:t>
            </w:r>
          </w:p>
        </w:tc>
        <w:tc>
          <w:tcPr>
            <w:tcW w:w="12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20,636</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35,862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16,306</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17,580</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26,479</w:t>
            </w:r>
          </w:p>
        </w:tc>
        <w:tc>
          <w:tcPr>
            <w:tcW w:w="12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26,483</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22,863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20,636</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(13,840)</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(5,761)</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(7,436)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(17,356)</w:t>
            </w:r>
          </w:p>
        </w:tc>
        <w:tc>
          <w:tcPr>
            <w:tcW w:w="12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(47,739)</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(4,265)</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(5,096)</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w:t>
            </w:r>
          </w:p>
        </w:tc>
        <w:tc>
          <w:tcPr>
            <w:tcW w:w="0" w:type="dxa"/>
            <w:vAlign w:val="bottom"/>
          </w:tcPr>
          <w:p>
            <w:pPr>
              <w:spacing w:after="0"/>
              <w:rPr>
                <w:sz w:val="1"/>
                <w:szCs w:val="1"/>
                <w:color w:val="auto"/>
              </w:rPr>
            </w:pPr>
          </w:p>
        </w:tc>
      </w:tr>
      <w:tr>
        <w:trPr>
          <w:trHeight w:val="240"/>
        </w:trPr>
        <w:tc>
          <w:tcPr>
            <w:tcW w:w="3660" w:type="dxa"/>
            <w:vAlign w:val="bottom"/>
          </w:tcPr>
          <w:p>
            <w:pPr>
              <w:ind w:left="460"/>
              <w:spacing w:after="0"/>
              <w:rPr>
                <w:sz w:val="20"/>
                <w:szCs w:val="20"/>
                <w:color w:val="auto"/>
              </w:rPr>
            </w:pPr>
            <w:r>
              <w:rPr>
                <w:rFonts w:ascii="Arial" w:cs="Arial" w:eastAsia="Arial" w:hAnsi="Arial"/>
                <w:sz w:val="16"/>
                <w:szCs w:val="16"/>
                <w:color w:val="auto"/>
              </w:rPr>
              <w:t>Total operating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220"/>
          </w:cols>
          <w:pgMar w:left="1360" w:top="581" w:right="131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2492"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r>
      <w:tr>
        <w:trPr>
          <w:trHeight w:val="283"/>
        </w:trPr>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575"/>
        </w:trPr>
        <w:tc>
          <w:tcPr>
            <w:tcW w:w="1880" w:type="dxa"/>
            <w:vAlign w:val="bottom"/>
          </w:tcPr>
          <w:p>
            <w:pPr>
              <w:spacing w:after="0"/>
              <w:rPr>
                <w:sz w:val="20"/>
                <w:szCs w:val="20"/>
                <w:color w:val="auto"/>
              </w:rPr>
            </w:pPr>
            <w:r>
              <w:rPr>
                <w:rFonts w:ascii="Arial" w:cs="Arial" w:eastAsia="Arial" w:hAnsi="Arial"/>
                <w:sz w:val="16"/>
                <w:szCs w:val="16"/>
                <w:color w:val="auto"/>
              </w:rPr>
              <w:t>EBITDA (1)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19,995</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18,899</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35,862</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70"/>
        </w:trPr>
        <w:tc>
          <w:tcPr>
            <w:tcW w:w="1880" w:type="dxa"/>
            <w:vAlign w:val="bottom"/>
          </w:tcPr>
          <w:p>
            <w:pPr>
              <w:spacing w:after="0"/>
              <w:rPr>
                <w:sz w:val="20"/>
                <w:szCs w:val="20"/>
                <w:color w:val="auto"/>
              </w:rPr>
            </w:pPr>
            <w:r>
              <w:rPr>
                <w:rFonts w:ascii="Arial" w:cs="Arial" w:eastAsia="Arial" w:hAnsi="Arial"/>
                <w:sz w:val="16"/>
                <w:szCs w:val="16"/>
                <w:color w:val="auto"/>
              </w:rPr>
              <w:t>Adjusted EBITDA (1)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26,465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24,510</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42,332</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34,523</w:t>
            </w:r>
          </w:p>
        </w:tc>
      </w:tr>
      <w:tr>
        <w:trPr>
          <w:trHeight w:val="270"/>
        </w:trPr>
        <w:tc>
          <w:tcPr>
            <w:tcW w:w="1880" w:type="dxa"/>
            <w:vAlign w:val="bottom"/>
          </w:tcPr>
          <w:p>
            <w:pPr>
              <w:spacing w:after="0"/>
              <w:rPr>
                <w:sz w:val="20"/>
                <w:szCs w:val="20"/>
                <w:color w:val="auto"/>
              </w:rPr>
            </w:pPr>
            <w:r>
              <w:rPr>
                <w:rFonts w:ascii="Arial" w:cs="Arial" w:eastAsia="Arial" w:hAnsi="Arial"/>
                <w:sz w:val="16"/>
                <w:szCs w:val="16"/>
                <w:color w:val="auto"/>
              </w:rPr>
              <w:t>Free Cash Flow (2)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(7,919)</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8,612</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11,472</w:t>
            </w:r>
          </w:p>
        </w:tc>
      </w:tr>
    </w:tbl>
    <w:p>
      <w:pPr>
        <w:spacing w:after="0" w:line="210" w:lineRule="exact"/>
        <w:rPr>
          <w:sz w:val="20"/>
          <w:szCs w:val="20"/>
          <w:color w:val="auto"/>
        </w:rPr>
      </w:pPr>
    </w:p>
    <w:p>
      <w:pPr>
        <w:ind w:left="332" w:hanging="332"/>
        <w:spacing w:after="0" w:line="248"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78" w:lineRule="exact"/>
        <w:rPr>
          <w:rFonts w:ascii="Arial" w:cs="Arial" w:eastAsia="Arial" w:hAnsi="Arial"/>
          <w:sz w:val="16"/>
          <w:szCs w:val="16"/>
          <w:color w:val="auto"/>
        </w:rPr>
      </w:pPr>
    </w:p>
    <w:p>
      <w:pPr>
        <w:ind w:left="332" w:right="42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532"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0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r>
      <w:tr>
        <w:trPr>
          <w:trHeight w:val="283"/>
        </w:trPr>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575"/>
        </w:trPr>
        <w:tc>
          <w:tcPr>
            <w:tcW w:w="374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(14,849)</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(31,888)</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(55,290)</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(23,371)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(24,056)</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30,996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61,778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65,034</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83"/>
        </w:trPr>
        <w:tc>
          <w:tcPr>
            <w:tcW w:w="37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13,355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12,925</w:t>
            </w:r>
          </w:p>
        </w:tc>
      </w:tr>
      <w:tr>
        <w:trPr>
          <w:trHeight w:val="250"/>
        </w:trPr>
        <w:tc>
          <w:tcPr>
            <w:tcW w:w="3740" w:type="dxa"/>
            <w:vAlign w:val="bottom"/>
          </w:tcPr>
          <w:p>
            <w:pPr>
              <w:ind w:left="220"/>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19,995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35,862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r>
      <w:tr>
        <w:trPr>
          <w:trHeight w:val="251"/>
        </w:trPr>
        <w:tc>
          <w:tcPr>
            <w:tcW w:w="37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Impairment expense (a)</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28,661</w:t>
            </w: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Noralta transaction costs (b)</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6,577</w:t>
            </w:r>
          </w:p>
        </w:tc>
      </w:tr>
      <w:tr>
        <w:trPr>
          <w:trHeight w:val="256"/>
        </w:trPr>
        <w:tc>
          <w:tcPr>
            <w:tcW w:w="3740" w:type="dxa"/>
            <w:vAlign w:val="bottom"/>
          </w:tcPr>
          <w:p>
            <w:pPr>
              <w:ind w:left="240"/>
              <w:spacing w:after="0"/>
              <w:rPr>
                <w:sz w:val="20"/>
                <w:szCs w:val="20"/>
                <w:color w:val="auto"/>
              </w:rPr>
            </w:pPr>
            <w:r>
              <w:rPr>
                <w:rFonts w:ascii="Arial" w:cs="Arial" w:eastAsia="Arial" w:hAnsi="Arial"/>
                <w:sz w:val="16"/>
                <w:szCs w:val="16"/>
                <w:color w:val="auto"/>
              </w:rPr>
              <w:t>Australia ARO adjustment (c)</w:t>
            </w:r>
          </w:p>
        </w:tc>
        <w:tc>
          <w:tcPr>
            <w:tcW w:w="2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74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26,465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24,510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42,332</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34,523</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52" w:right="80" w:hanging="328"/>
        <w:spacing w:after="0" w:line="249" w:lineRule="auto"/>
        <w:tabs>
          <w:tab w:leader="none" w:pos="65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recorded in the second quarter 2019 and the first quarter 2018. In the second quarter 2019, we recorded a pre-tax loss related to the impairment of assets in Australia of $5.5 million ($5.5 million after-tax, or $0.03 per diluted share), which is included in Impairment expense on the unaudited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ectPr>
          <w:pgSz w:w="11900" w:h="16838" w:orient="portrait"/>
          <w:cols w:equalWidth="0" w:num="1">
            <w:col w:w="11412"/>
          </w:cols>
          <w:pgMar w:left="248" w:top="581" w:right="239" w:bottom="1440" w:gutter="0" w:footer="0" w:header="0"/>
        </w:sectPr>
      </w:pPr>
    </w:p>
    <w:bookmarkStart w:id="13" w:name="page14"/>
    <w:bookmarkEnd w:id="13"/>
    <w:p>
      <w:pPr>
        <w:ind w:left="652" w:right="20"/>
        <w:spacing w:after="0" w:line="260" w:lineRule="auto"/>
        <w:rPr>
          <w:sz w:val="20"/>
          <w:szCs w:val="20"/>
          <w:color w:val="auto"/>
        </w:rPr>
      </w:pPr>
      <w:r>
        <w:rPr>
          <w:rFonts w:ascii="Arial" w:cs="Arial" w:eastAsia="Arial" w:hAnsi="Arial"/>
          <w:sz w:val="16"/>
          <w:szCs w:val="16"/>
          <w:color w:val="auto"/>
        </w:rPr>
        <w:t>In the first quarter 2018, we recorded a pre-tax loss related to the impairment of assets in Canada of $28.7 million ($20.9 million after-tax, or $0.14 per diluted share), which is included in Impairment expense on the unaudited statements of operations.</w:t>
      </w:r>
    </w:p>
    <w:p>
      <w:pPr>
        <w:spacing w:after="0" w:line="169" w:lineRule="exact"/>
        <w:rPr>
          <w:sz w:val="20"/>
          <w:szCs w:val="20"/>
          <w:color w:val="auto"/>
        </w:rPr>
      </w:pPr>
    </w:p>
    <w:p>
      <w:pPr>
        <w:ind w:left="652" w:right="100" w:hanging="328"/>
        <w:spacing w:after="0" w:line="249"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Noralta. For the six month period ended June 30, 2018, the $6.6 million of costs ($5.9 million after-tax, or $0.04, per diluted shares), are reflected in the Canada ($1.9 million) and Corporate and eliminations ($4.7 million) reportable segments and are included in Costs of sales and services ($0.2 million) and Selling, general and administrative expenses ($6.4 million) on the unaudited statements of operations. During the second quarter 2018, the $5.6 million of costs ($5.0 million after-tax, or $0.03, per diluted share), are reflected in the Canada ($1.6 million) and Corporate and eliminations ($4.0 million) reportable segments and are included in Costs of sales and services ($0.2 million) and Selling, general and administrative expenses ($5.4 million) on the unaudited statements of operations.</w:t>
      </w:r>
    </w:p>
    <w:p>
      <w:pPr>
        <w:spacing w:after="0" w:line="178" w:lineRule="exact"/>
        <w:rPr>
          <w:rFonts w:ascii="Arial" w:cs="Arial" w:eastAsia="Arial" w:hAnsi="Arial"/>
          <w:sz w:val="16"/>
          <w:szCs w:val="16"/>
          <w:color w:val="auto"/>
        </w:rPr>
      </w:pPr>
    </w:p>
    <w:p>
      <w:pPr>
        <w:ind w:left="652" w:right="40" w:hanging="328"/>
        <w:spacing w:after="0" w:line="253"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noted above, during the second quarter of 2019, we identified a future liability related to an ARO at one of our villages in Australia that should have been recorded in 2011. The correction included a $0.9 million ($0.9 million after-tax, or $0.01 per diluted share) adjustment, which is included in Cost of sales and services on the unaudited statements of operations. This amount represents the prior period impact of this correction.</w:t>
      </w:r>
    </w:p>
    <w:p>
      <w:pPr>
        <w:spacing w:after="0" w:line="174" w:lineRule="exact"/>
        <w:rPr>
          <w:rFonts w:ascii="Arial" w:cs="Arial" w:eastAsia="Arial" w:hAnsi="Arial"/>
          <w:sz w:val="16"/>
          <w:szCs w:val="16"/>
          <w:color w:val="auto"/>
        </w:rPr>
      </w:pPr>
    </w:p>
    <w:p>
      <w:pPr>
        <w:ind w:left="332" w:hanging="332"/>
        <w:spacing w:after="0" w:line="248"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181" w:lineRule="exact"/>
        <w:rPr>
          <w:rFonts w:ascii="Arial" w:cs="Arial" w:eastAsia="Arial" w:hAnsi="Arial"/>
          <w:sz w:val="16"/>
          <w:szCs w:val="16"/>
          <w:color w:val="auto"/>
        </w:rPr>
      </w:pPr>
    </w:p>
    <w:p>
      <w:pPr>
        <w:ind w:left="332" w:right="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132"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9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283"/>
        </w:trPr>
        <w:tc>
          <w:tcPr>
            <w:tcW w:w="4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575"/>
        </w:trPr>
        <w:tc>
          <w:tcPr>
            <w:tcW w:w="47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3,619</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11,139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9,960</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13,977</w:t>
            </w:r>
          </w:p>
        </w:tc>
      </w:tr>
      <w:tr>
        <w:trPr>
          <w:trHeight w:val="270"/>
        </w:trPr>
        <w:tc>
          <w:tcPr>
            <w:tcW w:w="4740" w:type="dxa"/>
            <w:vAlign w:val="bottom"/>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(5,943)</w:t>
            </w:r>
          </w:p>
        </w:tc>
      </w:tr>
      <w:tr>
        <w:trPr>
          <w:trHeight w:val="283"/>
        </w:trPr>
        <w:tc>
          <w:tcPr>
            <w:tcW w:w="474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r>
      <w:tr>
        <w:trPr>
          <w:trHeight w:val="240"/>
        </w:trPr>
        <w:tc>
          <w:tcPr>
            <w:tcW w:w="4740" w:type="dxa"/>
            <w:vAlign w:val="bottom"/>
          </w:tcPr>
          <w:p>
            <w:pPr>
              <w:ind w:left="140"/>
              <w:spacing w:after="0"/>
              <w:rPr>
                <w:sz w:val="20"/>
                <w:szCs w:val="20"/>
                <w:color w:val="auto"/>
              </w:rPr>
            </w:pPr>
            <w:r>
              <w:rPr>
                <w:rFonts w:ascii="Arial" w:cs="Arial" w:eastAsia="Arial" w:hAnsi="Arial"/>
                <w:sz w:val="16"/>
                <w:szCs w:val="16"/>
                <w:color w:val="auto"/>
              </w:rPr>
              <w:t>Free Cash Flow</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8,612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11,472</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12"/>
          </w:cols>
          <w:pgMar w:left="248" w:top="601" w:right="239" w:bottom="1440" w:gutter="0" w:footer="0" w:header="0"/>
        </w:sectPr>
      </w:pPr>
    </w:p>
    <w:bookmarkStart w:id="14" w:name="page15"/>
    <w:bookmarkEnd w:id="14"/>
    <w:p>
      <w:pPr>
        <w:jc w:val="center"/>
        <w:ind w:right="13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32"/>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49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948"/>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1928"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Three Months Ending</w:t>
            </w: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w:t>
            </w:r>
          </w:p>
        </w:tc>
      </w:tr>
      <w:tr>
        <w:trPr>
          <w:trHeight w:val="215"/>
        </w:trPr>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September 30, 2019</w:t>
            </w:r>
          </w:p>
        </w:tc>
        <w:tc>
          <w:tcPr>
            <w:tcW w:w="460" w:type="dxa"/>
            <w:vAlign w:val="bottom"/>
          </w:tcPr>
          <w:p>
            <w:pPr>
              <w:spacing w:after="0"/>
              <w:rPr>
                <w:sz w:val="18"/>
                <w:szCs w:val="18"/>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EBITDA Range (1)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101.0</w:t>
            </w:r>
          </w:p>
        </w:tc>
      </w:tr>
    </w:tbl>
    <w:p>
      <w:pPr>
        <w:spacing w:after="0" w:line="210" w:lineRule="exact"/>
        <w:rPr>
          <w:sz w:val="20"/>
          <w:szCs w:val="20"/>
          <w:color w:val="auto"/>
        </w:rPr>
      </w:pPr>
    </w:p>
    <w:p>
      <w:pPr>
        <w:ind w:left="328" w:hanging="328"/>
        <w:spacing w:after="0" w:line="260"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millions) (unaudited):</w:t>
      </w:r>
    </w:p>
    <w:p>
      <w:pPr>
        <w:spacing w:after="0" w:line="311" w:lineRule="exact"/>
        <w:rPr>
          <w:sz w:val="20"/>
          <w:szCs w:val="20"/>
          <w:color w:val="auto"/>
        </w:rPr>
      </w:pPr>
    </w:p>
    <w:tbl>
      <w:tblPr>
        <w:tblLayout w:type="fixed"/>
        <w:tblInd w:w="1888"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Ending</w:t>
            </w:r>
          </w:p>
        </w:tc>
        <w:tc>
          <w:tcPr>
            <w:tcW w:w="218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 Ending December 31,</w:t>
            </w:r>
          </w:p>
        </w:tc>
      </w:tr>
      <w:tr>
        <w:trPr>
          <w:trHeight w:val="215"/>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September 30, 2019</w:t>
            </w:r>
          </w:p>
        </w:tc>
        <w:tc>
          <w:tcPr>
            <w:tcW w:w="320" w:type="dxa"/>
            <w:vAlign w:val="bottom"/>
          </w:tcPr>
          <w:p>
            <w:pPr>
              <w:spacing w:after="0"/>
              <w:rPr>
                <w:sz w:val="18"/>
                <w:szCs w:val="18"/>
                <w:color w:val="auto"/>
              </w:rPr>
            </w:pPr>
          </w:p>
        </w:tc>
        <w:tc>
          <w:tcPr>
            <w:tcW w:w="12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rPr>
              <w:t>(estimated)</w:t>
            </w: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(estimated)</w:t>
            </w:r>
          </w:p>
        </w:tc>
        <w:tc>
          <w:tcPr>
            <w:tcW w:w="580" w:type="dxa"/>
            <w:vAlign w:val="bottom"/>
          </w:tcPr>
          <w:p>
            <w:pPr>
              <w:spacing w:after="0"/>
              <w:rPr>
                <w:sz w:val="23"/>
                <w:szCs w:val="23"/>
                <w:color w:val="auto"/>
              </w:rPr>
            </w:pPr>
          </w:p>
        </w:tc>
      </w:tr>
      <w:tr>
        <w:trPr>
          <w:trHeight w:val="594"/>
        </w:trPr>
        <w:tc>
          <w:tcPr>
            <w:tcW w:w="252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70"/>
        </w:trPr>
        <w:tc>
          <w:tcPr>
            <w:tcW w:w="252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0"/>
        </w:trPr>
        <w:tc>
          <w:tcPr>
            <w:tcW w:w="25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250"/>
        </w:trPr>
        <w:tc>
          <w:tcPr>
            <w:tcW w:w="2520" w:type="dxa"/>
            <w:vAlign w:val="bottom"/>
          </w:tcPr>
          <w:p>
            <w:pPr>
              <w:ind w:left="22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Adjustments to EBITDA</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0"/>
        </w:trPr>
        <w:tc>
          <w:tcPr>
            <w:tcW w:w="2520" w:type="dxa"/>
            <w:vAlign w:val="bottom"/>
          </w:tcPr>
          <w:p>
            <w:pPr>
              <w:ind w:left="240"/>
              <w:spacing w:after="0"/>
              <w:rPr>
                <w:sz w:val="20"/>
                <w:szCs w:val="20"/>
                <w:color w:val="auto"/>
              </w:rPr>
            </w:pPr>
            <w:r>
              <w:rPr>
                <w:rFonts w:ascii="Arial" w:cs="Arial" w:eastAsia="Arial" w:hAnsi="Arial"/>
                <w:sz w:val="16"/>
                <w:szCs w:val="16"/>
                <w:color w:val="auto"/>
              </w:rPr>
              <w:t>Impairment expense</w:t>
            </w:r>
          </w:p>
        </w:tc>
        <w:tc>
          <w:tcPr>
            <w:tcW w:w="2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83"/>
        </w:trPr>
        <w:tc>
          <w:tcPr>
            <w:tcW w:w="2520" w:type="dxa"/>
            <w:vAlign w:val="bottom"/>
          </w:tcPr>
          <w:p>
            <w:pPr>
              <w:ind w:left="240"/>
              <w:spacing w:after="0"/>
              <w:rPr>
                <w:sz w:val="20"/>
                <w:szCs w:val="20"/>
                <w:color w:val="auto"/>
              </w:rPr>
            </w:pPr>
            <w:r>
              <w:rPr>
                <w:rFonts w:ascii="Arial" w:cs="Arial" w:eastAsia="Arial" w:hAnsi="Arial"/>
                <w:sz w:val="16"/>
                <w:szCs w:val="16"/>
                <w:color w:val="auto"/>
              </w:rPr>
              <w:t>Australian ARO adjustment</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40"/>
        </w:trPr>
        <w:tc>
          <w:tcPr>
            <w:tcW w:w="2520" w:type="dxa"/>
            <w:vAlign w:val="bottom"/>
          </w:tcPr>
          <w:p>
            <w:pPr>
              <w:ind w:left="46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101.0</w:t>
            </w: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08"/>
          </w:cols>
          <w:pgMar w:left="572" w:top="581" w:right="419" w:bottom="1440" w:gutter="0" w:footer="0" w:header="0"/>
        </w:sectPr>
      </w:pPr>
    </w:p>
    <w:bookmarkStart w:id="15" w:name="page16"/>
    <w:bookmarkEnd w:id="15"/>
    <w:p>
      <w:pPr>
        <w:jc w:val="center"/>
        <w:ind w:right="-119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1452"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0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June 30,</w:t>
            </w:r>
          </w:p>
        </w:tc>
      </w:tr>
      <w:tr>
        <w:trPr>
          <w:trHeight w:val="283"/>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413"/>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66,183</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80,620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123,835</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131,267</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9,901</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17,423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7,455</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Manufacturing revenue (4)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78,102</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86,518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144,872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149,908</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45,145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53,620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87,763</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90,658</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Mobile facility rental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9,604</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16,301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6,697</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Manufacturing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1,443</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6,326</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7,051</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Canadian cost of sales and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59,276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63,557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113,923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115,453</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739,627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930,828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1,365,619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1,503,717</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0.748</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0.775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0.750</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0.783</w:t>
            </w:r>
          </w:p>
        </w:tc>
      </w:tr>
      <w:tr>
        <w:trPr>
          <w:trHeight w:val="594"/>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30,996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29,966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59,417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57,664</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30,996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59,417</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58,452</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15,465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14,237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29,862</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28,743</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Australian cost of sales and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16,055</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15,349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31,054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30,682</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416,416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376,369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798,997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717,948</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0.700</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0.757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0.706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0.771</w:t>
            </w:r>
          </w:p>
        </w:tc>
      </w:tr>
    </w:tbl>
    <w:p>
      <w:pPr>
        <w:spacing w:after="0" w:line="210" w:lineRule="exact"/>
        <w:rPr>
          <w:sz w:val="20"/>
          <w:szCs w:val="20"/>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and offshore manufacturing services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0211"/>
          </w:cols>
          <w:pgMar w:left="248" w:top="770"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713-353-5407</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84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2019-12-28T10:15:44Z</dcterms:created>
  <dcterms:modified xsi:type="dcterms:W3CDTF">2019-12-28T10:15:44Z</dcterms:modified>
</cp:coreProperties>
</file>