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February 28, 2023</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74"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66"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7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285"/>
        <w:spacing w:after="0" w:line="259" w:lineRule="auto"/>
        <w:rPr>
          <w:sz w:val="20"/>
          <w:szCs w:val="20"/>
          <w:color w:val="auto"/>
        </w:rPr>
      </w:pPr>
      <w:r>
        <w:rPr>
          <w:rFonts w:ascii="Arial" w:cs="Arial" w:eastAsia="Arial" w:hAnsi="Arial"/>
          <w:sz w:val="22"/>
          <w:szCs w:val="22"/>
          <w:color w:val="auto"/>
        </w:rPr>
        <w:t>On February 28, 2023, Civeo Corporation (“Civeo”) issued a press release announcing its financial condition and results of operations as of and for the quarter and year ended December 31, 2022. A copy of the press release is furnished as Exhibit 99.1 to this report on Form 8-K, and is incorporated herein by reference.</w:t>
      </w:r>
    </w:p>
    <w:p>
      <w:pPr>
        <w:spacing w:after="0" w:line="2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48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3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Press Release dated February 28, 2023</w:t>
            </w:r>
          </w:p>
        </w:tc>
        <w:tc>
          <w:tcPr>
            <w:tcW w:w="612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2171"/>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-2150745</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28, 2023</w:t>
      </w:r>
    </w:p>
    <w:p>
      <w:pPr>
        <w:spacing w:after="0" w:line="254"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Fourth Quarter and Full Year 2022 Results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revenues of $162.2 million, net loss of $13.0 million and operating cash flow of $29.4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Adjusted EBITDA of $15.1 million and free cash flow of $25.8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year revenues of $697.1 million, net income of $2.2 million and operating cash flow of $91.8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year 2022 Adjusted EBITDA of $112.8 million and free cash flow of $82.6 million;</w:t>
      </w:r>
    </w:p>
    <w:p>
      <w:pPr>
        <w:spacing w:after="0" w:line="252"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40% of its outstanding Class A Series 1 preferred shares in the fourth quarter of 2022, which was the equivalent of approximately 6% of the Company’s fully diluted common shares outstanding at the time of the transaction;</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aforementioned preferred share repurchase and prior to year-end 2022, the remaining balance of preferred shares was converted into common shares, which are now the only class of shares outstanding;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announced two five-year contract awards in Australia with expected revenues of approximately A$937 million.</w:t>
      </w:r>
    </w:p>
    <w:p>
      <w:pPr>
        <w:spacing w:after="0" w:line="25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HOUSTON and CALGARY, February 28, 2023 (BUSINESS WIRE) -- Civeo Corporation (NYSE:CVEO) today reported financial and operating results for the fourth quarter and year ended December 31, 2022.</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“Despite inflationary headwinds in 2022, Civeo reported strong results. We operated safely while achieving higher revenues and Adjusted EBITDA compared to 2021. We also generated significant free cash flow and substantially reduced our total debt balance as well as our net leverage ratio,” said Bradley J. Dodson, Civeo's President and Chief Executive Officer.</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Mr. Dodson continued, "We continued to prioritize returning capital to shareholders by repurchasing the equivalent of approximately 1.5 million common shares during 2022. We allocated approximately $45 million of capital, or over 50% of the Company's 2022 free cash flow, to these repurchases. We will continue to evaluate opportunities to return capital to shareholders in 2023 as well as opportunities to deploy</w:t>
      </w:r>
    </w:p>
    <w:p>
      <w:pPr>
        <w:spacing w:after="0" w:line="219" w:lineRule="auto"/>
        <w:rPr>
          <w:sz w:val="20"/>
          <w:szCs w:val="20"/>
          <w:color w:val="auto"/>
        </w:rPr>
      </w:pPr>
      <w:r>
        <w:rPr>
          <w:rFonts w:ascii="Arial" w:cs="Arial" w:eastAsia="Arial" w:hAnsi="Arial"/>
          <w:sz w:val="18"/>
          <w:szCs w:val="18"/>
          <w:color w:val="auto"/>
        </w:rPr>
        <w:t>capital for both organic and inorganic growth.”</w:t>
      </w:r>
    </w:p>
    <w:p>
      <w:pPr>
        <w:ind w:right="60"/>
        <w:spacing w:after="0"/>
        <w:rPr>
          <w:sz w:val="20"/>
          <w:szCs w:val="20"/>
          <w:color w:val="auto"/>
        </w:rPr>
      </w:pPr>
      <w:r>
        <w:rPr>
          <w:rFonts w:ascii="Arial" w:cs="Arial" w:eastAsia="Arial" w:hAnsi="Arial"/>
          <w:sz w:val="18"/>
          <w:szCs w:val="18"/>
          <w:color w:val="auto"/>
        </w:rPr>
        <w:t>Mr. Dodson added, “Looking forward, we are encouraged by the recent contract awards in Australia with their significant terms and expected occupancy. In both cases, these contract renewals retained Civeo's previous work with the customer and granted us additional locations or additional room commitments, while taking share from competitors.”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2022 Results</w:t>
      </w:r>
    </w:p>
    <w:p>
      <w:pPr>
        <w:spacing w:after="0" w:line="15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the fourth quarter of 2022, Civeo generated revenues of $ 162.2 million and reported a net loss of $13.0 million, or $1.31 per diluted share. The loss results in part from $5.7 million in costs associated with impairments on assets in Australia and the U.S. During the fourth quarter of 2022, Civeo produced operating cash flow of $29.4 million, Adjusted EBITDA of $15.1 million and free cash flow of $25.8 million.</w:t>
      </w:r>
    </w:p>
    <w:p>
      <w:pPr>
        <w:spacing w:after="0" w:line="12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By comparison, in the fourth quarter of 2021, Civeo generated revenues of $159.8 million and reported net income of $9.8 million, or $0.58 per diluted share. During the fourth quarter of 2021, Civeo produced operating cash flow of $25.3 million, Adjusted EBITDA of $34.5 million and free cash flow of $26.1 million.</w:t>
      </w:r>
    </w:p>
    <w:p>
      <w:pPr>
        <w:spacing w:after="0" w:line="12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Overall, the decrease in Adjusted EBITDA in the fourth quarter of 2022 compared to 2021 was primarily due to (1) $8.5 million of non-operating items such as the impact of a stronger U.S. dollar relative to the Canadian and Australian dollars, increased stock-based compensation expense due to a higher stock price and larger gains on sales of assets in the fourth quarter of 2021; (2) $3.3 million of customer and insurance settlements which positively impacted the fourth quarter of 2021; (3) a $2.9 million increase in SG&amp;A largely related to higher information</w:t>
      </w:r>
    </w:p>
    <w:p>
      <w:pPr>
        <w:sectPr>
          <w:pgSz w:w="11900" w:h="16838" w:orient="portrait"/>
          <w:cols w:equalWidth="0" w:num="1">
            <w:col w:w="11220"/>
          </w:cols>
          <w:pgMar w:left="320" w:top="895" w:right="359" w:bottom="1440" w:gutter="0" w:footer="0" w:header="0"/>
        </w:sectPr>
      </w:pPr>
    </w:p>
    <w:bookmarkStart w:id="5" w:name="page6"/>
    <w:bookmarkEnd w:id="5"/>
    <w:p>
      <w:pPr>
        <w:ind w:right="400"/>
        <w:spacing w:after="0" w:line="242" w:lineRule="auto"/>
        <w:rPr>
          <w:sz w:val="20"/>
          <w:szCs w:val="20"/>
          <w:color w:val="auto"/>
        </w:rPr>
      </w:pPr>
      <w:r>
        <w:rPr>
          <w:rFonts w:ascii="Arial" w:cs="Arial" w:eastAsia="Arial" w:hAnsi="Arial"/>
          <w:sz w:val="18"/>
          <w:szCs w:val="18"/>
          <w:color w:val="auto"/>
        </w:rPr>
        <w:t>technology expenses and professional fees; and (4) approximately $4.7 million of increased operating costs largely driven by inflationary pressures, partially mitigated by increased Australia village occupancy.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2022 Results</w:t>
      </w:r>
    </w:p>
    <w:p>
      <w:pPr>
        <w:spacing w:after="0" w:line="14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For the full year 2022, the Company reported revenues of $697.1 million and net income of $2.2 million, or $0.21 loss per share. Adjusted EBITDA for the full year 2022 was $112.8 million. This compared to revenues of $594.5 million and a net loss of $0.6 million, or $0.04 per</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share, for the full year 2021. Adjusted EBITDA was $109.1 million in 2021. Results for the full year of 2022 reflect the impact of weakened Australian and Canadian dollars relative to the U.S. dollar, which decreased revenues and Adjusted EBITDA by $38.2 million and $8.1 million, respectively.</w:t>
      </w:r>
    </w:p>
    <w:p>
      <w:pPr>
        <w:spacing w:after="0" w:line="24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increase in Adjusted EBITDA in 2022 as compared to 2021 was largely driven by Canadian contract camp activity in the first half of 2022, partially offset by the weakened Australian and Canadian dollar.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2022 to the results for the fourth quarter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fourth quarter of 2022, the Canada segment generated revenues of $88.0 million, operating loss of $6.1 million and Adjusted EBITDA of $11.8 million, compared to revenues of $92.2 million, operating income of $ 6.9 million and Adjusted EBITDA of $ 23.1 million in the fourth quarter of 2021. Results from the fourth quarter of 2022 reflect the impact of a weakened Canadian dollar relative to the U.S. dollar, which decreased revenues and Adjusted EBITDA by $6.9 million and $1.0 million, respectively.</w:t>
      </w:r>
    </w:p>
    <w:p>
      <w:pPr>
        <w:spacing w:after="0" w:line="10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a constant currency basis, the Canadian segment experienced a 3% period-over-period increase in revenues driven by a 6% year-over-year increase in billed rooms. Despite the increase in billed rooms, Adjusted EBITDA for the Canadian segment decreased year-over-year primarily due to inflationary pressures and certain non-operating items that benefited the fourth quarter of 2021. Operating loss for the fourth quarter of 2022 includes asset impairment charges of $3.8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During the fourth quarter of 2022, the Australia segment generated revenues of $73.1 million, operating loss of $2.7 million and Adjusted EBITDA of $13.1 million, compared to revenues of $62.3 million, operating income of $2.2 million and Adjusted EBITDA of $ 13.6 million in the fourth quarter of 2021. Results from the fourth quarter of 2022 reflect the impact of a weakened Australian dollar relative to the U.S. dollar, which decreased revenues and Adjusted EBITDA by $8.0 million and $1.5 million, respectively.</w:t>
      </w:r>
    </w:p>
    <w:p>
      <w:pPr>
        <w:spacing w:after="0" w:line="228"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On a constant currency basis, the Australian segment experienced a 30% period-over-period increase in revenues driven by increased integrated services activity and a 12% year-over- year increase in billed rooms. Adjusted EBITDA from the Australian segment increased year-over-year due to increased village occupancy and integrated services activity, partially offset by inflationary pressures throughout the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23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U.S. segment generated revenues of $1.1 million, operating loss of $3.7 million and negative Adjusted EBITDA of $0.4 million in the fourth quarter of 2022, compared to revenues of $5.3 million, operating loss of $3.0 million and Adjusted EBITDA of $3.3 million in the fourth</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quarter of 2021. The revenue and Adjusted EBITDA decrease was primarily due to a $3.8 million gain on sale of assets from the fourth quarter 2021 sale of our West Permian Lodge and the sale of the segment's offshore and wellsite businesses in the second half of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for the fourth quarter of 2022 includes asset impairment charges of $1.9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December 31, 2022, Civeo had total liquidity of approximately $104.1 million, consisting of $96.1 million available under its revolving credit facilities and $8.0 million of cash on hand.</w:t>
      </w:r>
    </w:p>
    <w:p>
      <w:pPr>
        <w:spacing w:after="0" w:line="13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Civeo’s total debt outstanding on December 31, 2022 was $132.0 million, a $5.8 million increase from September 30, 2022 and a $43.1 million decrease from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1.1x as of December 31, 2022.</w:t>
      </w:r>
    </w:p>
    <w:p>
      <w:pPr>
        <w:sectPr>
          <w:pgSz w:w="11900" w:h="16838" w:orient="portrait"/>
          <w:cols w:equalWidth="0" w:num="1">
            <w:col w:w="11240"/>
          </w:cols>
          <w:pgMar w:left="320" w:top="895" w:right="339" w:bottom="1440" w:gutter="0" w:footer="0" w:header="0"/>
        </w:sectPr>
      </w:pPr>
    </w:p>
    <w:bookmarkStart w:id="6" w:name="page7"/>
    <w:bookmarkEnd w:id="6"/>
    <w:p>
      <w:pPr>
        <w:ind w:right="660"/>
        <w:spacing w:after="0" w:line="246" w:lineRule="auto"/>
        <w:rPr>
          <w:sz w:val="20"/>
          <w:szCs w:val="20"/>
          <w:color w:val="auto"/>
        </w:rPr>
      </w:pPr>
      <w:r>
        <w:rPr>
          <w:rFonts w:ascii="Arial" w:cs="Arial" w:eastAsia="Arial" w:hAnsi="Arial"/>
          <w:sz w:val="18"/>
          <w:szCs w:val="18"/>
          <w:color w:val="auto"/>
        </w:rPr>
        <w:t>During 2022, Civeo invested $25.4 million in capital expenditures, up from $15.6 million during 2021. This increase is primarily due to increased maintenance spending on the Company's lodges and villages.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2023 Guidance</w:t>
      </w:r>
    </w:p>
    <w:p>
      <w:pPr>
        <w:spacing w:after="0" w:line="15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full year of 2023, Civeo expects revenues of $630.0 million to $650.0 million, EBITDA of $85.0 million to $95.0 million and capital expenditures of $25.0 million to $30.0 million.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Civeo will host a conference call to discuss its fourth quarter 2022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13736531#. A replay will be available after the call by dialing (844) 512-2921 in the United States or (412) 317-6671 internationally and using the conference ID 13736531#.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26 lodges and villages in Canada, Australia and the U.S., with an aggregate of approximately 28,000 rooms. Civeo is publicly traded under the symbol CVEO on the New York Stock Exchange. For more information, please visit Civeo's website at www.civeo.com.</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and ability to pay down debt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inflation, global weather conditions, natural disasters, global health concerns, such as the COVID-19 pandemic,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w:t>
      </w:r>
    </w:p>
    <w:p>
      <w:pPr>
        <w:sectPr>
          <w:pgSz w:w="11900" w:h="16838" w:orient="portrait"/>
          <w:cols w:equalWidth="0" w:num="1">
            <w:col w:w="11220"/>
          </w:cols>
          <w:pgMar w:left="320" w:top="895" w:right="359" w:bottom="1440" w:gutter="0" w:footer="0" w:header="0"/>
        </w:sectPr>
      </w:pPr>
    </w:p>
    <w:bookmarkStart w:id="7" w:name="page8"/>
    <w:bookmarkEnd w:id="7"/>
    <w:p>
      <w:pPr>
        <w:spacing w:after="0" w:line="238" w:lineRule="auto"/>
        <w:rPr>
          <w:sz w:val="20"/>
          <w:szCs w:val="20"/>
          <w:color w:val="auto"/>
        </w:rPr>
      </w:pPr>
      <w:r>
        <w:rPr>
          <w:rFonts w:ascii="Arial" w:cs="Arial" w:eastAsia="Arial" w:hAnsi="Arial"/>
          <w:sz w:val="18"/>
          <w:szCs w:val="18"/>
          <w:color w:val="auto"/>
        </w:rPr>
        <w:t>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0840"/>
          </w:cols>
          <w:pgMar w:left="320" w:top="895" w:right="7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3"/>
        </w:trPr>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14"/>
        </w:trPr>
        <w:tc>
          <w:tcPr>
            <w:tcW w:w="388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162,193</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159,794</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697,052</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594,463</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127,671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117,220</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517,063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436,462</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19,390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14,396</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69,962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60,600</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21,396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20,173</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87,214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83,101</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5,721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5,721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276"/>
        </w:trPr>
        <w:tc>
          <w:tcPr>
            <w:tcW w:w="388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174,439</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151,980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680,034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588,411</w:t>
            </w: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(12,246)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7,814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17,018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6,052</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(11,474)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(12,964)</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88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859</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7,133</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5,149</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13,199</w:t>
            </w:r>
          </w:p>
        </w:tc>
        <w:tc>
          <w:tcPr>
            <w:tcW w:w="0" w:type="dxa"/>
            <w:vAlign w:val="bottom"/>
          </w:tcPr>
          <w:p>
            <w:pPr>
              <w:spacing w:after="0"/>
              <w:rPr>
                <w:sz w:val="1"/>
                <w:szCs w:val="1"/>
                <w:color w:val="auto"/>
              </w:rPr>
            </w:pPr>
          </w:p>
        </w:tc>
      </w:tr>
      <w:tr>
        <w:trPr>
          <w:trHeight w:val="244"/>
        </w:trPr>
        <w:tc>
          <w:tcPr>
            <w:tcW w:w="388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(14,760)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11,912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10,732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276"/>
        </w:trPr>
        <w:tc>
          <w:tcPr>
            <w:tcW w:w="38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2,689</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(12,071)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10,890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6,330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2,497</w:t>
            </w:r>
          </w:p>
        </w:tc>
        <w:tc>
          <w:tcPr>
            <w:tcW w:w="0" w:type="dxa"/>
            <w:vAlign w:val="bottom"/>
          </w:tcPr>
          <w:p>
            <w:pPr>
              <w:spacing w:after="0"/>
              <w:rPr>
                <w:sz w:val="1"/>
                <w:szCs w:val="1"/>
                <w:color w:val="auto"/>
              </w:rPr>
            </w:pPr>
          </w:p>
        </w:tc>
      </w:tr>
      <w:tr>
        <w:trPr>
          <w:trHeight w:val="276"/>
        </w:trPr>
        <w:tc>
          <w:tcPr>
            <w:tcW w:w="388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613</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2,333</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(12,698)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10,277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3,997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65"/>
        </w:trPr>
        <w:tc>
          <w:tcPr>
            <w:tcW w:w="388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w:t>
            </w:r>
          </w:p>
        </w:tc>
        <w:tc>
          <w:tcPr>
            <w:tcW w:w="26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302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485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1,771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78"/>
        </w:trPr>
        <w:tc>
          <w:tcPr>
            <w:tcW w:w="3880" w:type="dxa"/>
            <w:vAlign w:val="bottom"/>
          </w:tcPr>
          <w:p>
            <w:pPr>
              <w:ind w:left="120"/>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(13,000)</w:t>
            </w:r>
          </w:p>
        </w:tc>
        <w:tc>
          <w:tcPr>
            <w:tcW w:w="200" w:type="dxa"/>
            <w:vAlign w:val="bottom"/>
          </w:tcPr>
          <w:p>
            <w:pPr>
              <w:spacing w:after="0"/>
              <w:rPr>
                <w:sz w:val="15"/>
                <w:szCs w:val="15"/>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9,792</w:t>
            </w:r>
          </w:p>
        </w:tc>
        <w:tc>
          <w:tcPr>
            <w:tcW w:w="24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2,226</w:t>
            </w:r>
          </w:p>
        </w:tc>
        <w:tc>
          <w:tcPr>
            <w:tcW w:w="200" w:type="dxa"/>
            <w:vAlign w:val="bottom"/>
          </w:tcPr>
          <w:p>
            <w:pPr>
              <w:spacing w:after="0"/>
              <w:rPr>
                <w:sz w:val="15"/>
                <w:szCs w:val="15"/>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2"/>
        </w:trPr>
        <w:tc>
          <w:tcPr>
            <w:tcW w:w="3880" w:type="dxa"/>
            <w:vAlign w:val="bottom"/>
          </w:tcPr>
          <w:p>
            <w:pPr>
              <w:spacing w:after="0" w:line="157" w:lineRule="exact"/>
              <w:rPr>
                <w:sz w:val="20"/>
                <w:szCs w:val="20"/>
                <w:color w:val="auto"/>
              </w:rPr>
            </w:pPr>
            <w:r>
              <w:rPr>
                <w:rFonts w:ascii="Arial" w:cs="Arial" w:eastAsia="Arial" w:hAnsi="Arial"/>
                <w:sz w:val="14"/>
                <w:szCs w:val="14"/>
                <w:color w:val="auto"/>
              </w:rPr>
              <w:t>common shareholders</w:t>
            </w:r>
          </w:p>
        </w:tc>
        <w:tc>
          <w:tcPr>
            <w:tcW w:w="2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80" w:type="dxa"/>
            <w:vAlign w:val="bottom"/>
            <w:vMerge w:val="restart"/>
          </w:tcPr>
          <w:p>
            <w:pPr>
              <w:spacing w:after="0"/>
              <w:rPr>
                <w:sz w:val="20"/>
                <w:szCs w:val="20"/>
                <w:color w:val="auto"/>
              </w:rPr>
            </w:pPr>
            <w:r>
              <w:rPr>
                <w:rFonts w:ascii="Arial" w:cs="Arial" w:eastAsia="Arial" w:hAnsi="Arial"/>
                <w:sz w:val="14"/>
                <w:szCs w:val="14"/>
                <w:color w:val="auto"/>
              </w:rPr>
              <w:t>Net income (loss) per share attributable to Civeo</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20"/>
                <w:szCs w:val="20"/>
                <w:color w:val="auto"/>
              </w:rPr>
            </w:pPr>
            <w:r>
              <w:rPr>
                <w:rFonts w:ascii="Arial" w:cs="Arial" w:eastAsia="Arial" w:hAnsi="Arial"/>
                <w:sz w:val="14"/>
                <w:szCs w:val="14"/>
                <w:color w:val="auto"/>
              </w:rPr>
              <w:t>Corporation common shareholders: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2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(0.21)</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2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(0.21)</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435"/>
        </w:trPr>
        <w:tc>
          <w:tcPr>
            <w:tcW w:w="3880" w:type="dxa"/>
            <w:vAlign w:val="bottom"/>
          </w:tcPr>
          <w:p>
            <w:pPr>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13,835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14,165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14,002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14,232</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13,835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14,289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14,002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14,232</w:t>
            </w:r>
          </w:p>
        </w:tc>
        <w:tc>
          <w:tcPr>
            <w:tcW w:w="0" w:type="dxa"/>
            <w:vAlign w:val="bottom"/>
          </w:tcPr>
          <w:p>
            <w:pPr>
              <w:spacing w:after="0"/>
              <w:rPr>
                <w:sz w:val="1"/>
                <w:szCs w:val="1"/>
                <w:color w:val="auto"/>
              </w:rPr>
            </w:pPr>
          </w:p>
        </w:tc>
      </w:tr>
    </w:tbl>
    <w:p>
      <w:pPr>
        <w:sectPr>
          <w:pgSz w:w="11900" w:h="16838" w:orient="portrait"/>
          <w:cols w:equalWidth="0" w:num="1">
            <w:col w:w="9220"/>
          </w:cols>
          <w:pgMar w:left="1340" w:top="886" w:right="1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382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7,954</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119,755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114,859</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8,653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10,280</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17,822</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153,549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157,193</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301,890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389,996</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7,672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8,204</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81,747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93,642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15,722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18,327</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26"/>
        </w:trPr>
        <w:tc>
          <w:tcPr>
            <w:tcW w:w="38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566,184</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1"/>
        </w:trPr>
        <w:tc>
          <w:tcPr>
            <w:tcW w:w="3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51,087</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39,211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28,448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30,576</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8,342</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128,257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136,918</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102,505</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142,602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4,778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12,771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14,172</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13,778</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262,483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309,623</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61,941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1,624,512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1,582,442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(930,123)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(912,951)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(9,063)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(385,187)</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(361,883)</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300,139</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361,499</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50"/>
        </w:trPr>
        <w:tc>
          <w:tcPr>
            <w:tcW w:w="38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303,701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363,111</w:t>
            </w:r>
          </w:p>
        </w:tc>
        <w:tc>
          <w:tcPr>
            <w:tcW w:w="0" w:type="dxa"/>
            <w:vAlign w:val="bottom"/>
          </w:tcPr>
          <w:p>
            <w:pPr>
              <w:spacing w:after="0"/>
              <w:rPr>
                <w:sz w:val="1"/>
                <w:szCs w:val="1"/>
                <w:color w:val="auto"/>
              </w:rPr>
            </w:pPr>
          </w:p>
        </w:tc>
      </w:tr>
      <w:tr>
        <w:trPr>
          <w:trHeight w:val="226"/>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566,184</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139"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TWELVE MONTHS ENDED</w:t>
      </w:r>
    </w:p>
    <w:p>
      <w:pPr>
        <w:jc w:val="center"/>
        <w:ind w:left="5960"/>
        <w:spacing w:after="0"/>
        <w:rPr>
          <w:sz w:val="20"/>
          <w:szCs w:val="20"/>
          <w:color w:val="auto"/>
        </w:rPr>
      </w:pPr>
      <w:r>
        <w:rPr>
          <w:rFonts w:ascii="Arial" w:cs="Arial" w:eastAsia="Arial" w:hAnsi="Arial"/>
          <w:sz w:val="16"/>
          <w:szCs w:val="16"/>
          <w:b w:val="1"/>
          <w:bCs w:val="1"/>
          <w:color w:val="auto"/>
        </w:rPr>
        <w:t>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398"/>
        </w:trPr>
        <w:tc>
          <w:tcPr>
            <w:tcW w:w="59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6,330</w:t>
            </w:r>
          </w:p>
        </w:tc>
        <w:tc>
          <w:tcPr>
            <w:tcW w:w="18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2,497</w:t>
            </w:r>
          </w:p>
        </w:tc>
      </w:tr>
      <w:tr>
        <w:trPr>
          <w:trHeight w:val="224"/>
        </w:trPr>
        <w:tc>
          <w:tcPr>
            <w:tcW w:w="594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5"/>
        </w:trPr>
        <w:tc>
          <w:tcPr>
            <w:tcW w:w="5940" w:type="dxa"/>
            <w:vAlign w:val="bottom"/>
          </w:tcPr>
          <w:p>
            <w:pPr>
              <w:spacing w:after="0"/>
              <w:rPr>
                <w:sz w:val="20"/>
                <w:szCs w:val="20"/>
                <w:color w:val="auto"/>
              </w:rPr>
            </w:pPr>
            <w:r>
              <w:rPr>
                <w:rFonts w:ascii="Arial" w:cs="Arial" w:eastAsia="Arial" w:hAnsi="Arial"/>
                <w:sz w:val="16"/>
                <w:szCs w:val="16"/>
                <w:color w:val="auto"/>
              </w:rPr>
              <w:t>activities: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87,214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83,101</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5,721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7,935</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4,177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3,070</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3,787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4,127</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(4,917)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(6,188)</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Provision for loss on receivables, net of recoveries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2,200</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(14,447)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(28,131)</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12,323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15,435</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3"/>
        </w:trPr>
        <w:tc>
          <w:tcPr>
            <w:tcW w:w="594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4,485</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91,773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88,534</w:t>
            </w:r>
          </w:p>
        </w:tc>
      </w:tr>
      <w:tr>
        <w:trPr>
          <w:trHeight w:val="418"/>
        </w:trPr>
        <w:tc>
          <w:tcPr>
            <w:tcW w:w="59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(25,421)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(15,571)</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16,286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14,306</w:t>
            </w:r>
          </w:p>
        </w:tc>
      </w:tr>
      <w:tr>
        <w:trPr>
          <w:trHeight w:val="273"/>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(8,945)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419"/>
        </w:trPr>
        <w:tc>
          <w:tcPr>
            <w:tcW w:w="59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(30,442)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(125,483)</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(3,374)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49,157</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(4,412)</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(14,209)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(4,649)</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Repurchases of preferred shares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(30,553)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(79,656)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(86,507)</w:t>
            </w:r>
          </w:p>
        </w:tc>
      </w:tr>
      <w:tr>
        <w:trPr>
          <w:trHeight w:val="422"/>
        </w:trPr>
        <w:tc>
          <w:tcPr>
            <w:tcW w:w="5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r>
      <w:tr>
        <w:trPr>
          <w:trHeight w:val="247"/>
        </w:trPr>
        <w:tc>
          <w:tcPr>
            <w:tcW w:w="594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1,672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421"/>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r>
      <w:tr>
        <w:trPr>
          <w:trHeight w:val="226"/>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7,954</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1377" w:right="1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6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260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88,013</w:t>
            </w:r>
          </w:p>
        </w:tc>
        <w:tc>
          <w:tcPr>
            <w:tcW w:w="2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92,155</w:t>
            </w:r>
          </w:p>
        </w:tc>
        <w:tc>
          <w:tcPr>
            <w:tcW w:w="2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395,997</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321,378</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73,098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62,300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278,252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251,074</w:t>
            </w:r>
          </w:p>
        </w:tc>
        <w:tc>
          <w:tcPr>
            <w:tcW w:w="0" w:type="dxa"/>
            <w:vAlign w:val="bottom"/>
          </w:tcPr>
          <w:p>
            <w:pPr>
              <w:spacing w:after="0"/>
              <w:rPr>
                <w:sz w:val="1"/>
                <w:szCs w:val="1"/>
                <w:color w:val="auto"/>
              </w:rPr>
            </w:pPr>
          </w:p>
        </w:tc>
      </w:tr>
      <w:tr>
        <w:trPr>
          <w:trHeight w:val="273"/>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5,339</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22,803</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22,011</w:t>
            </w:r>
          </w:p>
        </w:tc>
        <w:tc>
          <w:tcPr>
            <w:tcW w:w="0" w:type="dxa"/>
            <w:vAlign w:val="bottom"/>
          </w:tcPr>
          <w:p>
            <w:pPr>
              <w:spacing w:after="0"/>
              <w:rPr>
                <w:sz w:val="1"/>
                <w:szCs w:val="1"/>
                <w:color w:val="auto"/>
              </w:rPr>
            </w:pPr>
          </w:p>
        </w:tc>
      </w:tr>
      <w:tr>
        <w:trPr>
          <w:trHeight w:val="226"/>
        </w:trPr>
        <w:tc>
          <w:tcPr>
            <w:tcW w:w="25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162,193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159,794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697,052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594,463</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11,803</w:t>
            </w:r>
          </w:p>
        </w:tc>
        <w:tc>
          <w:tcPr>
            <w:tcW w:w="2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23,125</w:t>
            </w:r>
          </w:p>
        </w:tc>
        <w:tc>
          <w:tcPr>
            <w:tcW w:w="2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83,248</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76,326</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9,286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13,570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57,118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48,727</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73"/>
        </w:trPr>
        <w:tc>
          <w:tcPr>
            <w:tcW w:w="25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(9,356)</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(25,663)</w:t>
            </w:r>
          </w:p>
        </w:tc>
        <w:tc>
          <w:tcPr>
            <w:tcW w:w="0" w:type="dxa"/>
            <w:vAlign w:val="bottom"/>
          </w:tcPr>
          <w:p>
            <w:pPr>
              <w:spacing w:after="0"/>
              <w:rPr>
                <w:sz w:val="1"/>
                <w:szCs w:val="1"/>
                <w:color w:val="auto"/>
              </w:rPr>
            </w:pPr>
          </w:p>
        </w:tc>
      </w:tr>
      <w:tr>
        <w:trPr>
          <w:trHeight w:val="226"/>
        </w:trPr>
        <w:tc>
          <w:tcPr>
            <w:tcW w:w="256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9,382</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107,048</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101,205</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11,803</w:t>
            </w:r>
          </w:p>
        </w:tc>
        <w:tc>
          <w:tcPr>
            <w:tcW w:w="2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23,125</w:t>
            </w:r>
          </w:p>
        </w:tc>
        <w:tc>
          <w:tcPr>
            <w:tcW w:w="2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83,248</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76,326</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13,094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13,570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60,926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56,662</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73"/>
        </w:trPr>
        <w:tc>
          <w:tcPr>
            <w:tcW w:w="25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(9,356)</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(25,663)</w:t>
            </w:r>
          </w:p>
        </w:tc>
        <w:tc>
          <w:tcPr>
            <w:tcW w:w="0" w:type="dxa"/>
            <w:vAlign w:val="bottom"/>
          </w:tcPr>
          <w:p>
            <w:pPr>
              <w:spacing w:after="0"/>
              <w:rPr>
                <w:sz w:val="1"/>
                <w:szCs w:val="1"/>
                <w:color w:val="auto"/>
              </w:rPr>
            </w:pPr>
          </w:p>
        </w:tc>
      </w:tr>
      <w:tr>
        <w:trPr>
          <w:trHeight w:val="226"/>
        </w:trPr>
        <w:tc>
          <w:tcPr>
            <w:tcW w:w="256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112,769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109,140</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(6,058)</w:t>
            </w:r>
          </w:p>
        </w:tc>
        <w:tc>
          <w:tcPr>
            <w:tcW w:w="2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6,892</w:t>
            </w:r>
          </w:p>
        </w:tc>
        <w:tc>
          <w:tcPr>
            <w:tcW w:w="2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17,023</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12,816</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14,731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7,303</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(3,038)</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(8,330)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(8,869)</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(6,406)</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163"/>
        </w:trPr>
        <w:tc>
          <w:tcPr>
            <w:tcW w:w="2560" w:type="dxa"/>
            <w:vAlign w:val="bottom"/>
          </w:tcPr>
          <w:p>
            <w:pPr>
              <w:ind w:left="460"/>
              <w:spacing w:after="0" w:line="164" w:lineRule="exact"/>
              <w:rPr>
                <w:sz w:val="20"/>
                <w:szCs w:val="20"/>
                <w:color w:val="auto"/>
              </w:rPr>
            </w:pPr>
            <w:r>
              <w:rPr>
                <w:rFonts w:ascii="Arial" w:cs="Arial" w:eastAsia="Arial" w:hAnsi="Arial"/>
                <w:sz w:val="16"/>
                <w:szCs w:val="16"/>
                <w:color w:val="auto"/>
              </w:rPr>
              <w:t>Total operating income</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(12,246)</w:t>
            </w:r>
          </w:p>
        </w:tc>
        <w:tc>
          <w:tcPr>
            <w:tcW w:w="200" w:type="dxa"/>
            <w:vAlign w:val="bottom"/>
          </w:tcPr>
          <w:p>
            <w:pPr>
              <w:spacing w:after="0"/>
              <w:rPr>
                <w:sz w:val="14"/>
                <w:szCs w:val="14"/>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7,814</w:t>
            </w:r>
          </w:p>
        </w:tc>
        <w:tc>
          <w:tcPr>
            <w:tcW w:w="2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17,018</w:t>
            </w:r>
          </w:p>
        </w:tc>
        <w:tc>
          <w:tcPr>
            <w:tcW w:w="2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6,052</w:t>
            </w:r>
          </w:p>
        </w:tc>
        <w:tc>
          <w:tcPr>
            <w:tcW w:w="0" w:type="dxa"/>
            <w:vAlign w:val="bottom"/>
          </w:tcPr>
          <w:p>
            <w:pPr>
              <w:spacing w:after="0"/>
              <w:rPr>
                <w:sz w:val="1"/>
                <w:szCs w:val="1"/>
                <w:color w:val="auto"/>
              </w:rPr>
            </w:pPr>
          </w:p>
        </w:tc>
      </w:tr>
      <w:tr>
        <w:trPr>
          <w:trHeight w:val="179"/>
        </w:trPr>
        <w:tc>
          <w:tcPr>
            <w:tcW w:w="2560" w:type="dxa"/>
            <w:vAlign w:val="bottom"/>
          </w:tcPr>
          <w:p>
            <w:pPr>
              <w:spacing w:after="0" w:line="174" w:lineRule="exact"/>
              <w:rPr>
                <w:sz w:val="20"/>
                <w:szCs w:val="20"/>
                <w:color w:val="auto"/>
              </w:rPr>
            </w:pPr>
            <w:r>
              <w:rPr>
                <w:rFonts w:ascii="Arial" w:cs="Arial" w:eastAsia="Arial" w:hAnsi="Arial"/>
                <w:sz w:val="16"/>
                <w:szCs w:val="16"/>
                <w:color w:val="auto"/>
              </w:rPr>
              <w:t>(loss)</w:t>
            </w: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1" w:right="1440" w:bottom="1440" w:gutter="0" w:footer="0" w:header="0"/>
        </w:sectPr>
      </w:pPr>
    </w:p>
    <w:bookmarkStart w:id="12" w:name="page13"/>
    <w:bookmarkEnd w:id="12"/>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11"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2332"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DECEMBER 31,</w:t>
            </w:r>
          </w:p>
        </w:tc>
      </w:tr>
      <w:tr>
        <w:trPr>
          <w:trHeight w:val="268"/>
        </w:trPr>
        <w:tc>
          <w:tcPr>
            <w:tcW w:w="18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517"/>
        </w:trPr>
        <w:tc>
          <w:tcPr>
            <w:tcW w:w="1800" w:type="dxa"/>
            <w:vAlign w:val="bottom"/>
          </w:tcPr>
          <w:p>
            <w:pPr>
              <w:spacing w:after="0"/>
              <w:rPr>
                <w:sz w:val="20"/>
                <w:szCs w:val="20"/>
                <w:color w:val="auto"/>
              </w:rPr>
            </w:pPr>
            <w:r>
              <w:rPr>
                <w:rFonts w:ascii="Arial" w:cs="Arial" w:eastAsia="Arial" w:hAnsi="Arial"/>
                <w:sz w:val="16"/>
                <w:szCs w:val="16"/>
                <w:color w:val="auto"/>
              </w:rPr>
              <w:t>EBITDA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9,382</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34,507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107,048</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101,205</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Adjusted EBITDA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15,103</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34,507</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112,769</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109,140</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Free Cash Flow (2)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25,757</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26,128</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82,638</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87,269</w:t>
            </w:r>
          </w:p>
        </w:tc>
      </w:tr>
      <w:tr>
        <w:trPr>
          <w:trHeight w:val="183"/>
        </w:trPr>
        <w:tc>
          <w:tcPr>
            <w:tcW w:w="1800" w:type="dxa"/>
            <w:vAlign w:val="bottom"/>
          </w:tcPr>
          <w:p>
            <w:pPr>
              <w:spacing w:after="0"/>
              <w:rPr>
                <w:sz w:val="20"/>
                <w:szCs w:val="20"/>
                <w:color w:val="auto"/>
              </w:rPr>
            </w:pPr>
            <w:r>
              <w:rPr>
                <w:rFonts w:ascii="Arial" w:cs="Arial" w:eastAsia="Arial" w:hAnsi="Arial"/>
                <w:sz w:val="16"/>
                <w:szCs w:val="16"/>
                <w:color w:val="auto"/>
              </w:rPr>
              <w:t>Net Leverage Ratio</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800" w:type="dxa"/>
            <w:vAlign w:val="bottom"/>
          </w:tcPr>
          <w:p>
            <w:pPr>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20"/>
              <w:spacing w:after="0"/>
              <w:rPr>
                <w:sz w:val="20"/>
                <w:szCs w:val="20"/>
                <w:color w:val="auto"/>
              </w:rPr>
            </w:pPr>
            <w:r>
              <w:rPr>
                <w:rFonts w:ascii="Arial" w:cs="Arial" w:eastAsia="Arial" w:hAnsi="Arial"/>
                <w:sz w:val="16"/>
                <w:szCs w:val="16"/>
                <w:color w:val="auto"/>
              </w:rPr>
              <w:t>1.1x</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332" w:lineRule="exact"/>
        <w:rPr>
          <w:sz w:val="20"/>
          <w:szCs w:val="20"/>
          <w:color w:val="auto"/>
        </w:rPr>
      </w:pPr>
    </w:p>
    <w:p>
      <w:pPr>
        <w:ind w:left="332" w:hanging="332"/>
        <w:spacing w:after="0" w:line="255"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2" w:lineRule="exact"/>
        <w:rPr>
          <w:rFonts w:ascii="Arial" w:cs="Arial" w:eastAsia="Arial" w:hAnsi="Arial"/>
          <w:sz w:val="16"/>
          <w:szCs w:val="16"/>
          <w:color w:val="auto"/>
        </w:rPr>
      </w:pPr>
    </w:p>
    <w:p>
      <w:pPr>
        <w:ind w:left="332" w:right="100"/>
        <w:spacing w:after="0" w:line="278"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00" w:lineRule="exact"/>
        <w:rPr>
          <w:sz w:val="20"/>
          <w:szCs w:val="20"/>
          <w:color w:val="auto"/>
        </w:rPr>
      </w:pPr>
    </w:p>
    <w:p>
      <w:pPr>
        <w:spacing w:after="0" w:line="214" w:lineRule="exact"/>
        <w:rPr>
          <w:sz w:val="20"/>
          <w:szCs w:val="20"/>
          <w:color w:val="auto"/>
        </w:rPr>
      </w:pPr>
    </w:p>
    <w:tbl>
      <w:tblPr>
        <w:tblLayout w:type="fixed"/>
        <w:tblInd w:w="1772"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1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9"/>
              </w:rPr>
              <w:t>TWELVE MONTHS ENDED</w:t>
            </w:r>
          </w:p>
        </w:tc>
      </w:tr>
      <w:tr>
        <w:trPr>
          <w:trHeight w:val="215"/>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16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DECEMBER 31,</w:t>
            </w:r>
          </w:p>
        </w:tc>
      </w:tr>
      <w:tr>
        <w:trPr>
          <w:trHeight w:val="265"/>
        </w:trPr>
        <w:tc>
          <w:tcPr>
            <w:tcW w:w="30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r>
      <w:tr>
        <w:trPr>
          <w:trHeight w:val="474"/>
        </w:trPr>
        <w:tc>
          <w:tcPr>
            <w:tcW w:w="300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3000" w:type="dxa"/>
            <w:vAlign w:val="bottom"/>
          </w:tcPr>
          <w:p>
            <w:pPr>
              <w:spacing w:after="0"/>
              <w:rPr>
                <w:sz w:val="20"/>
                <w:szCs w:val="20"/>
                <w:color w:val="auto"/>
              </w:rPr>
            </w:pPr>
            <w:r>
              <w:rPr>
                <w:rFonts w:ascii="Arial" w:cs="Arial" w:eastAsia="Arial" w:hAnsi="Arial"/>
                <w:sz w:val="16"/>
                <w:szCs w:val="16"/>
                <w:color w:val="auto"/>
              </w:rPr>
              <w:t>Corporation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(12,698)</w:t>
            </w:r>
          </w:p>
        </w:tc>
        <w:tc>
          <w:tcPr>
            <w:tcW w:w="16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10,277</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3,997</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(2,689)</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3,376</w:t>
            </w: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21,396</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20,173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87,214</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83,101</w:t>
            </w: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73"/>
        </w:trPr>
        <w:tc>
          <w:tcPr>
            <w:tcW w:w="3000" w:type="dxa"/>
            <w:vAlign w:val="bottom"/>
          </w:tcPr>
          <w:p>
            <w:pPr>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3,397</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3,035</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11,474</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12,964</w:t>
            </w:r>
          </w:p>
        </w:tc>
      </w:tr>
      <w:tr>
        <w:trPr>
          <w:trHeight w:val="247"/>
        </w:trPr>
        <w:tc>
          <w:tcPr>
            <w:tcW w:w="3000" w:type="dxa"/>
            <w:vAlign w:val="bottom"/>
          </w:tcPr>
          <w:p>
            <w:pPr>
              <w:ind w:left="220"/>
              <w:spacing w:after="0"/>
              <w:rPr>
                <w:sz w:val="20"/>
                <w:szCs w:val="20"/>
                <w:color w:val="auto"/>
              </w:rPr>
            </w:pPr>
            <w:r>
              <w:rPr>
                <w:rFonts w:ascii="Arial" w:cs="Arial" w:eastAsia="Arial" w:hAnsi="Arial"/>
                <w:sz w:val="16"/>
                <w:szCs w:val="16"/>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9,382</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107,048</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101,205</w:t>
            </w:r>
          </w:p>
        </w:tc>
      </w:tr>
      <w:tr>
        <w:trPr>
          <w:trHeight w:val="250"/>
        </w:trPr>
        <w:tc>
          <w:tcPr>
            <w:tcW w:w="3000" w:type="dxa"/>
            <w:vAlign w:val="bottom"/>
          </w:tcPr>
          <w:p>
            <w:pPr>
              <w:spacing w:after="0"/>
              <w:rPr>
                <w:sz w:val="20"/>
                <w:szCs w:val="20"/>
                <w:color w:val="auto"/>
              </w:rPr>
            </w:pPr>
            <w:r>
              <w:rPr>
                <w:rFonts w:ascii="Arial" w:cs="Arial" w:eastAsia="Arial" w:hAnsi="Arial"/>
                <w:sz w:val="16"/>
                <w:szCs w:val="16"/>
                <w:color w:val="auto"/>
              </w:rPr>
              <w:t>Adjustments to EBITDA</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3"/>
        </w:trPr>
        <w:tc>
          <w:tcPr>
            <w:tcW w:w="30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1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5,721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5,721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7,935</w:t>
            </w:r>
          </w:p>
        </w:tc>
      </w:tr>
      <w:tr>
        <w:trPr>
          <w:trHeight w:val="226"/>
        </w:trPr>
        <w:tc>
          <w:tcPr>
            <w:tcW w:w="30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15,103</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112,769</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109,140</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52" w:right="40" w:hanging="328"/>
        <w:spacing w:after="0" w:line="253"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fourth quarter of 2022 and the second quarter of 2021. In the fourth quarter of 2022, we recorded a pre-tax loss related to the impairment of long-lived assets in our Australian segment of $3.8 million and a pre-tax loss related to the impairment of long-lived assets in our U.S. segment of $1.9 million, which is included in Impairment expense on the unaudited statements of operations.</w:t>
      </w:r>
    </w:p>
    <w:p>
      <w:pPr>
        <w:spacing w:after="0" w:line="241" w:lineRule="exact"/>
        <w:rPr>
          <w:rFonts w:ascii="Arial" w:cs="Arial" w:eastAsia="Arial" w:hAnsi="Arial"/>
          <w:sz w:val="16"/>
          <w:szCs w:val="16"/>
          <w:color w:val="auto"/>
        </w:rPr>
      </w:pPr>
    </w:p>
    <w:p>
      <w:pPr>
        <w:ind w:left="652" w:right="200"/>
        <w:spacing w:after="0" w:line="260" w:lineRule="auto"/>
        <w:rPr>
          <w:rFonts w:ascii="Arial" w:cs="Arial" w:eastAsia="Arial" w:hAnsi="Arial"/>
          <w:sz w:val="16"/>
          <w:szCs w:val="16"/>
          <w:color w:val="auto"/>
        </w:rPr>
      </w:pPr>
      <w:r>
        <w:rPr>
          <w:rFonts w:ascii="Arial" w:cs="Arial" w:eastAsia="Arial" w:hAnsi="Arial"/>
          <w:sz w:val="16"/>
          <w:szCs w:val="16"/>
          <w:color w:val="auto"/>
        </w:rPr>
        <w:t>In the second quarter of 2021, we recorded a pre-tax loss related to the impairment of long-lived assets in our Australian segment of $7.9 million, which is included in Impairment expense on the unaudited statements of operations.</w:t>
      </w:r>
    </w:p>
    <w:p>
      <w:pPr>
        <w:sectPr>
          <w:pgSz w:w="11900" w:h="16838" w:orient="portrait"/>
          <w:cols w:equalWidth="0" w:num="1">
            <w:col w:w="11212"/>
          </w:cols>
          <w:pgMar w:left="328" w:top="891" w:right="359" w:bottom="1440" w:gutter="0" w:footer="0" w:header="0"/>
        </w:sectPr>
      </w:pPr>
    </w:p>
    <w:bookmarkStart w:id="13" w:name="page14"/>
    <w:bookmarkEnd w:id="13"/>
    <w:p>
      <w:pPr>
        <w:ind w:left="332" w:hanging="332"/>
        <w:spacing w:after="0" w:line="256"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25" w:lineRule="exact"/>
        <w:rPr>
          <w:rFonts w:ascii="Arial" w:cs="Arial" w:eastAsia="Arial" w:hAnsi="Arial"/>
          <w:sz w:val="16"/>
          <w:szCs w:val="16"/>
          <w:color w:val="auto"/>
        </w:rPr>
      </w:pPr>
    </w:p>
    <w:p>
      <w:pPr>
        <w:ind w:left="332" w:right="760"/>
        <w:spacing w:after="0" w:line="278"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6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DECEMBER 31,</w:t>
            </w:r>
          </w:p>
        </w:tc>
      </w:tr>
      <w:tr>
        <w:trPr>
          <w:trHeight w:val="268"/>
        </w:trPr>
        <w:tc>
          <w:tcPr>
            <w:tcW w:w="4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517"/>
        </w:trPr>
        <w:tc>
          <w:tcPr>
            <w:tcW w:w="42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29,401</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25,293</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center"/>
              <w:ind w:left="199"/>
              <w:spacing w:after="0"/>
              <w:rPr>
                <w:sz w:val="20"/>
                <w:szCs w:val="20"/>
                <w:color w:val="auto"/>
              </w:rPr>
            </w:pPr>
            <w:r>
              <w:rPr>
                <w:rFonts w:ascii="Arial" w:cs="Arial" w:eastAsia="Arial" w:hAnsi="Arial"/>
                <w:sz w:val="16"/>
                <w:szCs w:val="16"/>
                <w:color w:val="auto"/>
              </w:rPr>
              <w:t>91,773</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rPr>
              <w:t>88,534</w:t>
            </w:r>
          </w:p>
        </w:tc>
      </w:tr>
      <w:tr>
        <w:trPr>
          <w:trHeight w:val="270"/>
        </w:trPr>
        <w:tc>
          <w:tcPr>
            <w:tcW w:w="42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(7,955)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rPr>
              <w:t>(25,421)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center"/>
              <w:ind w:left="99"/>
              <w:spacing w:after="0"/>
              <w:rPr>
                <w:sz w:val="20"/>
                <w:szCs w:val="20"/>
                <w:color w:val="auto"/>
              </w:rPr>
            </w:pPr>
            <w:r>
              <w:rPr>
                <w:rFonts w:ascii="Arial" w:cs="Arial" w:eastAsia="Arial" w:hAnsi="Arial"/>
                <w:sz w:val="16"/>
                <w:szCs w:val="16"/>
                <w:color w:val="auto"/>
              </w:rPr>
              <w:t>(15,571)</w:t>
            </w:r>
          </w:p>
        </w:tc>
      </w:tr>
      <w:tr>
        <w:trPr>
          <w:trHeight w:val="183"/>
        </w:trPr>
        <w:tc>
          <w:tcPr>
            <w:tcW w:w="4200" w:type="dxa"/>
            <w:vAlign w:val="bottom"/>
          </w:tcPr>
          <w:p>
            <w:pPr>
              <w:ind w:left="240"/>
              <w:spacing w:after="0"/>
              <w:rPr>
                <w:sz w:val="20"/>
                <w:szCs w:val="20"/>
                <w:color w:val="auto"/>
              </w:rPr>
            </w:pPr>
            <w:r>
              <w:rPr>
                <w:rFonts w:ascii="Arial" w:cs="Arial" w:eastAsia="Arial" w:hAnsi="Arial"/>
                <w:sz w:val="16"/>
                <w:szCs w:val="16"/>
                <w:color w:val="auto"/>
              </w:rPr>
              <w:t>Proceeds from disposition of property, plant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4200" w:type="dxa"/>
            <w:vAlign w:val="bottom"/>
          </w:tcPr>
          <w:p>
            <w:pPr>
              <w:spacing w:after="0"/>
              <w:rPr>
                <w:sz w:val="20"/>
                <w:szCs w:val="20"/>
                <w:color w:val="auto"/>
              </w:rPr>
            </w:pPr>
            <w:r>
              <w:rPr>
                <w:rFonts w:ascii="Arial" w:cs="Arial" w:eastAsia="Arial" w:hAnsi="Arial"/>
                <w:sz w:val="16"/>
                <w:szCs w:val="16"/>
                <w:color w:val="auto"/>
              </w:rPr>
              <w:t>equipment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6,761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16,286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14,306</w:t>
            </w:r>
          </w:p>
        </w:tc>
      </w:tr>
      <w:tr>
        <w:trPr>
          <w:trHeight w:val="226"/>
        </w:trPr>
        <w:tc>
          <w:tcPr>
            <w:tcW w:w="4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25,757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26,128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82,638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87,269</w:t>
            </w:r>
          </w:p>
        </w:tc>
      </w:tr>
      <w:tr>
        <w:trPr>
          <w:trHeight w:val="21"/>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332" w:right="60" w:hanging="332"/>
        <w:spacing w:after="0" w:line="254"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ectPr>
          <w:pgSz w:w="11900" w:h="16838" w:orient="portrait"/>
          <w:cols w:equalWidth="0" w:num="1">
            <w:col w:w="11232"/>
          </w:cols>
          <w:pgMar w:left="328" w:top="911" w:right="339" w:bottom="1440" w:gutter="0" w:footer="0" w:header="0"/>
        </w:sectPr>
      </w:pPr>
    </w:p>
    <w:bookmarkStart w:id="14" w:name="page15"/>
    <w:bookmarkEnd w:id="14"/>
    <w:p>
      <w:pPr>
        <w:spacing w:after="0" w:line="260" w:lineRule="auto"/>
        <w:rPr>
          <w:sz w:val="20"/>
          <w:szCs w:val="20"/>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AS OF DECEMBER</w:t>
            </w:r>
          </w:p>
        </w:tc>
      </w:tr>
      <w:tr>
        <w:trPr>
          <w:trHeight w:val="211"/>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Arial" w:cs="Arial" w:eastAsia="Arial" w:hAnsi="Arial"/>
                <w:sz w:val="16"/>
                <w:szCs w:val="16"/>
                <w:b w:val="1"/>
                <w:bCs w:val="1"/>
                <w:color w:val="auto"/>
              </w:rPr>
              <w:t>31,</w:t>
            </w:r>
          </w:p>
        </w:tc>
      </w:tr>
      <w:tr>
        <w:trPr>
          <w:trHeight w:val="218"/>
        </w:trPr>
        <w:tc>
          <w:tcPr>
            <w:tcW w:w="6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463"/>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132,037</w:t>
            </w:r>
          </w:p>
        </w:tc>
      </w:tr>
      <w:tr>
        <w:trPr>
          <w:trHeight w:val="219"/>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r>
      <w:tr>
        <w:trPr>
          <w:trHeight w:val="212"/>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124,083</w:t>
            </w:r>
          </w:p>
        </w:tc>
      </w:tr>
      <w:tr>
        <w:trPr>
          <w:trHeight w:val="21"/>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7"/>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December 31, 2022 (a)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112,769</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3,787</w:t>
            </w:r>
          </w:p>
        </w:tc>
      </w:tr>
      <w:tr>
        <w:trPr>
          <w:trHeight w:val="219"/>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116,595</w:t>
            </w:r>
          </w:p>
        </w:tc>
      </w:tr>
      <w:tr>
        <w:trPr>
          <w:trHeight w:val="21"/>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7"/>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(b)</w:t>
            </w: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1.1x</w:t>
            </w:r>
          </w:p>
        </w:tc>
      </w:tr>
    </w:tbl>
    <w:p>
      <w:pPr>
        <w:spacing w:after="0" w:line="200" w:lineRule="exact"/>
        <w:rPr>
          <w:sz w:val="20"/>
          <w:szCs w:val="20"/>
          <w:color w:val="auto"/>
        </w:rPr>
      </w:pPr>
    </w:p>
    <w:p>
      <w:pPr>
        <w:spacing w:after="0" w:line="240" w:lineRule="exact"/>
        <w:rPr>
          <w:sz w:val="20"/>
          <w:szCs w:val="20"/>
          <w:color w:val="auto"/>
        </w:rPr>
      </w:pPr>
    </w:p>
    <w:p>
      <w:pPr>
        <w:ind w:left="20" w:right="3140" w:hanging="10"/>
        <w:spacing w:after="0" w:line="232" w:lineRule="auto"/>
        <w:tabs>
          <w:tab w:leader="none" w:pos="247"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spacing w:after="0" w:line="22" w:lineRule="exact"/>
        <w:rPr>
          <w:rFonts w:ascii="Arial" w:cs="Arial" w:eastAsia="Arial" w:hAnsi="Arial"/>
          <w:sz w:val="16"/>
          <w:szCs w:val="16"/>
          <w:color w:val="auto"/>
        </w:rPr>
      </w:pPr>
    </w:p>
    <w:p>
      <w:pPr>
        <w:ind w:left="260" w:hanging="250"/>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0580"/>
          </w:cols>
          <w:pgMar w:left="660" w:top="911" w:right="659" w:bottom="1440" w:gutter="0" w:footer="0" w:header="0"/>
        </w:sectPr>
      </w:pPr>
    </w:p>
    <w:bookmarkStart w:id="15" w:name="page16"/>
    <w:bookmarkEnd w:id="15"/>
    <w:p>
      <w:pPr>
        <w:jc w:val="center"/>
        <w:ind w:right="27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72"/>
        <w:spacing w:after="0"/>
        <w:rPr>
          <w:sz w:val="20"/>
          <w:szCs w:val="20"/>
          <w:color w:val="auto"/>
        </w:rPr>
      </w:pPr>
      <w:r>
        <w:rPr>
          <w:rFonts w:ascii="Arial" w:cs="Arial" w:eastAsia="Arial" w:hAnsi="Arial"/>
          <w:sz w:val="16"/>
          <w:szCs w:val="16"/>
          <w:b w:val="1"/>
          <w:bCs w:val="1"/>
          <w:color w:val="auto"/>
        </w:rPr>
        <w:t>NON-GAAP RECONCILIATIONS - GUIDANCE</w:t>
      </w:r>
    </w:p>
    <w:p>
      <w:pPr>
        <w:spacing w:after="0" w:line="11" w:lineRule="exact"/>
        <w:rPr>
          <w:sz w:val="20"/>
          <w:szCs w:val="20"/>
          <w:color w:val="auto"/>
        </w:rPr>
      </w:pPr>
    </w:p>
    <w:p>
      <w:pPr>
        <w:ind w:left="4828"/>
        <w:spacing w:after="0"/>
        <w:rPr>
          <w:sz w:val="20"/>
          <w:szCs w:val="20"/>
          <w:color w:val="auto"/>
        </w:rPr>
      </w:pPr>
      <w:r>
        <w:rPr>
          <w:rFonts w:ascii="Arial" w:cs="Arial" w:eastAsia="Arial" w:hAnsi="Arial"/>
          <w:sz w:val="16"/>
          <w:szCs w:val="16"/>
          <w:b w:val="1"/>
          <w:bCs w:val="1"/>
          <w:color w:val="auto"/>
        </w:rPr>
        <w:t>(in millions)</w:t>
      </w:r>
    </w:p>
    <w:p>
      <w:pPr>
        <w:spacing w:after="0" w:line="13" w:lineRule="exact"/>
        <w:rPr>
          <w:sz w:val="20"/>
          <w:szCs w:val="20"/>
          <w:color w:val="auto"/>
        </w:rPr>
      </w:pPr>
    </w:p>
    <w:p>
      <w:pPr>
        <w:ind w:left="4848"/>
        <w:spacing w:after="0"/>
        <w:rPr>
          <w:sz w:val="20"/>
          <w:szCs w:val="20"/>
          <w:color w:val="auto"/>
        </w:rPr>
      </w:pPr>
      <w:r>
        <w:rPr>
          <w:rFonts w:ascii="Arial" w:cs="Arial" w:eastAsia="Arial" w:hAnsi="Arial"/>
          <w:sz w:val="16"/>
          <w:szCs w:val="16"/>
          <w:b w:val="1"/>
          <w:bCs w:val="1"/>
          <w:color w:val="auto"/>
        </w:rPr>
        <w:t>(unaudited)</w:t>
      </w:r>
    </w:p>
    <w:p>
      <w:pPr>
        <w:spacing w:after="0" w:line="361" w:lineRule="exact"/>
        <w:rPr>
          <w:sz w:val="20"/>
          <w:szCs w:val="20"/>
          <w:color w:val="auto"/>
        </w:rPr>
      </w:pPr>
    </w:p>
    <w:p>
      <w:pPr>
        <w:ind w:left="5928"/>
        <w:spacing w:after="0"/>
        <w:rPr>
          <w:sz w:val="20"/>
          <w:szCs w:val="20"/>
          <w:color w:val="auto"/>
        </w:rPr>
      </w:pPr>
      <w:r>
        <w:rPr>
          <w:rFonts w:ascii="Arial" w:cs="Arial" w:eastAsia="Arial" w:hAnsi="Arial"/>
          <w:sz w:val="16"/>
          <w:szCs w:val="16"/>
          <w:b w:val="1"/>
          <w:bCs w:val="1"/>
          <w:color w:val="auto"/>
        </w:rPr>
        <w:t>YEAR ENDING</w:t>
      </w:r>
    </w:p>
    <w:p>
      <w:pPr>
        <w:ind w:left="5708"/>
        <w:spacing w:after="0"/>
        <w:rPr>
          <w:sz w:val="20"/>
          <w:szCs w:val="20"/>
          <w:color w:val="auto"/>
        </w:rPr>
      </w:pPr>
      <w:r>
        <w:rPr>
          <w:rFonts w:ascii="Arial" w:cs="Arial" w:eastAsia="Arial" w:hAnsi="Arial"/>
          <w:sz w:val="16"/>
          <w:szCs w:val="16"/>
          <w:b w:val="1"/>
          <w:bCs w:val="1"/>
          <w:color w:val="auto"/>
        </w:rPr>
        <w:t>DECEMBER 31, 2023</w:t>
      </w:r>
    </w:p>
    <w:p>
      <w:pPr>
        <w:spacing w:after="0" w:line="167" w:lineRule="exact"/>
        <w:rPr>
          <w:sz w:val="20"/>
          <w:szCs w:val="20"/>
          <w:color w:val="auto"/>
        </w:rPr>
      </w:pPr>
    </w:p>
    <w:p>
      <w:pPr>
        <w:ind w:left="2908"/>
        <w:spacing w:after="0"/>
        <w:tabs>
          <w:tab w:leader="none" w:pos="5328" w:val="left"/>
          <w:tab w:leader="none" w:pos="5988" w:val="left"/>
          <w:tab w:leader="none" w:pos="6588" w:val="left"/>
          <w:tab w:leader="none" w:pos="7268"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85.0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95.0</w:t>
      </w:r>
    </w:p>
    <w:p>
      <w:pPr>
        <w:spacing w:after="0" w:line="343" w:lineRule="exact"/>
        <w:rPr>
          <w:sz w:val="20"/>
          <w:szCs w:val="20"/>
          <w:color w:val="auto"/>
        </w:rPr>
      </w:pPr>
    </w:p>
    <w:p>
      <w:pPr>
        <w:ind w:left="328" w:hanging="328"/>
        <w:spacing w:after="0" w:line="278" w:lineRule="auto"/>
        <w:tabs>
          <w:tab w:leader="none" w:pos="32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308" w:lineRule="exact"/>
        <w:rPr>
          <w:sz w:val="20"/>
          <w:szCs w:val="20"/>
          <w:color w:val="auto"/>
        </w:rPr>
      </w:pPr>
    </w:p>
    <w:p>
      <w:pPr>
        <w:ind w:left="5968"/>
        <w:spacing w:after="0"/>
        <w:rPr>
          <w:sz w:val="20"/>
          <w:szCs w:val="20"/>
          <w:color w:val="auto"/>
        </w:rPr>
      </w:pPr>
      <w:r>
        <w:rPr>
          <w:rFonts w:ascii="Arial" w:cs="Arial" w:eastAsia="Arial" w:hAnsi="Arial"/>
          <w:sz w:val="16"/>
          <w:szCs w:val="16"/>
          <w:b w:val="1"/>
          <w:bCs w:val="1"/>
          <w:color w:val="auto"/>
        </w:rPr>
        <w:t>YEAR ENDING</w:t>
      </w:r>
    </w:p>
    <w:p>
      <w:pPr>
        <w:ind w:left="5748"/>
        <w:spacing w:after="0"/>
        <w:rPr>
          <w:sz w:val="20"/>
          <w:szCs w:val="20"/>
          <w:color w:val="auto"/>
        </w:rPr>
      </w:pPr>
      <w:r>
        <w:rPr>
          <w:rFonts w:ascii="Arial" w:cs="Arial" w:eastAsia="Arial" w:hAnsi="Arial"/>
          <w:sz w:val="16"/>
          <w:szCs w:val="16"/>
          <w:b w:val="1"/>
          <w:bCs w:val="1"/>
          <w:color w:val="auto"/>
        </w:rPr>
        <w:t>DECEMBER 31, 2023</w:t>
      </w:r>
    </w:p>
    <w:p>
      <w:pPr>
        <w:spacing w:after="0" w:line="147" w:lineRule="exact"/>
        <w:rPr>
          <w:sz w:val="20"/>
          <w:szCs w:val="20"/>
          <w:color w:val="auto"/>
        </w:rPr>
      </w:pPr>
    </w:p>
    <w:p>
      <w:pPr>
        <w:ind w:left="6108"/>
        <w:spacing w:after="0"/>
        <w:rPr>
          <w:sz w:val="20"/>
          <w:szCs w:val="20"/>
          <w:color w:val="auto"/>
        </w:rPr>
      </w:pPr>
      <w:r>
        <w:rPr>
          <w:rFonts w:ascii="Arial" w:cs="Arial" w:eastAsia="Arial" w:hAnsi="Arial"/>
          <w:sz w:val="16"/>
          <w:szCs w:val="16"/>
          <w:b w:val="1"/>
          <w:bCs w:val="1"/>
          <w:color w:val="auto"/>
        </w:rPr>
        <w:t>(estimated)</w:t>
      </w:r>
    </w:p>
    <w:p>
      <w:pPr>
        <w:spacing w:after="0" w:line="376" w:lineRule="exact"/>
        <w:rPr>
          <w:sz w:val="20"/>
          <w:szCs w:val="20"/>
          <w:color w:val="auto"/>
        </w:rPr>
      </w:pPr>
    </w:p>
    <w:tbl>
      <w:tblPr>
        <w:tblLayout w:type="fixed"/>
        <w:tblInd w:w="2688" w:type="dxa"/>
        <w:tblCellMar>
          <w:top w:w="0" w:type="dxa"/>
          <w:left w:w="0" w:type="dxa"/>
          <w:bottom w:w="0" w:type="dxa"/>
          <w:right w:w="0" w:type="dxa"/>
        </w:tblCellMar>
      </w:tblPr>
      <w:tr>
        <w:trPr>
          <w:trHeight w:val="195"/>
        </w:trPr>
        <w:tc>
          <w:tcPr>
            <w:tcW w:w="2500" w:type="dxa"/>
            <w:vAlign w:val="bottom"/>
          </w:tcPr>
          <w:p>
            <w:pPr>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219"/>
              <w:spacing w:after="0"/>
              <w:rPr>
                <w:sz w:val="20"/>
                <w:szCs w:val="20"/>
                <w:color w:val="auto"/>
              </w:rPr>
            </w:pPr>
            <w:r>
              <w:rPr>
                <w:rFonts w:ascii="Arial" w:cs="Arial" w:eastAsia="Arial" w:hAnsi="Arial"/>
                <w:sz w:val="16"/>
                <w:szCs w:val="16"/>
                <w:color w:val="auto"/>
              </w:rPr>
              <w:t>(19.5)</w:t>
            </w:r>
          </w:p>
        </w:tc>
        <w:tc>
          <w:tcPr>
            <w:tcW w:w="18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Income tax provision</w:t>
            </w:r>
          </w:p>
        </w:tc>
        <w:tc>
          <w:tcPr>
            <w:tcW w:w="460" w:type="dxa"/>
            <w:vAlign w:val="bottom"/>
          </w:tcPr>
          <w:p>
            <w:pPr>
              <w:spacing w:after="0"/>
              <w:rPr>
                <w:sz w:val="23"/>
                <w:szCs w:val="23"/>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12.5</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3"/>
                <w:szCs w:val="23"/>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color w:val="auto"/>
                <w:w w:val="96"/>
              </w:rPr>
              <w:t>80.0</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273"/>
        </w:trPr>
        <w:tc>
          <w:tcPr>
            <w:tcW w:w="2500" w:type="dxa"/>
            <w:vAlign w:val="bottom"/>
          </w:tcPr>
          <w:p>
            <w:pPr>
              <w:spacing w:after="0"/>
              <w:rPr>
                <w:sz w:val="20"/>
                <w:szCs w:val="20"/>
                <w:color w:val="auto"/>
              </w:rPr>
            </w:pPr>
            <w:r>
              <w:rPr>
                <w:rFonts w:ascii="Arial" w:cs="Arial" w:eastAsia="Arial" w:hAnsi="Arial"/>
                <w:sz w:val="16"/>
                <w:szCs w:val="16"/>
                <w:color w:val="auto"/>
              </w:rPr>
              <w:t>Interest expense</w:t>
            </w: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6"/>
              </w:rPr>
              <w:t>12.0</w:t>
            </w:r>
          </w:p>
        </w:tc>
        <w:tc>
          <w:tcPr>
            <w:tcW w:w="1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r>
      <w:tr>
        <w:trPr>
          <w:trHeight w:val="226"/>
        </w:trPr>
        <w:tc>
          <w:tcPr>
            <w:tcW w:w="2500" w:type="dxa"/>
            <w:vAlign w:val="bottom"/>
          </w:tcPr>
          <w:p>
            <w:pPr>
              <w:ind w:left="220"/>
              <w:spacing w:after="0"/>
              <w:rPr>
                <w:sz w:val="20"/>
                <w:szCs w:val="20"/>
                <w:color w:val="auto"/>
              </w:rPr>
            </w:pPr>
            <w:r>
              <w:rPr>
                <w:rFonts w:ascii="Arial" w:cs="Arial" w:eastAsia="Arial" w:hAnsi="Arial"/>
                <w:sz w:val="16"/>
                <w:szCs w:val="16"/>
                <w:color w:val="auto"/>
              </w:rPr>
              <w:t>EBITDA</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6"/>
              </w:rPr>
              <w:t>85.0</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95.0</w:t>
            </w:r>
          </w:p>
        </w:tc>
      </w:tr>
      <w:tr>
        <w:trPr>
          <w:trHeight w:val="20"/>
        </w:trPr>
        <w:tc>
          <w:tcPr>
            <w:tcW w:w="2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68"/>
          </w:cols>
          <w:pgMar w:left="652" w:top="1134" w:right="379" w:bottom="1440" w:gutter="0" w:footer="0" w:header="0"/>
        </w:sectPr>
      </w:pPr>
    </w:p>
    <w:bookmarkStart w:id="16" w:name="page17"/>
    <w:bookmarkEnd w:id="16"/>
    <w:p>
      <w:pPr>
        <w:jc w:val="center"/>
        <w:ind w:right="-17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359"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r>
      <w:tr>
        <w:trPr>
          <w:trHeight w:val="265"/>
        </w:trPr>
        <w:tc>
          <w:tcPr>
            <w:tcW w:w="3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71"/>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Canadian</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60,106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62,726</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279,455</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239,526</w:t>
            </w:r>
          </w:p>
        </w:tc>
      </w:tr>
      <w:tr>
        <w:trPr>
          <w:trHeight w:val="270"/>
        </w:trPr>
        <w:tc>
          <w:tcPr>
            <w:tcW w:w="374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23,041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24,616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96,400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62,856</w:t>
            </w:r>
          </w:p>
        </w:tc>
      </w:tr>
      <w:tr>
        <w:trPr>
          <w:trHeight w:val="273"/>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4,813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20,142</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18,996</w:t>
            </w:r>
          </w:p>
        </w:tc>
      </w:tr>
      <w:tr>
        <w:trPr>
          <w:trHeight w:val="247"/>
        </w:trPr>
        <w:tc>
          <w:tcPr>
            <w:tcW w:w="374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88,013</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92,155</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395,997</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321,378</w:t>
            </w: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48,049</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45,273</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204,592</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170,071</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15,116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15,009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60,055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38,571</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4,167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18,372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16,750</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10,557</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10,027</w:t>
            </w:r>
          </w:p>
        </w:tc>
      </w:tr>
      <w:tr>
        <w:trPr>
          <w:trHeight w:val="163"/>
        </w:trPr>
        <w:tc>
          <w:tcPr>
            <w:tcW w:w="3740" w:type="dxa"/>
            <w:vAlign w:val="bottom"/>
          </w:tcPr>
          <w:p>
            <w:pPr>
              <w:ind w:left="640"/>
              <w:spacing w:after="0" w:line="164" w:lineRule="exact"/>
              <w:rPr>
                <w:sz w:val="20"/>
                <w:szCs w:val="20"/>
                <w:color w:val="auto"/>
              </w:rPr>
            </w:pPr>
            <w:r>
              <w:rPr>
                <w:rFonts w:ascii="Arial" w:cs="Arial" w:eastAsia="Arial" w:hAnsi="Arial"/>
                <w:sz w:val="16"/>
                <w:szCs w:val="16"/>
                <w:color w:val="auto"/>
              </w:rPr>
              <w:t>Total Canadian cost of sales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70,483</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66,978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293,576</w:t>
            </w:r>
          </w:p>
        </w:tc>
        <w:tc>
          <w:tcPr>
            <w:tcW w:w="2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235,419</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621,991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588,473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2,759,521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2,404,880</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0.736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0.794</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0.769</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0.798</w:t>
            </w:r>
          </w:p>
        </w:tc>
      </w:tr>
      <w:tr>
        <w:trPr>
          <w:trHeight w:val="453"/>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Australian</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37,747</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35,776</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152,714</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145,335</w:t>
            </w:r>
          </w:p>
        </w:tc>
      </w:tr>
      <w:tr>
        <w:trPr>
          <w:trHeight w:val="273"/>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26,524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125,538</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105,739</w:t>
            </w:r>
          </w:p>
        </w:tc>
      </w:tr>
      <w:tr>
        <w:trPr>
          <w:trHeight w:val="247"/>
        </w:trPr>
        <w:tc>
          <w:tcPr>
            <w:tcW w:w="374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73,098</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62,300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278,252</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251,074</w:t>
            </w: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18,260</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18,012</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73,325</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71,550</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35,121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25,011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119,957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100,469</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7,662</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7,123</w:t>
            </w:r>
          </w:p>
        </w:tc>
      </w:tr>
      <w:tr>
        <w:trPr>
          <w:trHeight w:val="163"/>
        </w:trPr>
        <w:tc>
          <w:tcPr>
            <w:tcW w:w="3740" w:type="dxa"/>
            <w:vAlign w:val="bottom"/>
          </w:tcPr>
          <w:p>
            <w:pPr>
              <w:ind w:left="640"/>
              <w:spacing w:after="0" w:line="164" w:lineRule="exact"/>
              <w:rPr>
                <w:sz w:val="20"/>
                <w:szCs w:val="20"/>
                <w:color w:val="auto"/>
              </w:rPr>
            </w:pPr>
            <w:r>
              <w:rPr>
                <w:rFonts w:ascii="Arial" w:cs="Arial" w:eastAsia="Arial" w:hAnsi="Arial"/>
                <w:sz w:val="16"/>
                <w:szCs w:val="16"/>
                <w:color w:val="auto"/>
              </w:rPr>
              <w:t>Total Australian cost of sales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55,405</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44,970</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200,944</w:t>
            </w:r>
          </w:p>
        </w:tc>
        <w:tc>
          <w:tcPr>
            <w:tcW w:w="2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179,142</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518,925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464,700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2,024,068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1,846,882</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0.657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0.729</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0.695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0.752</w:t>
            </w:r>
          </w:p>
        </w:tc>
      </w:tr>
    </w:tbl>
    <w:p>
      <w:pPr>
        <w:spacing w:after="0" w:line="33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Billed rooms represents total billed days for Civeo owned Canadian lodges and Australian villages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ectPr>
          <w:pgSz w:w="11900" w:h="16838" w:orient="portrait"/>
          <w:cols w:equalWidth="0" w:num="1">
            <w:col w:w="11060"/>
          </w:cols>
          <w:pgMar w:left="320" w:top="1134"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2023-02-28T08:09:22Z</dcterms:created>
  <dcterms:modified xsi:type="dcterms:W3CDTF">2023-02-28T08:09:22Z</dcterms:modified>
</cp:coreProperties>
</file>