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4978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97840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Stone Carolyn J</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02/22/2023</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814"/>
        <w:spacing w:after="0"/>
        <w:rPr>
          <w:sz w:val="20"/>
          <w:szCs w:val="20"/>
          <w:color w:val="auto"/>
        </w:rPr>
      </w:pPr>
      <w:r>
        <w:rPr>
          <w:rFonts w:ascii="Times New Roman" w:cs="Times New Roman" w:eastAsia="Times New Roman" w:hAnsi="Times New Roman"/>
          <w:sz w:val="17"/>
          <w:szCs w:val="17"/>
          <w:color w:val="0000FF"/>
        </w:rPr>
        <w:t>SVP, CFO &amp; Treasurer</w:t>
      </w:r>
    </w:p>
    <w:p>
      <w:pPr>
        <w:spacing w:after="0" w:line="31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77002</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02/22/2023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4,798</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39,310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02/22/2023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4,798</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32.02</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34,512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02/22/2023</w:t>
            </w:r>
          </w:p>
        </w:tc>
        <w:tc>
          <w:tcPr>
            <w:tcW w:w="1100" w:type="dxa"/>
            <w:vAlign w:val="bottom"/>
          </w:tcPr>
          <w:p>
            <w:pPr>
              <w:spacing w:after="0"/>
              <w:rPr>
                <w:sz w:val="20"/>
                <w:szCs w:val="20"/>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4,798</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4,798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26,608</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Each phantom share was the economic equivalent of one Civeo common share payable in cash. The phantom shares vest at various times based on grant date. 4,798 shares vested on February 22, 2023.</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Carolyn Stone, by Bradley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02/23/2023</w:t>
            </w:r>
          </w:p>
        </w:tc>
        <w:tc>
          <w:tcPr>
            <w:tcW w:w="0" w:type="dxa"/>
            <w:vAlign w:val="bottom"/>
          </w:tcPr>
          <w:p>
            <w:pPr>
              <w:spacing w:after="0"/>
              <w:rPr>
                <w:sz w:val="1"/>
                <w:szCs w:val="1"/>
                <w:color w:val="auto"/>
              </w:rPr>
            </w:pPr>
          </w:p>
        </w:tc>
      </w:tr>
      <w:tr>
        <w:trPr>
          <w:trHeight w:val="89"/>
        </w:trPr>
        <w:tc>
          <w:tcPr>
            <w:tcW w:w="18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J. Dodson, Attorney-in-fact</w:t>
            </w:r>
          </w:p>
        </w:tc>
        <w:tc>
          <w:tcPr>
            <w:tcW w:w="3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860" w:type="dxa"/>
            <w:vAlign w:val="bottom"/>
            <w:tcBorders>
              <w:bottom w:val="single" w:sz="8" w:color="auto"/>
            </w:tcBorders>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4674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2023-02-23T18:47:42Z</dcterms:created>
  <dcterms:modified xsi:type="dcterms:W3CDTF">2023-02-23T18:47:42Z</dcterms:modified>
</cp:coreProperties>
</file>