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610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61073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Stone Carolyn J</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02/11/2015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90"/>
        <w:spacing w:after="0"/>
        <w:rPr>
          <w:sz w:val="20"/>
          <w:szCs w:val="20"/>
          <w:color w:val="auto"/>
        </w:rPr>
      </w:pPr>
      <w:r>
        <w:rPr>
          <w:rFonts w:ascii="Arial" w:cs="Arial" w:eastAsia="Arial" w:hAnsi="Arial"/>
          <w:sz w:val="17"/>
          <w:szCs w:val="17"/>
          <w:color w:val="0000FF"/>
        </w:rPr>
        <w:t>See Remarks</w:t>
      </w:r>
    </w:p>
    <w:p>
      <w:pPr>
        <w:spacing w:after="0" w:line="326" w:lineRule="exact"/>
        <w:rPr>
          <w:sz w:val="24"/>
          <w:szCs w:val="24"/>
          <w:color w:val="auto"/>
        </w:rPr>
      </w:pPr>
    </w:p>
    <w:p>
      <w:pPr>
        <w:sectPr>
          <w:pgSz w:w="11900" w:h="16838" w:orient="portrait"/>
          <w:cols w:equalWidth="0" w:num="3">
            <w:col w:w="3340" w:space="720"/>
            <w:col w:w="3270" w:space="720"/>
            <w:col w:w="3470"/>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60" w:type="dxa"/>
            <w:vAlign w:val="bottom"/>
          </w:tcPr>
          <w:p>
            <w:pPr>
              <w:ind w:left="220"/>
              <w:spacing w:after="0"/>
              <w:rPr>
                <w:sz w:val="20"/>
                <w:szCs w:val="20"/>
                <w:color w:val="auto"/>
              </w:rPr>
            </w:pPr>
            <w:r>
              <w:rPr>
                <w:rFonts w:ascii="Arial" w:cs="Arial" w:eastAsia="Arial" w:hAnsi="Arial"/>
                <w:sz w:val="17"/>
                <w:szCs w:val="17"/>
                <w:color w:val="0000FF"/>
              </w:rPr>
              <w:t>TX</w:t>
            </w:r>
          </w:p>
        </w:tc>
        <w:tc>
          <w:tcPr>
            <w:tcW w:w="166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4"/>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8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4000"/>
        <w:spacing w:after="0"/>
        <w:rPr>
          <w:sz w:val="20"/>
          <w:szCs w:val="20"/>
          <w:color w:val="auto"/>
        </w:rPr>
      </w:pPr>
      <w:r>
        <w:rPr>
          <w:rFonts w:ascii="Arial" w:cs="Arial" w:eastAsia="Arial" w:hAnsi="Arial"/>
          <w:sz w:val="13"/>
          <w:szCs w:val="13"/>
          <w:color w:val="auto"/>
        </w:rPr>
        <w:t>Line)</w:t>
      </w:r>
    </w:p>
    <w:p>
      <w:pPr>
        <w:ind w:left="4200"/>
        <w:spacing w:after="0" w:line="231"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0"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780" w:type="dxa"/>
            <w:vAlign w:val="bottom"/>
          </w:tcPr>
          <w:p>
            <w:pPr>
              <w:spacing w:after="0"/>
              <w:rPr>
                <w:sz w:val="11"/>
                <w:szCs w:val="11"/>
                <w:color w:val="auto"/>
              </w:rPr>
            </w:pPr>
          </w:p>
        </w:tc>
        <w:tc>
          <w:tcPr>
            <w:tcW w:w="10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5"/>
          </w:tcPr>
          <w:p>
            <w:pPr>
              <w:ind w:left="100"/>
              <w:spacing w:after="0" w:line="130" w:lineRule="exact"/>
              <w:rPr>
                <w:sz w:val="20"/>
                <w:szCs w:val="20"/>
                <w:color w:val="auto"/>
              </w:rPr>
            </w:pPr>
            <w:r>
              <w:rPr>
                <w:rFonts w:ascii="Arial" w:cs="Arial" w:eastAsia="Arial" w:hAnsi="Arial"/>
                <w:sz w:val="12"/>
                <w:szCs w:val="12"/>
                <w:b w:val="1"/>
                <w:bCs w:val="1"/>
                <w:color w:val="auto"/>
                <w:w w:val="98"/>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2"/>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ind w:left="960"/>
              <w:spacing w:after="0"/>
              <w:rPr>
                <w:sz w:val="20"/>
                <w:szCs w:val="20"/>
                <w:color w:val="auto"/>
              </w:rPr>
            </w:pPr>
            <w:r>
              <w:rPr>
                <w:rFonts w:ascii="Arial" w:cs="Arial" w:eastAsia="Arial" w:hAnsi="Arial"/>
                <w:sz w:val="17"/>
                <w:szCs w:val="17"/>
                <w:color w:val="0000FF"/>
              </w:rPr>
              <w:t>02/11/2015</w:t>
            </w:r>
          </w:p>
        </w:tc>
        <w:tc>
          <w:tcPr>
            <w:tcW w:w="7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0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88"/>
              </w:rPr>
              <w:t>43,283</w:t>
            </w:r>
            <w:r>
              <w:rPr>
                <w:rFonts w:ascii="Arial" w:cs="Arial" w:eastAsia="Arial" w:hAnsi="Arial"/>
                <w:sz w:val="22"/>
                <w:szCs w:val="22"/>
                <w:color w:val="008000"/>
                <w:w w:val="88"/>
                <w:vertAlign w:val="superscript"/>
              </w:rPr>
              <w:t>(1)</w:t>
            </w: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59,545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60" w:type="dxa"/>
            <w:vAlign w:val="bottom"/>
            <w:gridSpan w:val="11"/>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tcPr>
          <w:p>
            <w:pPr>
              <w:ind w:left="360"/>
              <w:spacing w:after="0"/>
              <w:rPr>
                <w:sz w:val="20"/>
                <w:szCs w:val="20"/>
                <w:color w:val="auto"/>
              </w:rPr>
            </w:pPr>
            <w:r>
              <w:rPr>
                <w:rFonts w:ascii="Arial" w:cs="Arial" w:eastAsia="Arial" w:hAnsi="Arial"/>
                <w:sz w:val="11"/>
                <w:szCs w:val="11"/>
                <w:color w:val="008000"/>
              </w:rPr>
              <w:t>(2)</w:t>
            </w:r>
          </w:p>
        </w:tc>
        <w:tc>
          <w:tcPr>
            <w:tcW w:w="1100" w:type="dxa"/>
            <w:vAlign w:val="bottom"/>
          </w:tcPr>
          <w:p>
            <w:pPr>
              <w:jc w:val="right"/>
              <w:ind w:right="159"/>
              <w:spacing w:after="0"/>
              <w:rPr>
                <w:sz w:val="20"/>
                <w:szCs w:val="20"/>
                <w:color w:val="auto"/>
              </w:rPr>
            </w:pPr>
            <w:r>
              <w:rPr>
                <w:rFonts w:ascii="Arial" w:cs="Arial" w:eastAsia="Arial" w:hAnsi="Arial"/>
                <w:sz w:val="13"/>
                <w:szCs w:val="13"/>
                <w:color w:val="0000FF"/>
              </w:rPr>
              <w:t>02/11/2015</w:t>
            </w:r>
          </w:p>
        </w:tc>
        <w:tc>
          <w:tcPr>
            <w:tcW w:w="114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Pr>
          <w:p>
            <w:pPr>
              <w:ind w:left="140"/>
              <w:spacing w:after="0"/>
              <w:rPr>
                <w:sz w:val="20"/>
                <w:szCs w:val="20"/>
                <w:color w:val="auto"/>
              </w:rPr>
            </w:pPr>
            <w:r>
              <w:rPr>
                <w:rFonts w:ascii="Arial" w:cs="Arial" w:eastAsia="Arial" w:hAnsi="Arial"/>
                <w:sz w:val="13"/>
                <w:szCs w:val="13"/>
                <w:color w:val="0000FF"/>
              </w:rPr>
              <w:t>43,283</w:t>
            </w:r>
            <w:r>
              <w:rPr>
                <w:rFonts w:ascii="Arial" w:cs="Arial" w:eastAsia="Arial" w:hAnsi="Arial"/>
                <w:sz w:val="22"/>
                <w:szCs w:val="22"/>
                <w:color w:val="008000"/>
                <w:vertAlign w:val="superscript"/>
              </w:rPr>
              <w:t>(2)</w:t>
            </w:r>
          </w:p>
        </w:tc>
        <w:tc>
          <w:tcPr>
            <w:tcW w:w="300" w:type="dxa"/>
            <w:vAlign w:val="bottom"/>
          </w:tcPr>
          <w:p>
            <w:pPr>
              <w:spacing w:after="0"/>
              <w:rPr>
                <w:sz w:val="21"/>
                <w:szCs w:val="21"/>
                <w:color w:val="auto"/>
              </w:rPr>
            </w:pP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680" w:type="dxa"/>
            <w:vAlign w:val="bottom"/>
          </w:tcPr>
          <w:p>
            <w:pPr>
              <w:ind w:left="260"/>
              <w:spacing w:after="0"/>
              <w:rPr>
                <w:sz w:val="20"/>
                <w:szCs w:val="20"/>
                <w:color w:val="auto"/>
              </w:rPr>
            </w:pPr>
            <w:r>
              <w:rPr>
                <w:rFonts w:ascii="Arial" w:cs="Arial" w:eastAsia="Arial" w:hAnsi="Arial"/>
                <w:sz w:val="11"/>
                <w:szCs w:val="11"/>
                <w:color w:val="008000"/>
              </w:rPr>
              <w:t>(2)</w:t>
            </w:r>
          </w:p>
        </w:tc>
        <w:tc>
          <w:tcPr>
            <w:tcW w:w="70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20"/>
                <w:szCs w:val="20"/>
                <w:color w:val="auto"/>
              </w:rPr>
            </w:pPr>
            <w:r>
              <w:rPr>
                <w:rFonts w:ascii="Arial" w:cs="Arial" w:eastAsia="Arial" w:hAnsi="Arial"/>
                <w:sz w:val="17"/>
                <w:szCs w:val="17"/>
                <w:color w:val="0000FF"/>
                <w:w w:val="99"/>
              </w:rPr>
              <w:t>43,283</w:t>
            </w:r>
          </w:p>
        </w:tc>
        <w:tc>
          <w:tcPr>
            <w:tcW w:w="60" w:type="dxa"/>
            <w:vAlign w:val="bottom"/>
          </w:tcPr>
          <w:p>
            <w:pPr>
              <w:spacing w:after="0"/>
              <w:rPr>
                <w:sz w:val="21"/>
                <w:szCs w:val="21"/>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43,283</w:t>
            </w:r>
          </w:p>
        </w:tc>
        <w:tc>
          <w:tcPr>
            <w:tcW w:w="300" w:type="dxa"/>
            <w:vAlign w:val="bottom"/>
          </w:tcPr>
          <w:p>
            <w:pPr>
              <w:spacing w:after="0"/>
              <w:rPr>
                <w:sz w:val="21"/>
                <w:szCs w:val="21"/>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4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common stock award under the 2014 Equity Participation Plan of Civeo Corporation that vests in equal installments on each of the first four anniversaries of February 11, 2015.</w:t>
      </w:r>
    </w:p>
    <w:p>
      <w:pPr>
        <w:spacing w:after="0" w:line="49" w:lineRule="exact"/>
        <w:rPr>
          <w:rFonts w:ascii="Arial" w:cs="Arial" w:eastAsia="Arial" w:hAnsi="Arial"/>
          <w:sz w:val="13"/>
          <w:szCs w:val="13"/>
          <w:color w:val="008000"/>
        </w:rPr>
      </w:pPr>
    </w:p>
    <w:p>
      <w:pPr>
        <w:ind w:left="40" w:right="28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Phantom stock award under the 2014 Equity Participation Plan of Civeo Corporation that vests in equal installments on each of the first four anniversaries of February 11, 2015. Each share of phantom stock is the economic equivalent of one share of Civeo Corporation stock and is payable in cash.</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Vice President, Controller and Corporate Secretary</w:t>
      </w:r>
    </w:p>
    <w:p>
      <w:pPr>
        <w:ind w:left="6860"/>
        <w:spacing w:after="0" w:line="185" w:lineRule="auto"/>
        <w:rPr>
          <w:sz w:val="20"/>
          <w:szCs w:val="20"/>
          <w:color w:val="auto"/>
        </w:rPr>
      </w:pPr>
      <w:r>
        <w:rPr>
          <w:rFonts w:ascii="Arial" w:cs="Arial" w:eastAsia="Arial" w:hAnsi="Arial"/>
          <w:sz w:val="17"/>
          <w:szCs w:val="17"/>
          <w:color w:val="0000FF"/>
        </w:rPr>
        <w:t xml:space="preserve">/s/ Carolyn J. Stone, by Bradley </w:t>
      </w:r>
      <w:r>
        <w:rPr>
          <w:rFonts w:ascii="Arial" w:cs="Arial" w:eastAsia="Arial" w:hAnsi="Arial"/>
          <w:sz w:val="34"/>
          <w:szCs w:val="34"/>
          <w:color w:val="0000FF"/>
          <w:vertAlign w:val="subscript"/>
        </w:rPr>
        <w:t>02/19/2015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-27305</wp:posOffset>
            </wp:positionV>
            <wp:extent cx="13970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J. Dodson, as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-17145</wp:posOffset>
            </wp:positionV>
            <wp:extent cx="1348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8105" cy="8255"/>
                    </a:xfrm>
                    <a:prstGeom prst="rect">
                      <a:avLst/>
                    </a:prstGeom>
                    <a:noFill/>
                  </pic:spPr>
                </pic:pic>
              </a:graphicData>
            </a:graphic>
          </wp:anchor>
        </w:drawing>
        <w:drawing>
          <wp:anchor simplePos="0" relativeHeight="251657728" behindDoc="1" locked="0" layoutInCell="0" allowOverlap="1">
            <wp:simplePos x="0" y="0"/>
            <wp:positionH relativeFrom="column">
              <wp:posOffset>5811520</wp:posOffset>
            </wp:positionH>
            <wp:positionV relativeFrom="paragraph">
              <wp:posOffset>-85090</wp:posOffset>
            </wp:positionV>
            <wp:extent cx="4991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9110" cy="8255"/>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2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46748"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2019-12-24T07:22:45Z</dcterms:created>
  <dcterms:modified xsi:type="dcterms:W3CDTF">2019-12-24T07:22:45Z</dcterms:modified>
</cp:coreProperties>
</file>