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9"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6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5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34"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Date of Report (date of earliest event reported): May 14, 2015</w:t>
      </w:r>
    </w:p>
    <w:p>
      <w:pPr>
        <w:spacing w:after="0" w:line="25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CIVEO CORPORATION</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00"/>
          </w:cols>
          <w:pgMar w:left="240" w:top="220" w:right="359" w:bottom="1440" w:gutter="0" w:footer="0" w:header="0"/>
        </w:sectPr>
      </w:pPr>
    </w:p>
    <w:p>
      <w:pPr>
        <w:spacing w:after="0" w:line="205" w:lineRule="exact"/>
        <w:rPr>
          <w:sz w:val="24"/>
          <w:szCs w:val="24"/>
          <w:color w:val="auto"/>
        </w:rPr>
      </w:pPr>
    </w:p>
    <w:p>
      <w:pPr>
        <w:ind w:left="14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80"/>
        <w:spacing w:after="0"/>
        <w:rPr>
          <w:sz w:val="20"/>
          <w:szCs w:val="20"/>
          <w:color w:val="auto"/>
        </w:rPr>
      </w:pPr>
      <w:r>
        <w:rPr>
          <w:rFonts w:ascii="Arial" w:cs="Arial" w:eastAsia="Arial" w:hAnsi="Arial"/>
          <w:sz w:val="16"/>
          <w:szCs w:val="16"/>
          <w:b w:val="1"/>
          <w:bCs w:val="1"/>
          <w:color w:val="auto"/>
        </w:rPr>
        <w:t>1-36246</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46-3831207</w:t>
      </w:r>
    </w:p>
    <w:p>
      <w:pPr>
        <w:spacing w:after="0" w:line="200" w:lineRule="exact"/>
        <w:rPr>
          <w:sz w:val="24"/>
          <w:szCs w:val="24"/>
          <w:color w:val="auto"/>
        </w:rPr>
      </w:pPr>
    </w:p>
    <w:p>
      <w:pPr>
        <w:sectPr>
          <w:pgSz w:w="11900" w:h="16838" w:orient="portrait"/>
          <w:cols w:equalWidth="0" w:num="3">
            <w:col w:w="4680" w:space="720"/>
            <w:col w:w="3080" w:space="720"/>
            <w:col w:w="2100"/>
          </w:cols>
          <w:pgMar w:left="240" w:top="220" w:right="359" w:bottom="1440" w:gutter="0" w:footer="0" w:header="0"/>
          <w:type w:val="continuous"/>
        </w:sectPr>
      </w:pPr>
    </w:p>
    <w:p>
      <w:pPr>
        <w:spacing w:after="0" w:line="52" w:lineRule="exact"/>
        <w:rPr>
          <w:sz w:val="24"/>
          <w:szCs w:val="24"/>
          <w:color w:val="auto"/>
        </w:rPr>
      </w:pPr>
    </w:p>
    <w:p>
      <w:pPr>
        <w:ind w:left="700"/>
        <w:spacing w:after="0"/>
        <w:rPr>
          <w:sz w:val="20"/>
          <w:szCs w:val="20"/>
          <w:color w:val="auto"/>
        </w:rPr>
      </w:pPr>
      <w:r>
        <w:rPr>
          <w:rFonts w:ascii="Arial" w:cs="Arial" w:eastAsia="Arial" w:hAnsi="Arial"/>
          <w:sz w:val="16"/>
          <w:szCs w:val="16"/>
          <w:color w:val="auto"/>
        </w:rPr>
        <w:t>(State or Other Jurisdiction of</w:t>
      </w:r>
    </w:p>
    <w:p>
      <w:pPr>
        <w:spacing w:after="0" w:line="46"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jc w:val="center"/>
        <w:ind w:right="1280"/>
        <w:spacing w:after="0"/>
        <w:rPr>
          <w:sz w:val="20"/>
          <w:szCs w:val="20"/>
          <w:color w:val="auto"/>
        </w:rPr>
      </w:pPr>
      <w:r>
        <w:rPr>
          <w:rFonts w:ascii="Arial" w:cs="Arial" w:eastAsia="Arial" w:hAnsi="Arial"/>
          <w:sz w:val="16"/>
          <w:szCs w:val="16"/>
          <w:color w:val="auto"/>
        </w:rPr>
        <w:t>(Commission File</w:t>
      </w:r>
    </w:p>
    <w:p>
      <w:pPr>
        <w:spacing w:after="0" w:line="46" w:lineRule="exact"/>
        <w:rPr>
          <w:sz w:val="24"/>
          <w:szCs w:val="24"/>
          <w:color w:val="auto"/>
        </w:rPr>
      </w:pPr>
    </w:p>
    <w:p>
      <w:pPr>
        <w:jc w:val="center"/>
        <w:ind w:right="1280"/>
        <w:spacing w:after="0"/>
        <w:rPr>
          <w:sz w:val="20"/>
          <w:szCs w:val="20"/>
          <w:color w:val="auto"/>
        </w:rPr>
      </w:pPr>
      <w:r>
        <w:rPr>
          <w:rFonts w:ascii="Arial" w:cs="Arial" w:eastAsia="Arial" w:hAnsi="Arial"/>
          <w:sz w:val="18"/>
          <w:szCs w:val="18"/>
          <w:color w:val="auto"/>
        </w:rPr>
        <w:t>Number)</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(I.R.S. Employer Identification No.)</w:t>
      </w:r>
    </w:p>
    <w:p>
      <w:pPr>
        <w:spacing w:after="0" w:line="453" w:lineRule="exact"/>
        <w:rPr>
          <w:sz w:val="24"/>
          <w:szCs w:val="24"/>
          <w:color w:val="auto"/>
        </w:rPr>
      </w:pPr>
    </w:p>
    <w:p>
      <w:pPr>
        <w:sectPr>
          <w:pgSz w:w="11900" w:h="16838" w:orient="portrait"/>
          <w:cols w:equalWidth="0" w:num="3">
            <w:col w:w="4340" w:space="720"/>
            <w:col w:w="2560" w:space="720"/>
            <w:col w:w="2960"/>
          </w:cols>
          <w:pgMar w:left="240" w:top="220" w:right="359" w:bottom="1440" w:gutter="0" w:footer="0" w:header="0"/>
          <w:type w:val="continuous"/>
        </w:sectPr>
      </w:pPr>
    </w:p>
    <w:p>
      <w:pPr>
        <w:spacing w:after="0" w:line="7" w:lineRule="exact"/>
        <w:rPr>
          <w:sz w:val="24"/>
          <w:szCs w:val="24"/>
          <w:color w:val="auto"/>
        </w:rPr>
      </w:pPr>
    </w:p>
    <w:p>
      <w:pPr>
        <w:jc w:val="center"/>
        <w:ind w:right="2280"/>
        <w:spacing w:after="0"/>
        <w:rPr>
          <w:sz w:val="20"/>
          <w:szCs w:val="20"/>
          <w:color w:val="auto"/>
        </w:rPr>
      </w:pPr>
      <w:r>
        <w:rPr>
          <w:rFonts w:ascii="Arial" w:cs="Arial" w:eastAsia="Arial" w:hAnsi="Arial"/>
          <w:sz w:val="18"/>
          <w:szCs w:val="18"/>
          <w:b w:val="1"/>
          <w:bCs w:val="1"/>
          <w:color w:val="auto"/>
        </w:rPr>
        <w:t>Three Allen Center</w:t>
      </w:r>
    </w:p>
    <w:p>
      <w:pPr>
        <w:spacing w:after="0" w:line="27" w:lineRule="exact"/>
        <w:rPr>
          <w:sz w:val="24"/>
          <w:szCs w:val="24"/>
          <w:color w:val="auto"/>
        </w:rPr>
      </w:pPr>
    </w:p>
    <w:p>
      <w:pPr>
        <w:jc w:val="center"/>
        <w:ind w:right="2280"/>
        <w:spacing w:after="0"/>
        <w:rPr>
          <w:sz w:val="20"/>
          <w:szCs w:val="20"/>
          <w:color w:val="auto"/>
        </w:rPr>
      </w:pPr>
      <w:r>
        <w:rPr>
          <w:rFonts w:ascii="Arial" w:cs="Arial" w:eastAsia="Arial" w:hAnsi="Arial"/>
          <w:sz w:val="16"/>
          <w:szCs w:val="16"/>
          <w:b w:val="1"/>
          <w:bCs w:val="1"/>
          <w:color w:val="auto"/>
        </w:rPr>
        <w:t>333 Clay Street, Suite 4980</w:t>
      </w:r>
    </w:p>
    <w:p>
      <w:pPr>
        <w:spacing w:after="0" w:line="32" w:lineRule="exact"/>
        <w:rPr>
          <w:sz w:val="24"/>
          <w:szCs w:val="24"/>
          <w:color w:val="auto"/>
        </w:rPr>
      </w:pPr>
    </w:p>
    <w:p>
      <w:pPr>
        <w:jc w:val="center"/>
        <w:ind w:right="2280"/>
        <w:spacing w:after="0"/>
        <w:rPr>
          <w:sz w:val="20"/>
          <w:szCs w:val="20"/>
          <w:color w:val="auto"/>
        </w:rPr>
      </w:pPr>
      <w:r>
        <w:rPr>
          <w:rFonts w:ascii="Arial" w:cs="Arial" w:eastAsia="Arial" w:hAnsi="Arial"/>
          <w:sz w:val="18"/>
          <w:szCs w:val="18"/>
          <w:b w:val="1"/>
          <w:bCs w:val="1"/>
          <w:color w:val="auto"/>
        </w:rPr>
        <w:t>Houston, Texas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77002</w:t>
      </w:r>
    </w:p>
    <w:p>
      <w:pPr>
        <w:spacing w:after="0" w:line="241" w:lineRule="exact"/>
        <w:rPr>
          <w:sz w:val="24"/>
          <w:szCs w:val="24"/>
          <w:color w:val="auto"/>
        </w:rPr>
      </w:pPr>
    </w:p>
    <w:p>
      <w:pPr>
        <w:sectPr>
          <w:pgSz w:w="11900" w:h="16838" w:orient="portrait"/>
          <w:cols w:equalWidth="0" w:num="2">
            <w:col w:w="7740" w:space="720"/>
            <w:col w:w="2840"/>
          </w:cols>
          <w:pgMar w:left="240" w:top="220" w:right="359" w:bottom="1440" w:gutter="0" w:footer="0" w:header="0"/>
          <w:type w:val="continuous"/>
        </w:sectPr>
      </w:pPr>
    </w:p>
    <w:p>
      <w:pPr>
        <w:spacing w:after="0" w:line="11" w:lineRule="exact"/>
        <w:rPr>
          <w:sz w:val="24"/>
          <w:szCs w:val="24"/>
          <w:color w:val="auto"/>
        </w:rPr>
      </w:pPr>
    </w:p>
    <w:p>
      <w:pPr>
        <w:ind w:left="1260"/>
        <w:spacing w:after="0"/>
        <w:tabs>
          <w:tab w:leader="none" w:pos="8280" w:val="left"/>
        </w:tabs>
        <w:rPr>
          <w:sz w:val="20"/>
          <w:szCs w:val="20"/>
          <w:color w:val="auto"/>
        </w:rPr>
      </w:pPr>
      <w:r>
        <w:rPr>
          <w:rFonts w:ascii="Arial" w:cs="Arial" w:eastAsia="Arial" w:hAnsi="Arial"/>
          <w:sz w:val="18"/>
          <w:szCs w:val="18"/>
          <w:color w:val="auto"/>
        </w:rPr>
        <w:t>(Address of Principal Executive Offices)</w:t>
      </w:r>
      <w:r>
        <w:rPr>
          <w:sz w:val="20"/>
          <w:szCs w:val="20"/>
          <w:color w:val="auto"/>
        </w:rPr>
        <w:tab/>
      </w:r>
      <w:r>
        <w:rPr>
          <w:rFonts w:ascii="Arial" w:cs="Arial" w:eastAsia="Arial" w:hAnsi="Arial"/>
          <w:sz w:val="16"/>
          <w:szCs w:val="16"/>
          <w:color w:val="auto"/>
        </w:rPr>
        <w:t>(Zip Code)</w:t>
      </w:r>
    </w:p>
    <w:p>
      <w:pPr>
        <w:sectPr>
          <w:pgSz w:w="11900" w:h="16838" w:orient="portrait"/>
          <w:cols w:equalWidth="0" w:num="1">
            <w:col w:w="11300"/>
          </w:cols>
          <w:pgMar w:left="240" w:top="220" w:right="35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5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40" w:hanging="532"/>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00"/>
          </w:cols>
          <w:pgMar w:left="240" w:top="220" w:right="359" w:bottom="1440" w:gutter="0" w:footer="0" w:header="0"/>
          <w:type w:val="continuous"/>
        </w:sectPr>
      </w:pPr>
    </w:p>
    <w:bookmarkStart w:id="1" w:name="page2"/>
    <w:bookmarkEnd w:id="1"/>
    <w:p>
      <w:pPr>
        <w:spacing w:after="0"/>
        <w:tabs>
          <w:tab w:leader="none" w:pos="106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56"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The 2015 Annual Meeting of Stockholders (the “Annual Meeting”) of Civeo Corporation (the “Company”) was held on May 14, 2015. At the Annual Meeting, the stockholders of the Company (i) approved the adoption of the merger agreement among the Company, Civeo Canadian Holdings ULC and Civeo US Merger Co, (ii) elected two Class I nominees to the Board of Directors, (iii) ratified the appointment of Ernst &amp; Young LLP as the Company’s independent registered public accounting firm for 2015, (iv) voted, on an advisory basis, in favor of the compensation of the named executive officers and (v) recommended, on an advisory basis, a frequency of one year on the advisory vote on compensation of the named executive officers. The adjournment proposal was not acted upon at the Annual Meeting. The proposals related to each matter are described in detail in the Company’s definitive proxy statement/prospectus on Schedule 14A filed with the Securities and Exchange Commission (the “SEC”) on April 8, 2015. The voting results for each proposal are as follows: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1. To approve the adoption of the merger agreement among the Company, Civeo Canadian Holdings ULC and Civeo US Merger Co:</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6"/>
              </w:rPr>
              <w:t>For</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3"/>
          </w:tcPr>
          <w:p>
            <w:pPr>
              <w:jc w:val="center"/>
              <w:ind w:right="500"/>
              <w:spacing w:after="0"/>
              <w:rPr>
                <w:sz w:val="20"/>
                <w:szCs w:val="20"/>
                <w:color w:val="auto"/>
              </w:rPr>
            </w:pPr>
            <w:r>
              <w:rPr>
                <w:rFonts w:ascii="Arial" w:cs="Arial" w:eastAsia="Arial" w:hAnsi="Arial"/>
                <w:sz w:val="18"/>
                <w:szCs w:val="18"/>
                <w:b w:val="1"/>
                <w:bCs w:val="1"/>
                <w:color w:val="auto"/>
                <w:w w:val="90"/>
              </w:rPr>
              <w:t>Against</w:t>
            </w:r>
          </w:p>
        </w:tc>
        <w:tc>
          <w:tcPr>
            <w:tcW w:w="480" w:type="dxa"/>
            <w:vAlign w:val="bottom"/>
            <w:gridSpan w:val="3"/>
          </w:tcPr>
          <w:p>
            <w:pPr>
              <w:spacing w:after="0"/>
              <w:rPr>
                <w:sz w:val="20"/>
                <w:szCs w:val="20"/>
                <w:color w:val="auto"/>
              </w:rPr>
            </w:pPr>
          </w:p>
        </w:tc>
        <w:tc>
          <w:tcPr>
            <w:tcW w:w="280" w:type="dxa"/>
            <w:vAlign w:val="bottom"/>
            <w:tcBorders>
              <w:bottom w:val="single" w:sz="8" w:color="auto"/>
            </w:tcBorders>
            <w:gridSpan w:val="2"/>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5"/>
          </w:tcPr>
          <w:p>
            <w:pPr>
              <w:ind w:left="280"/>
              <w:spacing w:after="0"/>
              <w:rPr>
                <w:sz w:val="20"/>
                <w:szCs w:val="20"/>
                <w:color w:val="auto"/>
              </w:rPr>
            </w:pPr>
            <w:r>
              <w:rPr>
                <w:rFonts w:ascii="Arial" w:cs="Arial" w:eastAsia="Arial" w:hAnsi="Arial"/>
                <w:sz w:val="18"/>
                <w:szCs w:val="18"/>
                <w:b w:val="1"/>
                <w:bCs w:val="1"/>
                <w:color w:val="auto"/>
              </w:rPr>
              <w:t>Abstain</w:t>
            </w:r>
          </w:p>
        </w:tc>
        <w:tc>
          <w:tcPr>
            <w:tcW w:w="2260" w:type="dxa"/>
            <w:vAlign w:val="bottom"/>
            <w:tcBorders>
              <w:bottom w:val="single" w:sz="8" w:color="auto"/>
            </w:tcBorders>
          </w:tcPr>
          <w:p>
            <w:pPr>
              <w:jc w:val="center"/>
              <w:ind w:right="710"/>
              <w:spacing w:after="0"/>
              <w:rPr>
                <w:sz w:val="20"/>
                <w:szCs w:val="20"/>
                <w:color w:val="auto"/>
              </w:rPr>
            </w:pPr>
            <w:r>
              <w:rPr>
                <w:rFonts w:ascii="Arial" w:cs="Arial" w:eastAsia="Arial" w:hAnsi="Arial"/>
                <w:sz w:val="18"/>
                <w:szCs w:val="18"/>
                <w:b w:val="1"/>
                <w:bCs w:val="1"/>
                <w:color w:val="auto"/>
                <w:w w:val="90"/>
              </w:rPr>
              <w:t>Broker Non-Votes</w:t>
            </w:r>
          </w:p>
        </w:tc>
      </w:tr>
      <w:tr>
        <w:trPr>
          <w:trHeight w:val="210"/>
        </w:trPr>
        <w:tc>
          <w:tcPr>
            <w:tcW w:w="160" w:type="dxa"/>
            <w:vAlign w:val="bottom"/>
            <w:shd w:val="clear" w:color="auto" w:fill="CCEEFF"/>
          </w:tcPr>
          <w:p>
            <w:pPr>
              <w:spacing w:after="0"/>
              <w:rPr>
                <w:sz w:val="18"/>
                <w:szCs w:val="18"/>
                <w:color w:val="auto"/>
              </w:rPr>
            </w:pPr>
          </w:p>
        </w:tc>
        <w:tc>
          <w:tcPr>
            <w:tcW w:w="206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0"/>
              </w:rPr>
              <w:t>69,027,886</w:t>
            </w:r>
          </w:p>
        </w:tc>
        <w:tc>
          <w:tcPr>
            <w:tcW w:w="2820" w:type="dxa"/>
            <w:vAlign w:val="bottom"/>
            <w:gridSpan w:val="7"/>
            <w:shd w:val="clear" w:color="auto" w:fill="CCEEFF"/>
          </w:tcPr>
          <w:p>
            <w:pPr>
              <w:jc w:val="right"/>
              <w:ind w:right="710"/>
              <w:spacing w:after="0"/>
              <w:rPr>
                <w:sz w:val="20"/>
                <w:szCs w:val="20"/>
                <w:color w:val="auto"/>
              </w:rPr>
            </w:pPr>
            <w:r>
              <w:rPr>
                <w:rFonts w:ascii="Arial" w:cs="Arial" w:eastAsia="Arial" w:hAnsi="Arial"/>
                <w:sz w:val="18"/>
                <w:szCs w:val="18"/>
                <w:color w:val="auto"/>
              </w:rPr>
              <w:t>135,017</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16,869</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60" w:type="dxa"/>
            <w:vAlign w:val="bottom"/>
            <w:shd w:val="clear" w:color="auto" w:fill="CCEEFF"/>
          </w:tcPr>
          <w:p>
            <w:pPr>
              <w:jc w:val="center"/>
              <w:ind w:right="710"/>
              <w:spacing w:after="0"/>
              <w:rPr>
                <w:sz w:val="20"/>
                <w:szCs w:val="20"/>
                <w:color w:val="auto"/>
              </w:rPr>
            </w:pPr>
            <w:r>
              <w:rPr>
                <w:rFonts w:ascii="Arial" w:cs="Arial" w:eastAsia="Arial" w:hAnsi="Arial"/>
                <w:sz w:val="18"/>
                <w:szCs w:val="18"/>
                <w:color w:val="auto"/>
                <w:w w:val="90"/>
              </w:rPr>
              <w:t>24,276,340</w:t>
            </w:r>
          </w:p>
        </w:tc>
      </w:tr>
      <w:tr>
        <w:trPr>
          <w:trHeight w:val="432"/>
        </w:trPr>
        <w:tc>
          <w:tcPr>
            <w:tcW w:w="160" w:type="dxa"/>
            <w:vAlign w:val="bottom"/>
          </w:tcPr>
          <w:p>
            <w:pPr>
              <w:spacing w:after="0"/>
              <w:rPr>
                <w:sz w:val="20"/>
                <w:szCs w:val="20"/>
                <w:color w:val="auto"/>
              </w:rPr>
            </w:pPr>
            <w:r>
              <w:rPr>
                <w:rFonts w:ascii="Arial" w:cs="Arial" w:eastAsia="Arial" w:hAnsi="Arial"/>
                <w:sz w:val="18"/>
                <w:szCs w:val="18"/>
                <w:color w:val="auto"/>
                <w:w w:val="92"/>
              </w:rPr>
              <w:t>2.</w:t>
            </w:r>
          </w:p>
        </w:tc>
        <w:tc>
          <w:tcPr>
            <w:tcW w:w="5980" w:type="dxa"/>
            <w:vAlign w:val="bottom"/>
            <w:gridSpan w:val="15"/>
          </w:tcPr>
          <w:p>
            <w:pPr>
              <w:ind w:left="20"/>
              <w:spacing w:after="0"/>
              <w:rPr>
                <w:sz w:val="20"/>
                <w:szCs w:val="20"/>
                <w:color w:val="auto"/>
              </w:rPr>
            </w:pPr>
            <w:r>
              <w:rPr>
                <w:rFonts w:ascii="Arial" w:cs="Arial" w:eastAsia="Arial" w:hAnsi="Arial"/>
                <w:sz w:val="18"/>
                <w:szCs w:val="18"/>
                <w:color w:val="auto"/>
              </w:rPr>
              <w:t>To elect the two Class I nominees to the Board of Directors:</w:t>
            </w: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32"/>
        </w:trPr>
        <w:tc>
          <w:tcPr>
            <w:tcW w:w="1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6"/>
              </w:rPr>
              <w:t>For</w:t>
            </w:r>
          </w:p>
        </w:tc>
        <w:tc>
          <w:tcPr>
            <w:tcW w:w="300" w:type="dxa"/>
            <w:vAlign w:val="bottom"/>
          </w:tcPr>
          <w:p>
            <w:pPr>
              <w:spacing w:after="0"/>
              <w:rPr>
                <w:sz w:val="24"/>
                <w:szCs w:val="24"/>
                <w:color w:val="auto"/>
              </w:rPr>
            </w:pPr>
          </w:p>
        </w:tc>
        <w:tc>
          <w:tcPr>
            <w:tcW w:w="800" w:type="dxa"/>
            <w:vAlign w:val="bottom"/>
            <w:tcBorders>
              <w:bottom w:val="single" w:sz="8" w:color="auto"/>
            </w:tcBorders>
            <w:gridSpan w:val="6"/>
          </w:tcPr>
          <w:p>
            <w:pPr>
              <w:spacing w:after="0"/>
              <w:rPr>
                <w:sz w:val="24"/>
                <w:szCs w:val="24"/>
                <w:color w:val="auto"/>
              </w:rPr>
            </w:pPr>
          </w:p>
        </w:tc>
        <w:tc>
          <w:tcPr>
            <w:tcW w:w="1820" w:type="dxa"/>
            <w:vAlign w:val="bottom"/>
            <w:tcBorders>
              <w:bottom w:val="single" w:sz="8" w:color="auto"/>
            </w:tcBorders>
            <w:gridSpan w:val="2"/>
          </w:tcPr>
          <w:p>
            <w:pPr>
              <w:jc w:val="right"/>
              <w:ind w:right="870"/>
              <w:spacing w:after="0"/>
              <w:rPr>
                <w:sz w:val="20"/>
                <w:szCs w:val="20"/>
                <w:color w:val="auto"/>
              </w:rPr>
            </w:pPr>
            <w:r>
              <w:rPr>
                <w:rFonts w:ascii="Arial" w:cs="Arial" w:eastAsia="Arial" w:hAnsi="Arial"/>
                <w:sz w:val="18"/>
                <w:szCs w:val="18"/>
                <w:b w:val="1"/>
                <w:bCs w:val="1"/>
                <w:color w:val="auto"/>
              </w:rPr>
              <w:t>Withheld</w:t>
            </w:r>
          </w:p>
        </w:tc>
        <w:tc>
          <w:tcPr>
            <w:tcW w:w="620" w:type="dxa"/>
            <w:vAlign w:val="bottom"/>
            <w:gridSpan w:val="2"/>
          </w:tcPr>
          <w:p>
            <w:pPr>
              <w:spacing w:after="0"/>
              <w:rPr>
                <w:sz w:val="24"/>
                <w:szCs w:val="24"/>
                <w:color w:val="auto"/>
              </w:rPr>
            </w:pPr>
          </w:p>
        </w:tc>
        <w:tc>
          <w:tcPr>
            <w:tcW w:w="580" w:type="dxa"/>
            <w:vAlign w:val="bottom"/>
            <w:tcBorders>
              <w:bottom w:val="single" w:sz="8" w:color="auto"/>
            </w:tcBorders>
            <w:gridSpan w:val="2"/>
          </w:tcPr>
          <w:p>
            <w:pPr>
              <w:spacing w:after="0"/>
              <w:rPr>
                <w:sz w:val="24"/>
                <w:szCs w:val="24"/>
                <w:color w:val="auto"/>
              </w:rPr>
            </w:pPr>
          </w:p>
        </w:tc>
        <w:tc>
          <w:tcPr>
            <w:tcW w:w="226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Broker Non-Votes</w:t>
            </w:r>
          </w:p>
        </w:tc>
      </w:tr>
      <w:tr>
        <w:trPr>
          <w:trHeight w:val="210"/>
        </w:trPr>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 Ronald Blankenship</w:t>
            </w:r>
          </w:p>
        </w:tc>
        <w:tc>
          <w:tcPr>
            <w:tcW w:w="282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68,841,539</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338,233</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60" w:type="dxa"/>
            <w:vAlign w:val="bottom"/>
            <w:shd w:val="clear" w:color="auto" w:fill="CCEEFF"/>
          </w:tcPr>
          <w:p>
            <w:pPr>
              <w:ind w:left="900"/>
              <w:spacing w:after="0"/>
              <w:rPr>
                <w:sz w:val="20"/>
                <w:szCs w:val="20"/>
                <w:color w:val="auto"/>
              </w:rPr>
            </w:pPr>
            <w:r>
              <w:rPr>
                <w:rFonts w:ascii="Arial" w:cs="Arial" w:eastAsia="Arial" w:hAnsi="Arial"/>
                <w:sz w:val="18"/>
                <w:szCs w:val="18"/>
                <w:color w:val="auto"/>
              </w:rPr>
              <w:t>24,276,340</w:t>
            </w:r>
          </w:p>
        </w:tc>
      </w:tr>
      <w:tr>
        <w:trPr>
          <w:trHeight w:val="230"/>
        </w:trPr>
        <w:tc>
          <w:tcPr>
            <w:tcW w:w="2220" w:type="dxa"/>
            <w:vAlign w:val="bottom"/>
            <w:gridSpan w:val="2"/>
          </w:tcPr>
          <w:p>
            <w:pPr>
              <w:spacing w:after="0"/>
              <w:rPr>
                <w:sz w:val="20"/>
                <w:szCs w:val="20"/>
                <w:color w:val="auto"/>
              </w:rPr>
            </w:pPr>
            <w:r>
              <w:rPr>
                <w:rFonts w:ascii="Arial" w:cs="Arial" w:eastAsia="Arial" w:hAnsi="Arial"/>
                <w:sz w:val="18"/>
                <w:szCs w:val="18"/>
                <w:color w:val="auto"/>
              </w:rPr>
              <w:t>Charles Szalkowski</w:t>
            </w:r>
          </w:p>
        </w:tc>
        <w:tc>
          <w:tcPr>
            <w:tcW w:w="2820" w:type="dxa"/>
            <w:vAlign w:val="bottom"/>
            <w:gridSpan w:val="7"/>
          </w:tcPr>
          <w:p>
            <w:pPr>
              <w:jc w:val="right"/>
              <w:spacing w:after="0"/>
              <w:rPr>
                <w:sz w:val="20"/>
                <w:szCs w:val="20"/>
                <w:color w:val="auto"/>
              </w:rPr>
            </w:pPr>
            <w:r>
              <w:rPr>
                <w:rFonts w:ascii="Arial" w:cs="Arial" w:eastAsia="Arial" w:hAnsi="Arial"/>
                <w:sz w:val="18"/>
                <w:szCs w:val="18"/>
                <w:color w:val="auto"/>
              </w:rPr>
              <w:t>67,763,938</w:t>
            </w: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1,415,834</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60" w:type="dxa"/>
            <w:vAlign w:val="bottom"/>
          </w:tcPr>
          <w:p>
            <w:pPr>
              <w:ind w:left="900"/>
              <w:spacing w:after="0"/>
              <w:rPr>
                <w:sz w:val="20"/>
                <w:szCs w:val="20"/>
                <w:color w:val="auto"/>
              </w:rPr>
            </w:pPr>
            <w:r>
              <w:rPr>
                <w:rFonts w:ascii="Arial" w:cs="Arial" w:eastAsia="Arial" w:hAnsi="Arial"/>
                <w:sz w:val="18"/>
                <w:szCs w:val="18"/>
                <w:color w:val="auto"/>
              </w:rPr>
              <w:t>24,276,340</w:t>
            </w:r>
          </w:p>
        </w:tc>
      </w:tr>
      <w:tr>
        <w:trPr>
          <w:trHeight w:val="418"/>
        </w:trPr>
        <w:tc>
          <w:tcPr>
            <w:tcW w:w="160" w:type="dxa"/>
            <w:vAlign w:val="bottom"/>
          </w:tcPr>
          <w:p>
            <w:pPr>
              <w:spacing w:after="0"/>
              <w:rPr>
                <w:sz w:val="20"/>
                <w:szCs w:val="20"/>
                <w:color w:val="auto"/>
              </w:rPr>
            </w:pPr>
            <w:r>
              <w:rPr>
                <w:rFonts w:ascii="Arial" w:cs="Arial" w:eastAsia="Arial" w:hAnsi="Arial"/>
                <w:sz w:val="18"/>
                <w:szCs w:val="18"/>
                <w:color w:val="auto"/>
                <w:w w:val="92"/>
              </w:rPr>
              <w:t>3.</w:t>
            </w:r>
          </w:p>
        </w:tc>
        <w:tc>
          <w:tcPr>
            <w:tcW w:w="9000" w:type="dxa"/>
            <w:vAlign w:val="bottom"/>
            <w:gridSpan w:val="21"/>
          </w:tcPr>
          <w:p>
            <w:pPr>
              <w:ind w:left="20"/>
              <w:spacing w:after="0"/>
              <w:rPr>
                <w:sz w:val="20"/>
                <w:szCs w:val="20"/>
                <w:color w:val="auto"/>
              </w:rPr>
            </w:pPr>
            <w:r>
              <w:rPr>
                <w:rFonts w:ascii="Arial" w:cs="Arial" w:eastAsia="Arial" w:hAnsi="Arial"/>
                <w:sz w:val="18"/>
                <w:szCs w:val="18"/>
                <w:color w:val="auto"/>
                <w:w w:val="92"/>
              </w:rPr>
              <w:t>To ratify the appointment of Ernst &amp; Young LLP as the Company’s independent registered public accounting firm for 2015:</w:t>
            </w:r>
          </w:p>
        </w:tc>
        <w:tc>
          <w:tcPr>
            <w:tcW w:w="2260" w:type="dxa"/>
            <w:vAlign w:val="bottom"/>
          </w:tcPr>
          <w:p>
            <w:pPr>
              <w:spacing w:after="0"/>
              <w:rPr>
                <w:sz w:val="24"/>
                <w:szCs w:val="24"/>
                <w:color w:val="auto"/>
              </w:rPr>
            </w:pPr>
          </w:p>
        </w:tc>
      </w:tr>
      <w:tr>
        <w:trPr>
          <w:trHeight w:val="432"/>
        </w:trPr>
        <w:tc>
          <w:tcPr>
            <w:tcW w:w="1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For</w:t>
            </w:r>
          </w:p>
        </w:tc>
        <w:tc>
          <w:tcPr>
            <w:tcW w:w="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5"/>
          </w:tcPr>
          <w:p>
            <w:pPr>
              <w:ind w:left="960"/>
              <w:spacing w:after="0"/>
              <w:rPr>
                <w:sz w:val="20"/>
                <w:szCs w:val="20"/>
                <w:color w:val="auto"/>
              </w:rPr>
            </w:pPr>
            <w:r>
              <w:rPr>
                <w:rFonts w:ascii="Arial" w:cs="Arial" w:eastAsia="Arial" w:hAnsi="Arial"/>
                <w:sz w:val="18"/>
                <w:szCs w:val="18"/>
                <w:b w:val="1"/>
                <w:bCs w:val="1"/>
                <w:color w:val="auto"/>
              </w:rPr>
              <w:t>Against</w:t>
            </w:r>
          </w:p>
        </w:tc>
        <w:tc>
          <w:tcPr>
            <w:tcW w:w="340" w:type="dxa"/>
            <w:vAlign w:val="bottom"/>
            <w:gridSpan w:val="3"/>
          </w:tcPr>
          <w:p>
            <w:pPr>
              <w:spacing w:after="0"/>
              <w:rPr>
                <w:sz w:val="24"/>
                <w:szCs w:val="24"/>
                <w:color w:val="auto"/>
              </w:rPr>
            </w:pPr>
          </w:p>
        </w:tc>
        <w:tc>
          <w:tcPr>
            <w:tcW w:w="160" w:type="dxa"/>
            <w:vAlign w:val="bottom"/>
          </w:tcPr>
          <w:p>
            <w:pPr>
              <w:spacing w:after="0"/>
              <w:rPr>
                <w:sz w:val="24"/>
                <w:szCs w:val="24"/>
                <w:color w:val="auto"/>
              </w:rPr>
            </w:pPr>
          </w:p>
        </w:tc>
        <w:tc>
          <w:tcPr>
            <w:tcW w:w="2860" w:type="dxa"/>
            <w:vAlign w:val="bottom"/>
            <w:tcBorders>
              <w:bottom w:val="single" w:sz="8" w:color="auto"/>
            </w:tcBorders>
            <w:gridSpan w:val="5"/>
          </w:tcPr>
          <w:p>
            <w:pPr>
              <w:ind w:left="800"/>
              <w:spacing w:after="0"/>
              <w:rPr>
                <w:sz w:val="20"/>
                <w:szCs w:val="20"/>
                <w:color w:val="auto"/>
              </w:rPr>
            </w:pPr>
            <w:r>
              <w:rPr>
                <w:rFonts w:ascii="Arial" w:cs="Arial" w:eastAsia="Arial" w:hAnsi="Arial"/>
                <w:sz w:val="18"/>
                <w:szCs w:val="18"/>
                <w:b w:val="1"/>
                <w:bCs w:val="1"/>
                <w:color w:val="auto"/>
              </w:rPr>
              <w:t>Abstain</w:t>
            </w:r>
          </w:p>
        </w:tc>
        <w:tc>
          <w:tcPr>
            <w:tcW w:w="226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90"/>
              </w:rPr>
              <w:t>Broker Non-Votes</w:t>
            </w:r>
          </w:p>
        </w:tc>
      </w:tr>
      <w:tr>
        <w:trPr>
          <w:trHeight w:val="210"/>
        </w:trPr>
        <w:tc>
          <w:tcPr>
            <w:tcW w:w="160" w:type="dxa"/>
            <w:vAlign w:val="bottom"/>
            <w:shd w:val="clear" w:color="auto" w:fill="CCEEFF"/>
          </w:tcPr>
          <w:p>
            <w:pPr>
              <w:spacing w:after="0"/>
              <w:rPr>
                <w:sz w:val="18"/>
                <w:szCs w:val="18"/>
                <w:color w:val="auto"/>
              </w:rPr>
            </w:pP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90,869,136</w:t>
            </w:r>
          </w:p>
        </w:tc>
        <w:tc>
          <w:tcPr>
            <w:tcW w:w="2820" w:type="dxa"/>
            <w:vAlign w:val="bottom"/>
            <w:gridSpan w:val="7"/>
            <w:shd w:val="clear" w:color="auto" w:fill="CCEEFF"/>
          </w:tcPr>
          <w:p>
            <w:pPr>
              <w:jc w:val="right"/>
              <w:ind w:right="330"/>
              <w:spacing w:after="0"/>
              <w:rPr>
                <w:sz w:val="20"/>
                <w:szCs w:val="20"/>
                <w:color w:val="auto"/>
              </w:rPr>
            </w:pPr>
            <w:r>
              <w:rPr>
                <w:rFonts w:ascii="Arial" w:cs="Arial" w:eastAsia="Arial" w:hAnsi="Arial"/>
                <w:sz w:val="18"/>
                <w:szCs w:val="18"/>
                <w:color w:val="auto"/>
              </w:rPr>
              <w:t>1,795,375</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791,601</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6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r>
      <w:tr>
        <w:trPr>
          <w:trHeight w:val="432"/>
        </w:trPr>
        <w:tc>
          <w:tcPr>
            <w:tcW w:w="160" w:type="dxa"/>
            <w:vAlign w:val="bottom"/>
          </w:tcPr>
          <w:p>
            <w:pPr>
              <w:spacing w:after="0"/>
              <w:rPr>
                <w:sz w:val="20"/>
                <w:szCs w:val="20"/>
                <w:color w:val="auto"/>
              </w:rPr>
            </w:pPr>
            <w:r>
              <w:rPr>
                <w:rFonts w:ascii="Arial" w:cs="Arial" w:eastAsia="Arial" w:hAnsi="Arial"/>
                <w:sz w:val="18"/>
                <w:szCs w:val="18"/>
                <w:color w:val="auto"/>
                <w:w w:val="92"/>
              </w:rPr>
              <w:t>4.</w:t>
            </w:r>
          </w:p>
        </w:tc>
        <w:tc>
          <w:tcPr>
            <w:tcW w:w="5980" w:type="dxa"/>
            <w:vAlign w:val="bottom"/>
            <w:gridSpan w:val="15"/>
          </w:tcPr>
          <w:p>
            <w:pPr>
              <w:ind w:left="20"/>
              <w:spacing w:after="0"/>
              <w:rPr>
                <w:sz w:val="20"/>
                <w:szCs w:val="20"/>
                <w:color w:val="auto"/>
              </w:rPr>
            </w:pPr>
            <w:r>
              <w:rPr>
                <w:rFonts w:ascii="Arial" w:cs="Arial" w:eastAsia="Arial" w:hAnsi="Arial"/>
                <w:sz w:val="18"/>
                <w:szCs w:val="18"/>
                <w:color w:val="auto"/>
                <w:w w:val="91"/>
              </w:rPr>
              <w:t>To approve, on an advisory basis, the compensation of named executive officers:</w:t>
            </w: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32"/>
        </w:trPr>
        <w:tc>
          <w:tcPr>
            <w:tcW w:w="1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6"/>
              </w:rPr>
              <w:t>For</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3"/>
          </w:tcPr>
          <w:p>
            <w:pPr>
              <w:jc w:val="center"/>
              <w:ind w:right="500"/>
              <w:spacing w:after="0"/>
              <w:rPr>
                <w:sz w:val="20"/>
                <w:szCs w:val="20"/>
                <w:color w:val="auto"/>
              </w:rPr>
            </w:pPr>
            <w:r>
              <w:rPr>
                <w:rFonts w:ascii="Arial" w:cs="Arial" w:eastAsia="Arial" w:hAnsi="Arial"/>
                <w:sz w:val="18"/>
                <w:szCs w:val="18"/>
                <w:b w:val="1"/>
                <w:bCs w:val="1"/>
                <w:color w:val="auto"/>
                <w:w w:val="90"/>
              </w:rPr>
              <w:t>Against</w:t>
            </w:r>
          </w:p>
        </w:tc>
        <w:tc>
          <w:tcPr>
            <w:tcW w:w="480" w:type="dxa"/>
            <w:vAlign w:val="bottom"/>
            <w:gridSpan w:val="3"/>
          </w:tcPr>
          <w:p>
            <w:pPr>
              <w:spacing w:after="0"/>
              <w:rPr>
                <w:sz w:val="24"/>
                <w:szCs w:val="24"/>
                <w:color w:val="auto"/>
              </w:rPr>
            </w:pPr>
          </w:p>
        </w:tc>
        <w:tc>
          <w:tcPr>
            <w:tcW w:w="280" w:type="dxa"/>
            <w:vAlign w:val="bottom"/>
            <w:tcBorders>
              <w:bottom w:val="single" w:sz="8" w:color="auto"/>
            </w:tcBorders>
            <w:gridSpan w:val="2"/>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5"/>
          </w:tcPr>
          <w:p>
            <w:pPr>
              <w:ind w:left="280"/>
              <w:spacing w:after="0"/>
              <w:rPr>
                <w:sz w:val="20"/>
                <w:szCs w:val="20"/>
                <w:color w:val="auto"/>
              </w:rPr>
            </w:pPr>
            <w:r>
              <w:rPr>
                <w:rFonts w:ascii="Arial" w:cs="Arial" w:eastAsia="Arial" w:hAnsi="Arial"/>
                <w:sz w:val="18"/>
                <w:szCs w:val="18"/>
                <w:b w:val="1"/>
                <w:bCs w:val="1"/>
                <w:color w:val="auto"/>
              </w:rPr>
              <w:t>Abstain</w:t>
            </w:r>
          </w:p>
        </w:tc>
        <w:tc>
          <w:tcPr>
            <w:tcW w:w="2260" w:type="dxa"/>
            <w:vAlign w:val="bottom"/>
            <w:tcBorders>
              <w:bottom w:val="single" w:sz="8" w:color="auto"/>
            </w:tcBorders>
          </w:tcPr>
          <w:p>
            <w:pPr>
              <w:jc w:val="center"/>
              <w:ind w:right="710"/>
              <w:spacing w:after="0"/>
              <w:rPr>
                <w:sz w:val="20"/>
                <w:szCs w:val="20"/>
                <w:color w:val="auto"/>
              </w:rPr>
            </w:pPr>
            <w:r>
              <w:rPr>
                <w:rFonts w:ascii="Arial" w:cs="Arial" w:eastAsia="Arial" w:hAnsi="Arial"/>
                <w:sz w:val="18"/>
                <w:szCs w:val="18"/>
                <w:b w:val="1"/>
                <w:bCs w:val="1"/>
                <w:color w:val="auto"/>
                <w:w w:val="90"/>
              </w:rPr>
              <w:t>Broker Non-Votes</w:t>
            </w:r>
          </w:p>
        </w:tc>
      </w:tr>
      <w:tr>
        <w:trPr>
          <w:trHeight w:val="210"/>
        </w:trPr>
        <w:tc>
          <w:tcPr>
            <w:tcW w:w="160" w:type="dxa"/>
            <w:vAlign w:val="bottom"/>
            <w:shd w:val="clear" w:color="auto" w:fill="CCEEFF"/>
          </w:tcPr>
          <w:p>
            <w:pPr>
              <w:spacing w:after="0"/>
              <w:rPr>
                <w:sz w:val="18"/>
                <w:szCs w:val="18"/>
                <w:color w:val="auto"/>
              </w:rPr>
            </w:pPr>
          </w:p>
        </w:tc>
        <w:tc>
          <w:tcPr>
            <w:tcW w:w="206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0"/>
              </w:rPr>
              <w:t>66,162,726</w:t>
            </w:r>
          </w:p>
        </w:tc>
        <w:tc>
          <w:tcPr>
            <w:tcW w:w="2820" w:type="dxa"/>
            <w:vAlign w:val="bottom"/>
            <w:gridSpan w:val="7"/>
            <w:shd w:val="clear" w:color="auto" w:fill="CCEEFF"/>
          </w:tcPr>
          <w:p>
            <w:pPr>
              <w:jc w:val="right"/>
              <w:ind w:right="650"/>
              <w:spacing w:after="0"/>
              <w:rPr>
                <w:sz w:val="20"/>
                <w:szCs w:val="20"/>
                <w:color w:val="auto"/>
              </w:rPr>
            </w:pPr>
            <w:r>
              <w:rPr>
                <w:rFonts w:ascii="Arial" w:cs="Arial" w:eastAsia="Arial" w:hAnsi="Arial"/>
                <w:sz w:val="18"/>
                <w:szCs w:val="18"/>
                <w:color w:val="auto"/>
              </w:rPr>
              <w:t>2,868,795</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148,251</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60" w:type="dxa"/>
            <w:vAlign w:val="bottom"/>
            <w:shd w:val="clear" w:color="auto" w:fill="CCEEFF"/>
          </w:tcPr>
          <w:p>
            <w:pPr>
              <w:jc w:val="center"/>
              <w:ind w:right="710"/>
              <w:spacing w:after="0"/>
              <w:rPr>
                <w:sz w:val="20"/>
                <w:szCs w:val="20"/>
                <w:color w:val="auto"/>
              </w:rPr>
            </w:pPr>
            <w:r>
              <w:rPr>
                <w:rFonts w:ascii="Arial" w:cs="Arial" w:eastAsia="Arial" w:hAnsi="Arial"/>
                <w:sz w:val="18"/>
                <w:szCs w:val="18"/>
                <w:color w:val="auto"/>
                <w:w w:val="90"/>
              </w:rPr>
              <w:t>24,276,340</w:t>
            </w:r>
          </w:p>
        </w:tc>
      </w:tr>
      <w:tr>
        <w:trPr>
          <w:trHeight w:val="432"/>
        </w:trPr>
        <w:tc>
          <w:tcPr>
            <w:tcW w:w="160" w:type="dxa"/>
            <w:vAlign w:val="bottom"/>
          </w:tcPr>
          <w:p>
            <w:pPr>
              <w:spacing w:after="0"/>
              <w:rPr>
                <w:sz w:val="20"/>
                <w:szCs w:val="20"/>
                <w:color w:val="auto"/>
              </w:rPr>
            </w:pPr>
            <w:r>
              <w:rPr>
                <w:rFonts w:ascii="Arial" w:cs="Arial" w:eastAsia="Arial" w:hAnsi="Arial"/>
                <w:sz w:val="18"/>
                <w:szCs w:val="18"/>
                <w:color w:val="auto"/>
                <w:w w:val="92"/>
              </w:rPr>
              <w:t>5.</w:t>
            </w:r>
          </w:p>
        </w:tc>
        <w:tc>
          <w:tcPr>
            <w:tcW w:w="9000" w:type="dxa"/>
            <w:vAlign w:val="bottom"/>
            <w:gridSpan w:val="21"/>
          </w:tcPr>
          <w:p>
            <w:pPr>
              <w:ind w:left="20"/>
              <w:spacing w:after="0"/>
              <w:rPr>
                <w:sz w:val="20"/>
                <w:szCs w:val="20"/>
                <w:color w:val="auto"/>
              </w:rPr>
            </w:pPr>
            <w:r>
              <w:rPr>
                <w:rFonts w:ascii="Arial" w:cs="Arial" w:eastAsia="Arial" w:hAnsi="Arial"/>
                <w:sz w:val="18"/>
                <w:szCs w:val="18"/>
                <w:color w:val="auto"/>
                <w:w w:val="91"/>
              </w:rPr>
              <w:t>To recommend, on an advisory basis, the frequency of the advisory vote on the compensation of named executive officers:</w:t>
            </w:r>
          </w:p>
        </w:tc>
        <w:tc>
          <w:tcPr>
            <w:tcW w:w="2260" w:type="dxa"/>
            <w:vAlign w:val="bottom"/>
          </w:tcPr>
          <w:p>
            <w:pPr>
              <w:spacing w:after="0"/>
              <w:rPr>
                <w:sz w:val="24"/>
                <w:szCs w:val="24"/>
                <w:color w:val="auto"/>
              </w:rPr>
            </w:pPr>
          </w:p>
        </w:tc>
      </w:tr>
      <w:tr>
        <w:trPr>
          <w:trHeight w:val="432"/>
        </w:trPr>
        <w:tc>
          <w:tcPr>
            <w:tcW w:w="1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One Year</w:t>
            </w: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20" w:type="dxa"/>
            <w:vAlign w:val="bottom"/>
            <w:tcBorders>
              <w:bottom w:val="single" w:sz="8" w:color="auto"/>
            </w:tcBorders>
            <w:gridSpan w:val="4"/>
          </w:tcPr>
          <w:p>
            <w:pPr>
              <w:ind w:left="800"/>
              <w:spacing w:after="0"/>
              <w:rPr>
                <w:sz w:val="20"/>
                <w:szCs w:val="20"/>
                <w:color w:val="auto"/>
              </w:rPr>
            </w:pPr>
            <w:r>
              <w:rPr>
                <w:rFonts w:ascii="Arial" w:cs="Arial" w:eastAsia="Arial" w:hAnsi="Arial"/>
                <w:sz w:val="18"/>
                <w:szCs w:val="18"/>
                <w:b w:val="1"/>
                <w:bCs w:val="1"/>
                <w:color w:val="auto"/>
              </w:rPr>
              <w:t>Two Years</w:t>
            </w:r>
          </w:p>
        </w:tc>
        <w:tc>
          <w:tcPr>
            <w:tcW w:w="580" w:type="dxa"/>
            <w:vAlign w:val="bottom"/>
            <w:gridSpan w:val="3"/>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2"/>
          </w:tcPr>
          <w:p>
            <w:pPr>
              <w:ind w:left="340"/>
              <w:spacing w:after="0"/>
              <w:rPr>
                <w:sz w:val="20"/>
                <w:szCs w:val="20"/>
                <w:color w:val="auto"/>
              </w:rPr>
            </w:pPr>
            <w:r>
              <w:rPr>
                <w:rFonts w:ascii="Arial" w:cs="Arial" w:eastAsia="Arial" w:hAnsi="Arial"/>
                <w:sz w:val="18"/>
                <w:szCs w:val="18"/>
                <w:b w:val="1"/>
                <w:bCs w:val="1"/>
                <w:color w:val="auto"/>
              </w:rPr>
              <w:t>Three Years</w:t>
            </w:r>
          </w:p>
        </w:tc>
        <w:tc>
          <w:tcPr>
            <w:tcW w:w="600" w:type="dxa"/>
            <w:vAlign w:val="bottom"/>
            <w:gridSpan w:val="2"/>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jc w:val="center"/>
              <w:ind w:right="290"/>
              <w:spacing w:after="0"/>
              <w:rPr>
                <w:sz w:val="20"/>
                <w:szCs w:val="20"/>
                <w:color w:val="auto"/>
              </w:rPr>
            </w:pPr>
            <w:r>
              <w:rPr>
                <w:rFonts w:ascii="Arial" w:cs="Arial" w:eastAsia="Arial" w:hAnsi="Arial"/>
                <w:sz w:val="18"/>
                <w:szCs w:val="18"/>
                <w:b w:val="1"/>
                <w:bCs w:val="1"/>
                <w:color w:val="auto"/>
                <w:w w:val="90"/>
              </w:rPr>
              <w:t>Abstain</w:t>
            </w:r>
          </w:p>
        </w:tc>
      </w:tr>
      <w:tr>
        <w:trPr>
          <w:trHeight w:val="210"/>
        </w:trPr>
        <w:tc>
          <w:tcPr>
            <w:tcW w:w="160" w:type="dxa"/>
            <w:vAlign w:val="bottom"/>
            <w:shd w:val="clear" w:color="auto" w:fill="CCEEFF"/>
          </w:tcPr>
          <w:p>
            <w:pPr>
              <w:spacing w:after="0"/>
              <w:rPr>
                <w:sz w:val="18"/>
                <w:szCs w:val="18"/>
                <w:color w:val="auto"/>
              </w:rPr>
            </w:pP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64,602,498</w:t>
            </w:r>
          </w:p>
        </w:tc>
        <w:tc>
          <w:tcPr>
            <w:tcW w:w="2820" w:type="dxa"/>
            <w:vAlign w:val="bottom"/>
            <w:gridSpan w:val="7"/>
            <w:shd w:val="clear" w:color="auto" w:fill="CCEEFF"/>
          </w:tcPr>
          <w:p>
            <w:pPr>
              <w:jc w:val="right"/>
              <w:ind w:right="450"/>
              <w:spacing w:after="0"/>
              <w:rPr>
                <w:sz w:val="20"/>
                <w:szCs w:val="20"/>
                <w:color w:val="auto"/>
              </w:rPr>
            </w:pPr>
            <w:r>
              <w:rPr>
                <w:rFonts w:ascii="Arial" w:cs="Arial" w:eastAsia="Arial" w:hAnsi="Arial"/>
                <w:sz w:val="18"/>
                <w:szCs w:val="18"/>
                <w:color w:val="auto"/>
              </w:rPr>
              <w:t>331,575</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4,083,934</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60" w:type="dxa"/>
            <w:vAlign w:val="bottom"/>
            <w:shd w:val="clear" w:color="auto" w:fill="CCEEFF"/>
          </w:tcPr>
          <w:p>
            <w:pPr>
              <w:jc w:val="center"/>
              <w:ind w:right="270"/>
              <w:spacing w:after="0"/>
              <w:rPr>
                <w:sz w:val="20"/>
                <w:szCs w:val="20"/>
                <w:color w:val="auto"/>
              </w:rPr>
            </w:pPr>
            <w:r>
              <w:rPr>
                <w:rFonts w:ascii="Arial" w:cs="Arial" w:eastAsia="Arial" w:hAnsi="Arial"/>
                <w:sz w:val="18"/>
                <w:szCs w:val="18"/>
                <w:color w:val="auto"/>
                <w:w w:val="89"/>
              </w:rPr>
              <w:t>156,344</w:t>
            </w:r>
          </w:p>
        </w:tc>
      </w:tr>
    </w:tbl>
    <w:p>
      <w:pPr>
        <w:spacing w:after="0" w:line="202"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In accordance with the results of this advisory vote, the Company intends to hold future advisory votes on the compensation of its named executive officers, or “say-on-pay” votes, annually until it next holds an advisory vote on the frequency of say-on-pay votes as required under SEC rules.</w:t>
      </w:r>
    </w:p>
    <w:p>
      <w:pPr>
        <w:spacing w:after="0" w:line="336"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56"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On May 14, 2015, the Company issued a press release announcing the results of the Annual Meeting. The press release is filed as Exhibit 99.1 to this Current Report on Form 8-K.</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10500" w:type="dxa"/>
            <w:vAlign w:val="bottom"/>
            <w:gridSpan w:val="2"/>
          </w:tcPr>
          <w:p>
            <w:pPr>
              <w:ind w:left="16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59"/>
        </w:trPr>
        <w:tc>
          <w:tcPr>
            <w:tcW w:w="920" w:type="dxa"/>
            <w:vAlign w:val="bottom"/>
          </w:tcPr>
          <w:p>
            <w:pPr>
              <w:spacing w:after="0"/>
              <w:rPr>
                <w:sz w:val="20"/>
                <w:szCs w:val="20"/>
                <w:color w:val="auto"/>
              </w:rPr>
            </w:pPr>
            <w:r>
              <w:rPr>
                <w:rFonts w:ascii="Arial" w:cs="Arial" w:eastAsia="Arial" w:hAnsi="Arial"/>
                <w:sz w:val="18"/>
                <w:szCs w:val="18"/>
                <w:color w:val="auto"/>
                <w:w w:val="94"/>
              </w:rPr>
              <w:t>(d) Exhibits</w:t>
            </w:r>
            <w:r>
              <w:rPr>
                <w:rFonts w:ascii="Arial" w:cs="Arial" w:eastAsia="Arial" w:hAnsi="Arial"/>
                <w:sz w:val="18"/>
                <w:szCs w:val="18"/>
                <w:i w:val="1"/>
                <w:iCs w:val="1"/>
                <w:color w:val="auto"/>
                <w:w w:val="94"/>
              </w:rPr>
              <w:t>.</w:t>
            </w:r>
          </w:p>
        </w:tc>
        <w:tc>
          <w:tcPr>
            <w:tcW w:w="760" w:type="dxa"/>
            <w:vAlign w:val="bottom"/>
          </w:tcPr>
          <w:p>
            <w:pPr>
              <w:spacing w:after="0"/>
              <w:rPr>
                <w:sz w:val="24"/>
                <w:szCs w:val="24"/>
                <w:color w:val="auto"/>
              </w:rPr>
            </w:pPr>
          </w:p>
        </w:tc>
        <w:tc>
          <w:tcPr>
            <w:tcW w:w="9740" w:type="dxa"/>
            <w:vAlign w:val="bottom"/>
          </w:tcPr>
          <w:p>
            <w:pPr>
              <w:spacing w:after="0"/>
              <w:rPr>
                <w:sz w:val="24"/>
                <w:szCs w:val="24"/>
                <w:color w:val="auto"/>
              </w:rPr>
            </w:pPr>
          </w:p>
        </w:tc>
      </w:tr>
      <w:tr>
        <w:trPr>
          <w:trHeight w:val="445"/>
        </w:trPr>
        <w:tc>
          <w:tcPr>
            <w:tcW w:w="920" w:type="dxa"/>
            <w:vAlign w:val="bottom"/>
          </w:tcPr>
          <w:p>
            <w:pPr>
              <w:spacing w:after="0"/>
              <w:rPr>
                <w:sz w:val="20"/>
                <w:szCs w:val="20"/>
                <w:color w:val="auto"/>
              </w:rPr>
            </w:pPr>
            <w:r>
              <w:rPr>
                <w:rFonts w:ascii="Arial" w:cs="Arial" w:eastAsia="Arial" w:hAnsi="Arial"/>
                <w:sz w:val="18"/>
                <w:szCs w:val="18"/>
                <w:color w:val="auto"/>
              </w:rPr>
              <w:t>EXHIBIT</w:t>
            </w:r>
          </w:p>
        </w:tc>
        <w:tc>
          <w:tcPr>
            <w:tcW w:w="760" w:type="dxa"/>
            <w:vAlign w:val="bottom"/>
          </w:tcPr>
          <w:p>
            <w:pPr>
              <w:spacing w:after="0"/>
              <w:rPr>
                <w:sz w:val="24"/>
                <w:szCs w:val="24"/>
                <w:color w:val="auto"/>
              </w:rPr>
            </w:pPr>
          </w:p>
        </w:tc>
        <w:tc>
          <w:tcPr>
            <w:tcW w:w="9740" w:type="dxa"/>
            <w:vAlign w:val="bottom"/>
          </w:tcPr>
          <w:p>
            <w:pPr>
              <w:spacing w:after="0"/>
              <w:rPr>
                <w:sz w:val="24"/>
                <w:szCs w:val="24"/>
                <w:color w:val="auto"/>
              </w:rPr>
            </w:pP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NUMBER</w:t>
            </w:r>
          </w:p>
        </w:tc>
        <w:tc>
          <w:tcPr>
            <w:tcW w:w="10500" w:type="dxa"/>
            <w:vAlign w:val="bottom"/>
            <w:gridSpan w:val="2"/>
          </w:tcPr>
          <w:p>
            <w:pPr>
              <w:ind w:left="760"/>
              <w:spacing w:after="0"/>
              <w:rPr>
                <w:sz w:val="20"/>
                <w:szCs w:val="20"/>
                <w:color w:val="auto"/>
              </w:rPr>
            </w:pPr>
            <w:r>
              <w:rPr>
                <w:rFonts w:ascii="Arial" w:cs="Arial" w:eastAsia="Arial" w:hAnsi="Arial"/>
                <w:sz w:val="18"/>
                <w:szCs w:val="18"/>
                <w:color w:val="auto"/>
              </w:rPr>
              <w:t>DESCRIPTION</w:t>
            </w:r>
          </w:p>
        </w:tc>
      </w:tr>
      <w:tr>
        <w:trPr>
          <w:trHeight w:val="224"/>
        </w:trPr>
        <w:tc>
          <w:tcPr>
            <w:tcW w:w="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760" w:type="dxa"/>
            <w:vAlign w:val="bottom"/>
          </w:tcPr>
          <w:p>
            <w:pPr>
              <w:spacing w:after="0"/>
              <w:rPr>
                <w:sz w:val="19"/>
                <w:szCs w:val="19"/>
                <w:color w:val="auto"/>
              </w:rPr>
            </w:pPr>
          </w:p>
        </w:tc>
        <w:tc>
          <w:tcPr>
            <w:tcW w:w="9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Press Release dated May 14, 2015</w:t>
            </w:r>
          </w:p>
        </w:tc>
      </w:tr>
      <w:tr>
        <w:trPr>
          <w:trHeight w:val="631"/>
        </w:trPr>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740" w:type="dxa"/>
            <w:vAlign w:val="bottom"/>
          </w:tcPr>
          <w:p>
            <w:pPr>
              <w:spacing w:after="0"/>
              <w:rPr>
                <w:sz w:val="24"/>
                <w:szCs w:val="24"/>
                <w:color w:val="auto"/>
              </w:rPr>
            </w:pPr>
          </w:p>
        </w:tc>
      </w:tr>
      <w:tr>
        <w:trPr>
          <w:trHeight w:val="61"/>
        </w:trPr>
        <w:tc>
          <w:tcPr>
            <w:tcW w:w="92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9740" w:type="dxa"/>
            <w:vAlign w:val="bottom"/>
            <w:shd w:val="clear" w:color="auto" w:fill="808080"/>
          </w:tcPr>
          <w:p>
            <w:pPr>
              <w:spacing w:after="0"/>
              <w:rPr>
                <w:sz w:val="5"/>
                <w:szCs w:val="5"/>
                <w:color w:val="auto"/>
              </w:rPr>
            </w:pPr>
          </w:p>
        </w:tc>
      </w:tr>
    </w:tbl>
    <w:p>
      <w:pPr>
        <w:sectPr>
          <w:pgSz w:w="11900" w:h="16838" w:orient="portrait"/>
          <w:cols w:equalWidth="0" w:num="1">
            <w:col w:w="11420"/>
          </w:cols>
          <w:pgMar w:left="240" w:top="27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p>
        </w:tc>
        <w:tc>
          <w:tcPr>
            <w:tcW w:w="6360" w:type="dxa"/>
            <w:vAlign w:val="bottom"/>
            <w:gridSpan w:val="2"/>
          </w:tcPr>
          <w:p>
            <w:pPr>
              <w:ind w:left="1960"/>
              <w:spacing w:after="0"/>
              <w:rPr>
                <w:sz w:val="20"/>
                <w:szCs w:val="20"/>
                <w:color w:val="auto"/>
              </w:rPr>
            </w:pPr>
            <w:r>
              <w:rPr>
                <w:rFonts w:ascii="Arial" w:cs="Arial" w:eastAsia="Arial" w:hAnsi="Arial"/>
                <w:sz w:val="18"/>
                <w:szCs w:val="18"/>
                <w:color w:val="auto"/>
              </w:rPr>
              <w:t>CIVEO CORPORATION</w:t>
            </w:r>
          </w:p>
        </w:tc>
        <w:tc>
          <w:tcPr>
            <w:tcW w:w="1660" w:type="dxa"/>
            <w:vAlign w:val="bottom"/>
          </w:tcPr>
          <w:p>
            <w:pPr>
              <w:spacing w:after="0"/>
              <w:rPr>
                <w:sz w:val="20"/>
                <w:szCs w:val="20"/>
                <w:color w:val="auto"/>
              </w:rPr>
            </w:pPr>
          </w:p>
        </w:tc>
      </w:tr>
      <w:tr>
        <w:trPr>
          <w:trHeight w:val="432"/>
        </w:trPr>
        <w:tc>
          <w:tcPr>
            <w:tcW w:w="3400" w:type="dxa"/>
            <w:vAlign w:val="bottom"/>
          </w:tcPr>
          <w:p>
            <w:pPr>
              <w:spacing w:after="0"/>
              <w:rPr>
                <w:sz w:val="20"/>
                <w:szCs w:val="20"/>
                <w:color w:val="auto"/>
              </w:rPr>
            </w:pPr>
            <w:r>
              <w:rPr>
                <w:rFonts w:ascii="Arial" w:cs="Arial" w:eastAsia="Arial" w:hAnsi="Arial"/>
                <w:sz w:val="18"/>
                <w:szCs w:val="18"/>
                <w:color w:val="auto"/>
              </w:rPr>
              <w:t>Date: May 15, 2015</w:t>
            </w:r>
          </w:p>
        </w:tc>
        <w:tc>
          <w:tcPr>
            <w:tcW w:w="6360" w:type="dxa"/>
            <w:vAlign w:val="bottom"/>
            <w:gridSpan w:val="2"/>
          </w:tcPr>
          <w:p>
            <w:pPr>
              <w:ind w:left="1960"/>
              <w:spacing w:after="0"/>
              <w:rPr>
                <w:sz w:val="20"/>
                <w:szCs w:val="20"/>
                <w:color w:val="auto"/>
              </w:rPr>
            </w:pPr>
            <w:r>
              <w:rPr>
                <w:rFonts w:ascii="Arial" w:cs="Arial" w:eastAsia="Arial" w:hAnsi="Arial"/>
                <w:sz w:val="18"/>
                <w:szCs w:val="18"/>
                <w:color w:val="auto"/>
              </w:rPr>
              <w:t>By:  /s/ Frank C. Steininger</w:t>
            </w:r>
          </w:p>
        </w:tc>
        <w:tc>
          <w:tcPr>
            <w:tcW w:w="1660" w:type="dxa"/>
            <w:vAlign w:val="bottom"/>
          </w:tcPr>
          <w:p>
            <w:pPr>
              <w:spacing w:after="0"/>
              <w:rPr>
                <w:sz w:val="24"/>
                <w:szCs w:val="24"/>
                <w:color w:val="auto"/>
              </w:rPr>
            </w:pPr>
          </w:p>
        </w:tc>
      </w:tr>
      <w:tr>
        <w:trPr>
          <w:trHeight w:val="195"/>
        </w:trPr>
        <w:tc>
          <w:tcPr>
            <w:tcW w:w="34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3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Frank C. Steininger</w:t>
            </w:r>
          </w:p>
        </w:tc>
        <w:tc>
          <w:tcPr>
            <w:tcW w:w="1660" w:type="dxa"/>
            <w:vAlign w:val="bottom"/>
          </w:tcPr>
          <w:p>
            <w:pPr>
              <w:spacing w:after="0"/>
              <w:rPr>
                <w:sz w:val="16"/>
                <w:szCs w:val="16"/>
                <w:color w:val="auto"/>
              </w:rPr>
            </w:pPr>
          </w:p>
        </w:tc>
      </w:tr>
      <w:tr>
        <w:trPr>
          <w:trHeight w:val="216"/>
        </w:trPr>
        <w:tc>
          <w:tcPr>
            <w:tcW w:w="34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Senior Vice President, Chief Financial Officer and</w:t>
            </w:r>
          </w:p>
        </w:tc>
        <w:tc>
          <w:tcPr>
            <w:tcW w:w="1660" w:type="dxa"/>
            <w:vAlign w:val="bottom"/>
          </w:tcPr>
          <w:p>
            <w:pPr>
              <w:spacing w:after="0"/>
              <w:rPr>
                <w:sz w:val="18"/>
                <w:szCs w:val="18"/>
                <w:color w:val="auto"/>
              </w:rPr>
            </w:pPr>
          </w:p>
        </w:tc>
      </w:tr>
      <w:tr>
        <w:trPr>
          <w:trHeight w:val="230"/>
        </w:trPr>
        <w:tc>
          <w:tcPr>
            <w:tcW w:w="34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Treasurer</w:t>
            </w:r>
          </w:p>
        </w:tc>
        <w:tc>
          <w:tcPr>
            <w:tcW w:w="1660" w:type="dxa"/>
            <w:vAlign w:val="bottom"/>
          </w:tcPr>
          <w:p>
            <w:pPr>
              <w:spacing w:after="0"/>
              <w:rPr>
                <w:sz w:val="20"/>
                <w:szCs w:val="20"/>
                <w:color w:val="auto"/>
              </w:rPr>
            </w:pPr>
          </w:p>
        </w:tc>
      </w:tr>
      <w:tr>
        <w:trPr>
          <w:trHeight w:val="1104"/>
        </w:trPr>
        <w:tc>
          <w:tcPr>
            <w:tcW w:w="34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61"/>
        </w:trPr>
        <w:tc>
          <w:tcPr>
            <w:tcW w:w="3400" w:type="dxa"/>
            <w:vAlign w:val="bottom"/>
            <w:shd w:val="clear" w:color="auto" w:fill="808080"/>
          </w:tcPr>
          <w:p>
            <w:pPr>
              <w:spacing w:after="0"/>
              <w:rPr>
                <w:sz w:val="5"/>
                <w:szCs w:val="5"/>
                <w:color w:val="auto"/>
              </w:rPr>
            </w:pPr>
          </w:p>
        </w:tc>
        <w:tc>
          <w:tcPr>
            <w:tcW w:w="2380" w:type="dxa"/>
            <w:vAlign w:val="bottom"/>
            <w:shd w:val="clear" w:color="auto" w:fill="808080"/>
          </w:tcPr>
          <w:p>
            <w:pPr>
              <w:spacing w:after="0"/>
              <w:rPr>
                <w:sz w:val="5"/>
                <w:szCs w:val="5"/>
                <w:color w:val="auto"/>
              </w:rPr>
            </w:pPr>
          </w:p>
        </w:tc>
        <w:tc>
          <w:tcPr>
            <w:tcW w:w="3980" w:type="dxa"/>
            <w:vAlign w:val="bottom"/>
            <w:shd w:val="clear" w:color="auto" w:fill="808080"/>
          </w:tcPr>
          <w:p>
            <w:pPr>
              <w:spacing w:after="0"/>
              <w:rPr>
                <w:sz w:val="5"/>
                <w:szCs w:val="5"/>
                <w:color w:val="auto"/>
              </w:rPr>
            </w:pPr>
          </w:p>
        </w:tc>
        <w:tc>
          <w:tcPr>
            <w:tcW w:w="1660" w:type="dxa"/>
            <w:vAlign w:val="bottom"/>
            <w:shd w:val="clear" w:color="auto" w:fill="808080"/>
          </w:tcPr>
          <w:p>
            <w:pPr>
              <w:spacing w:after="0"/>
              <w:rPr>
                <w:sz w:val="5"/>
                <w:szCs w:val="5"/>
                <w:color w:val="auto"/>
              </w:rPr>
            </w:pPr>
          </w:p>
        </w:tc>
      </w:tr>
    </w:tbl>
    <w:p>
      <w:pPr>
        <w:sectPr>
          <w:pgSz w:w="11900" w:h="16838" w:orient="portrait"/>
          <w:cols w:equalWidth="0" w:num="1">
            <w:col w:w="11420"/>
          </w:cols>
          <w:pgMar w:left="240" w:top="27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INDEX TO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EXHIBIT</w:t>
            </w:r>
          </w:p>
        </w:tc>
        <w:tc>
          <w:tcPr>
            <w:tcW w:w="760" w:type="dxa"/>
            <w:vAlign w:val="bottom"/>
          </w:tcPr>
          <w:p>
            <w:pPr>
              <w:spacing w:after="0"/>
              <w:rPr>
                <w:sz w:val="18"/>
                <w:szCs w:val="18"/>
                <w:color w:val="auto"/>
              </w:rPr>
            </w:pPr>
          </w:p>
        </w:tc>
        <w:tc>
          <w:tcPr>
            <w:tcW w:w="9740" w:type="dxa"/>
            <w:vAlign w:val="bottom"/>
          </w:tcPr>
          <w:p>
            <w:pPr>
              <w:spacing w:after="0"/>
              <w:rPr>
                <w:sz w:val="18"/>
                <w:szCs w:val="18"/>
                <w:color w:val="auto"/>
              </w:rPr>
            </w:pP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NUMBER</w:t>
            </w:r>
          </w:p>
        </w:tc>
        <w:tc>
          <w:tcPr>
            <w:tcW w:w="10500" w:type="dxa"/>
            <w:vAlign w:val="bottom"/>
            <w:gridSpan w:val="2"/>
          </w:tcPr>
          <w:p>
            <w:pPr>
              <w:ind w:left="760"/>
              <w:spacing w:after="0"/>
              <w:rPr>
                <w:sz w:val="20"/>
                <w:szCs w:val="20"/>
                <w:color w:val="auto"/>
              </w:rPr>
            </w:pPr>
            <w:r>
              <w:rPr>
                <w:rFonts w:ascii="Arial" w:cs="Arial" w:eastAsia="Arial" w:hAnsi="Arial"/>
                <w:sz w:val="18"/>
                <w:szCs w:val="18"/>
                <w:color w:val="auto"/>
              </w:rPr>
              <w:t>DESCRIPTION</w:t>
            </w:r>
          </w:p>
        </w:tc>
      </w:tr>
      <w:tr>
        <w:trPr>
          <w:trHeight w:val="224"/>
        </w:trPr>
        <w:tc>
          <w:tcPr>
            <w:tcW w:w="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760" w:type="dxa"/>
            <w:vAlign w:val="bottom"/>
          </w:tcPr>
          <w:p>
            <w:pPr>
              <w:spacing w:after="0"/>
              <w:rPr>
                <w:sz w:val="19"/>
                <w:szCs w:val="19"/>
                <w:color w:val="auto"/>
              </w:rPr>
            </w:pPr>
          </w:p>
        </w:tc>
        <w:tc>
          <w:tcPr>
            <w:tcW w:w="9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Press Release dated May 14, 2015</w:t>
            </w:r>
          </w:p>
        </w:tc>
      </w:tr>
    </w:tbl>
    <w:p>
      <w:pPr>
        <w:sectPr>
          <w:pgSz w:w="11900" w:h="16838" w:orient="portrait"/>
          <w:cols w:equalWidth="0" w:num="1">
            <w:col w:w="11420"/>
          </w:cols>
          <w:pgMar w:left="240" w:top="270"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color w:val="auto"/>
        </w:rPr>
        <w:t>EXHIBIT 99.1</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Civeo Corporation Announces Stockholder Approval of Migration to Canada</w:t>
      </w:r>
    </w:p>
    <w:p>
      <w:pPr>
        <w:spacing w:after="0" w:line="255" w:lineRule="exact"/>
        <w:rPr>
          <w:sz w:val="20"/>
          <w:szCs w:val="20"/>
          <w:color w:val="auto"/>
        </w:rPr>
      </w:pPr>
    </w:p>
    <w:p>
      <w:pPr>
        <w:ind w:right="100"/>
        <w:spacing w:after="0" w:line="236" w:lineRule="auto"/>
        <w:rPr>
          <w:sz w:val="20"/>
          <w:szCs w:val="20"/>
          <w:color w:val="auto"/>
        </w:rPr>
      </w:pPr>
      <w:r>
        <w:rPr>
          <w:rFonts w:ascii="Arial" w:cs="Arial" w:eastAsia="Arial" w:hAnsi="Arial"/>
          <w:sz w:val="22"/>
          <w:szCs w:val="22"/>
          <w:color w:val="auto"/>
        </w:rPr>
        <w:t>HOUSTON, May 14, 2015 (GLOBE NEWSWIRE) -- Civeo Corporation ("Civeo" or the "Company") (NYSE:CVEO), one of the largest integrated providers of workforce accommodations, logistics and facility management services to the natural resource industry, announced that, at its 2015 Annual Meeting of Stockholders held earlier today, Civeo stockholders approved the proposal to allow the Company to migrate to Canada. More than 99% of shares voting on the transaction were voted in favor of the migration.</w:t>
      </w:r>
    </w:p>
    <w:p>
      <w:pPr>
        <w:spacing w:after="0" w:line="188" w:lineRule="exact"/>
        <w:rPr>
          <w:sz w:val="20"/>
          <w:szCs w:val="20"/>
          <w:color w:val="auto"/>
        </w:rPr>
      </w:pPr>
    </w:p>
    <w:p>
      <w:pPr>
        <w:ind w:right="520"/>
        <w:spacing w:after="0" w:line="251" w:lineRule="auto"/>
        <w:rPr>
          <w:sz w:val="20"/>
          <w:szCs w:val="20"/>
          <w:color w:val="auto"/>
        </w:rPr>
      </w:pPr>
      <w:r>
        <w:rPr>
          <w:rFonts w:ascii="Arial" w:cs="Arial" w:eastAsia="Arial" w:hAnsi="Arial"/>
          <w:sz w:val="22"/>
          <w:szCs w:val="22"/>
          <w:color w:val="auto"/>
        </w:rPr>
        <w:t>As previously announced, Civeo expects to execute the migration through a "self-directed redomiciling" of the Company. The Company expects to complete the migration in the second or third quarter of 2015.</w:t>
      </w:r>
    </w:p>
    <w:p>
      <w:pPr>
        <w:spacing w:after="0" w:line="173" w:lineRule="exact"/>
        <w:rPr>
          <w:sz w:val="20"/>
          <w:szCs w:val="20"/>
          <w:color w:val="auto"/>
        </w:rPr>
      </w:pPr>
    </w:p>
    <w:p>
      <w:pPr>
        <w:ind w:right="20"/>
        <w:spacing w:after="0" w:line="252" w:lineRule="auto"/>
        <w:rPr>
          <w:sz w:val="20"/>
          <w:szCs w:val="20"/>
          <w:color w:val="auto"/>
        </w:rPr>
      </w:pPr>
      <w:r>
        <w:rPr>
          <w:rFonts w:ascii="Arial" w:cs="Arial" w:eastAsia="Arial" w:hAnsi="Arial"/>
          <w:sz w:val="21"/>
          <w:szCs w:val="21"/>
          <w:color w:val="auto"/>
        </w:rPr>
        <w:t>Bradley J. Dodson, Civeo's President and Chief Executive Officer, stated, "We are pleased that stockholders approved the migration to Canada. Coupled with the previously announced refinancing, today's announcement marks the beginning of a new chapter for our Company. As a Canadian company, Civeo will be well positioned to more economically utilize our earnings and cash flow to strengthen our balance sheet and invest in value-enhancing opportunities."</w:t>
      </w:r>
    </w:p>
    <w:p>
      <w:pPr>
        <w:spacing w:after="0" w:line="174" w:lineRule="exact"/>
        <w:rPr>
          <w:sz w:val="20"/>
          <w:szCs w:val="20"/>
          <w:color w:val="auto"/>
        </w:rPr>
      </w:pPr>
    </w:p>
    <w:p>
      <w:pPr>
        <w:ind w:right="300"/>
        <w:spacing w:after="0" w:line="238" w:lineRule="auto"/>
        <w:rPr>
          <w:sz w:val="20"/>
          <w:szCs w:val="20"/>
          <w:color w:val="auto"/>
        </w:rPr>
      </w:pPr>
      <w:r>
        <w:rPr>
          <w:rFonts w:ascii="Arial" w:cs="Arial" w:eastAsia="Arial" w:hAnsi="Arial"/>
          <w:sz w:val="22"/>
          <w:szCs w:val="22"/>
          <w:color w:val="auto"/>
        </w:rPr>
        <w:t>In addition to the positive vote on the migration, stockholders also voted in favor of the Company's slate of directors, ratified the appointment of its auditors for 2015, approved, on an advisory basis, the compensation of named executive officers and recommended, on an advisory basis, one year as the frequency of the advisory vote on the compensation of named executive officers.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Civeo Corporation</w:t>
      </w:r>
    </w:p>
    <w:p>
      <w:pPr>
        <w:spacing w:after="0" w:line="212" w:lineRule="exact"/>
        <w:rPr>
          <w:sz w:val="20"/>
          <w:szCs w:val="20"/>
          <w:color w:val="auto"/>
        </w:rPr>
      </w:pPr>
    </w:p>
    <w:p>
      <w:pPr>
        <w:ind w:right="180"/>
        <w:spacing w:after="0" w:line="235" w:lineRule="auto"/>
        <w:rPr>
          <w:sz w:val="20"/>
          <w:szCs w:val="20"/>
          <w:color w:val="auto"/>
        </w:rPr>
      </w:pPr>
      <w:r>
        <w:rPr>
          <w:rFonts w:ascii="Arial" w:cs="Arial" w:eastAsia="Arial" w:hAnsi="Arial"/>
          <w:sz w:val="22"/>
          <w:szCs w:val="22"/>
          <w:color w:val="auto"/>
        </w:rPr>
        <w:t>Civeo Corporation is a leading provider of workforce accommodations with prominent market positions in the Canadian oil sands and the Australian natural resource regions. Civeo offers comprehensive solutions for housing hundreds or thousands of workers with its long-term and temporary accommodations and provides catering, facility management, water systems and logistics services. Civeo currently owns a total of seventeen lodges and villages in operation in Canada and Australia, with an aggregate of more than 22,000 rooms. Civeo is publicly traded under the symbol "CVEO" on the NYSE. For more information, please visit Civeo's website at http://www.civeo.com.</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 Looking Statements</w:t>
      </w:r>
    </w:p>
    <w:p>
      <w:pPr>
        <w:spacing w:after="0" w:line="212" w:lineRule="exact"/>
        <w:rPr>
          <w:sz w:val="20"/>
          <w:szCs w:val="20"/>
          <w:color w:val="auto"/>
        </w:rPr>
      </w:pPr>
    </w:p>
    <w:p>
      <w:pPr>
        <w:ind w:right="20"/>
        <w:spacing w:after="0" w:line="271" w:lineRule="auto"/>
        <w:rPr>
          <w:sz w:val="20"/>
          <w:szCs w:val="20"/>
          <w:color w:val="auto"/>
        </w:rPr>
      </w:pPr>
      <w:r>
        <w:rPr>
          <w:rFonts w:ascii="Arial" w:cs="Arial" w:eastAsia="Arial" w:hAnsi="Arial"/>
          <w:sz w:val="19"/>
          <w:szCs w:val="19"/>
          <w:color w:val="auto"/>
        </w:rPr>
        <w:t>The foregoing contains forward-looking statements within the meaning of the Securities Act of 1933 and Section 21E of the Securities Exchange Act of 1934. Forward-looking statements are those that do not state historical facts and are, therefore, inherently subject to risks and uncertainties. The forward-looking statements included herein are based on then current expectations and entail various risks and uncertainties that could cause actual results to differ materially from those forward-looking statements. Such risks and uncertainties include, among other things, risks associated with the general nature of the accommodations industry, risks associated with the level of supply and demand for oil, coal, natural gas, iron ore and other minerals, including the level of activity and developments in the Canadian oil sands, the level of demand for coal and other natural resources from Australia, and fluctuations in the current and future prices of oil, coal, natural gas, iron ore and other minerals, risks associated with the execution of the Company's migration, including, among other things, completion of the amendment of the Company's credit facility and changes in tax laws or their interpretations, the ability to realize the anticipated benefits thereof, the impact thereof on the Company's relationships, including with employees, customers, competitors and investors, and other factors discussed in the "Business" and "Risk Factors" sections of the Form 10-K filed by the Company with the Securities and Exchange Commission ("SEC") on March 13, 2015 and the Company's subsequent SEC filings. Except as required by law, the Company expressly disclaims any intention or obligation to revise or update any forward-looking statements whether as a result of new information, future events or otherwise.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ADDITIONAL INFORMATION</w:t>
      </w:r>
    </w:p>
    <w:p>
      <w:pPr>
        <w:spacing w:after="0" w:line="212" w:lineRule="exact"/>
        <w:rPr>
          <w:sz w:val="20"/>
          <w:szCs w:val="20"/>
          <w:color w:val="auto"/>
        </w:rPr>
      </w:pPr>
    </w:p>
    <w:p>
      <w:pPr>
        <w:ind w:right="20"/>
        <w:spacing w:after="0" w:line="270" w:lineRule="auto"/>
        <w:rPr>
          <w:sz w:val="20"/>
          <w:szCs w:val="20"/>
          <w:color w:val="auto"/>
        </w:rPr>
      </w:pPr>
      <w:r>
        <w:rPr>
          <w:rFonts w:ascii="Arial" w:cs="Arial" w:eastAsia="Arial" w:hAnsi="Arial"/>
          <w:sz w:val="19"/>
          <w:szCs w:val="19"/>
          <w:color w:val="auto"/>
        </w:rPr>
        <w:t>This communication does not constitute an offer to sell or the solicitation of an offer to buy our securities or the solicitation of any vote or approval. In connection with the proposed migration, on April 7, 2015, Civeo Canadian Holdings ULC, a subsidiary of the Company ("Civeo Canada"), filed with the SEC an amendment to its registration statement on Form S-4 (Registration No. 333-201335) that includes a preliminary prospectus of Civeo Canada and a preliminary proxy statement of the Company, which registration statement was declared effective on April 7, 2015. Each of the Company and Civeo Canada filed the definitive proxy statement/prospectus with the SEC on April 8, 2015, which was mailed to shareholders of the Company on or about April 13, 2015.</w:t>
      </w:r>
    </w:p>
    <w:p>
      <w:pPr>
        <w:spacing w:after="0" w:line="2" w:lineRule="exact"/>
        <w:rPr>
          <w:sz w:val="20"/>
          <w:szCs w:val="20"/>
          <w:color w:val="auto"/>
        </w:rPr>
      </w:pPr>
    </w:p>
    <w:p>
      <w:pPr>
        <w:ind w:right="140"/>
        <w:spacing w:after="0" w:line="273" w:lineRule="auto"/>
        <w:rPr>
          <w:sz w:val="20"/>
          <w:szCs w:val="20"/>
          <w:color w:val="auto"/>
        </w:rPr>
      </w:pPr>
      <w:r>
        <w:rPr>
          <w:rFonts w:ascii="Arial" w:cs="Arial" w:eastAsia="Arial" w:hAnsi="Arial"/>
          <w:sz w:val="19"/>
          <w:szCs w:val="19"/>
          <w:color w:val="auto"/>
        </w:rPr>
        <w:t>INVESTORS ARE ADVISED TO READ THE DEFINITIVE PROXY STATEMENT/PROSPECTUS (INCLUDING ALL AMENDMENTS AND SUPPLEMENTS THERETO) CAREFULLY AND ANY OTHER MATERIALS IF AND WHEN THEY BECOME AVAILABLE BECAUSE THEY CONTAIN AND WILL CONTAIN IMPORTANT INFORMATION ABOUT THE PROPOSED MIGRATION AND CIVEO. Investors may obtain a free copy of the definitive proxy statement/prospectus and other relevant documents (when available) filed and to be filed with the SEC from the SEC's web site at www.sec.gov or at Civeo's web site at www.civeo.com. Investors will also be able to obtain, without charge, a copy of the definitive proxy statement/prospectus and other relevant documents (when available) by directing a request by mail or telephone to Investor Relations, Civeo Corporation, 333 Clay Street, Suite 4980, Houston, TX 77002, telephone 713.510.2400.</w:t>
      </w:r>
    </w:p>
    <w:p>
      <w:pPr>
        <w:sectPr>
          <w:pgSz w:w="11900" w:h="16838" w:orient="portrait"/>
          <w:cols w:equalWidth="0" w:num="1">
            <w:col w:w="11420"/>
          </w:cols>
          <w:pgMar w:left="240" w:top="118" w:right="239" w:bottom="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 Investors</w:t>
      </w:r>
    </w:p>
    <w:p>
      <w:pPr>
        <w:jc w:val="right"/>
        <w:ind w:right="8460"/>
        <w:spacing w:after="0" w:line="238" w:lineRule="auto"/>
        <w:rPr>
          <w:sz w:val="20"/>
          <w:szCs w:val="20"/>
          <w:color w:val="auto"/>
        </w:rPr>
      </w:pPr>
      <w:r>
        <w:rPr>
          <w:rFonts w:ascii="Courier New" w:cs="Courier New" w:eastAsia="Courier New" w:hAnsi="Courier New"/>
          <w:sz w:val="18"/>
          <w:szCs w:val="18"/>
          <w:color w:val="auto"/>
        </w:rPr>
        <w:t>Frank C. Steininger</w:t>
      </w:r>
    </w:p>
    <w:p>
      <w:pPr>
        <w:sectPr>
          <w:pgSz w:w="11900" w:h="16838" w:orient="portrait"/>
          <w:cols w:equalWidth="0" w:num="1">
            <w:col w:w="11420"/>
          </w:cols>
          <w:pgMar w:left="240" w:top="118" w:right="239" w:bottom="0" w:gutter="0" w:footer="0" w:header="0"/>
          <w:type w:val="continuous"/>
        </w:sectPr>
      </w:pPr>
    </w:p>
    <w:bookmarkStart w:id="5" w:name="page6"/>
    <w:bookmarkEnd w:id="5"/>
    <w:p>
      <w:pPr>
        <w:spacing w:after="0"/>
        <w:rPr>
          <w:sz w:val="20"/>
          <w:szCs w:val="20"/>
          <w:color w:val="auto"/>
        </w:rPr>
      </w:pPr>
      <w:r>
        <w:rPr>
          <w:rFonts w:ascii="Courier New" w:cs="Courier New" w:eastAsia="Courier New" w:hAnsi="Courier New"/>
          <w:sz w:val="16"/>
          <w:szCs w:val="16"/>
          <w:color w:val="auto"/>
        </w:rPr>
        <w:t>Senior Vice President and Chief Financial Officer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Civeo Corporation</w:t>
      </w:r>
    </w:p>
    <w:p>
      <w:pPr>
        <w:spacing w:after="0" w:line="238" w:lineRule="auto"/>
        <w:rPr>
          <w:sz w:val="20"/>
          <w:szCs w:val="20"/>
          <w:color w:val="auto"/>
        </w:rPr>
      </w:pPr>
      <w:r>
        <w:rPr>
          <w:rFonts w:ascii="Courier New" w:cs="Courier New" w:eastAsia="Courier New" w:hAnsi="Courier New"/>
          <w:sz w:val="18"/>
          <w:szCs w:val="18"/>
          <w:color w:val="auto"/>
        </w:rPr>
        <w:t>713-510-2400</w:t>
      </w:r>
    </w:p>
    <w:sectPr>
      <w:pgSz w:w="11900" w:h="16838" w:orient="portrait"/>
      <w:cols w:equalWidth="0" w:num="1">
        <w:col w:w="9259"/>
      </w:cols>
      <w:pgMar w:left="120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x"/>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2019-12-09T04:02:51Z</dcterms:created>
  <dcterms:modified xsi:type="dcterms:W3CDTF">2019-12-09T04:02:51Z</dcterms:modified>
</cp:coreProperties>
</file>