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730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730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Dodson Bradley J</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20"/>
              <w:spacing w:after="0"/>
              <w:rPr>
                <w:sz w:val="20"/>
                <w:szCs w:val="20"/>
                <w:color w:val="auto"/>
              </w:rPr>
            </w:pPr>
            <w:r>
              <w:rPr>
                <w:rFonts w:ascii="Arial" w:cs="Arial" w:eastAsia="Arial" w:hAnsi="Arial"/>
                <w:sz w:val="13"/>
                <w:szCs w:val="13"/>
                <w:color w:val="auto"/>
              </w:rPr>
              <w:t>(First)</w:t>
            </w:r>
          </w:p>
        </w:tc>
        <w:tc>
          <w:tcPr>
            <w:tcW w:w="124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333 CLAY STREET, SUITE 4980</w:t>
            </w:r>
          </w:p>
        </w:tc>
        <w:tc>
          <w:tcPr>
            <w:tcW w:w="124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r>
        <w:trPr>
          <w:trHeight w:val="25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3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77002</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20"/>
              <w:spacing w:after="0"/>
              <w:rPr>
                <w:sz w:val="20"/>
                <w:szCs w:val="20"/>
                <w:color w:val="auto"/>
              </w:rPr>
            </w:pPr>
            <w:r>
              <w:rPr>
                <w:rFonts w:ascii="Arial" w:cs="Arial" w:eastAsia="Arial" w:hAnsi="Arial"/>
                <w:sz w:val="13"/>
                <w:szCs w:val="13"/>
                <w:color w:val="auto"/>
              </w:rPr>
              <w:t>(State)</w:t>
            </w:r>
          </w:p>
        </w:tc>
        <w:tc>
          <w:tcPr>
            <w:tcW w:w="124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Civeo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CVEO</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40" w:type="dxa"/>
            <w:vAlign w:val="bottom"/>
            <w:tcBorders>
              <w:bottom w:val="single" w:sz="8" w:color="0000EE"/>
            </w:tcBorders>
          </w:tcPr>
          <w:p>
            <w:pPr>
              <w:spacing w:after="0"/>
              <w:rPr>
                <w:sz w:val="3"/>
                <w:szCs w:val="3"/>
                <w:color w:val="auto"/>
              </w:rPr>
            </w:pPr>
          </w:p>
        </w:tc>
        <w:tc>
          <w:tcPr>
            <w:tcW w:w="280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8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02/22/2024</w:t>
            </w:r>
          </w:p>
        </w:tc>
        <w:tc>
          <w:tcPr>
            <w:tcW w:w="2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20" w:type="dxa"/>
            <w:vAlign w:val="bottom"/>
            <w:gridSpan w:val="3"/>
            <w:vMerge w:val="continue"/>
          </w:tcPr>
          <w:p>
            <w:pPr>
              <w:spacing w:after="0"/>
              <w:rPr>
                <w:sz w:val="10"/>
                <w:szCs w:val="10"/>
                <w:color w:val="auto"/>
              </w:rPr>
            </w:pPr>
          </w:p>
        </w:tc>
        <w:tc>
          <w:tcPr>
            <w:tcW w:w="2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61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Pr>
          <w:p>
            <w:pPr>
              <w:spacing w:after="0"/>
              <w:rPr>
                <w:sz w:val="22"/>
                <w:szCs w:val="22"/>
                <w:color w:val="auto"/>
              </w:rPr>
            </w:pPr>
          </w:p>
        </w:tc>
        <w:tc>
          <w:tcPr>
            <w:tcW w:w="1760" w:type="dxa"/>
            <w:vAlign w:val="bottom"/>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02/22/2024</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4"/>
              </w:rPr>
              <w:t>21,149</w:t>
            </w:r>
          </w:p>
        </w:tc>
        <w:tc>
          <w:tcPr>
            <w:tcW w:w="80" w:type="dxa"/>
            <w:vAlign w:val="bottom"/>
          </w:tcPr>
          <w:p>
            <w:pPr>
              <w:spacing w:after="0"/>
              <w:rPr>
                <w:sz w:val="22"/>
                <w:szCs w:val="22"/>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33"/>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211,267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Pr>
          <w:p>
            <w:pPr>
              <w:spacing w:after="0"/>
              <w:rPr>
                <w:sz w:val="22"/>
                <w:szCs w:val="22"/>
                <w:color w:val="auto"/>
              </w:rPr>
            </w:pPr>
          </w:p>
        </w:tc>
        <w:tc>
          <w:tcPr>
            <w:tcW w:w="1760" w:type="dxa"/>
            <w:vAlign w:val="bottom"/>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02/22/2024</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4"/>
              </w:rPr>
              <w:t>21,149</w:t>
            </w:r>
          </w:p>
        </w:tc>
        <w:tc>
          <w:tcPr>
            <w:tcW w:w="80" w:type="dxa"/>
            <w:vAlign w:val="bottom"/>
          </w:tcPr>
          <w:p>
            <w:pPr>
              <w:spacing w:after="0"/>
              <w:rPr>
                <w:sz w:val="22"/>
                <w:szCs w:val="22"/>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22.51</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190,118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02/22/2024</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1"/>
              </w:rPr>
              <w:t>61,544</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251,662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Pr>
          <w:p>
            <w:pPr>
              <w:spacing w:after="0"/>
              <w:rPr>
                <w:sz w:val="22"/>
                <w:szCs w:val="22"/>
                <w:color w:val="auto"/>
              </w:rPr>
            </w:pPr>
          </w:p>
        </w:tc>
        <w:tc>
          <w:tcPr>
            <w:tcW w:w="1760" w:type="dxa"/>
            <w:vAlign w:val="bottom"/>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02/22/2024</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4"/>
              </w:rPr>
              <w:t>24,332</w:t>
            </w:r>
          </w:p>
        </w:tc>
        <w:tc>
          <w:tcPr>
            <w:tcW w:w="80" w:type="dxa"/>
            <w:vAlign w:val="bottom"/>
          </w:tcPr>
          <w:p>
            <w:pPr>
              <w:spacing w:after="0"/>
              <w:rPr>
                <w:sz w:val="22"/>
                <w:szCs w:val="22"/>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22.51</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227,330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334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02/22/2024</w:t>
            </w:r>
          </w:p>
        </w:tc>
        <w:tc>
          <w:tcPr>
            <w:tcW w:w="114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21,149</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21,149</w:t>
            </w:r>
          </w:p>
        </w:tc>
        <w:tc>
          <w:tcPr>
            <w:tcW w:w="16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78,579</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is the economic equivalent of one Civeo Corporation common share and is payable in cash. The phantom shares vest at various times based on grant date. 21,149 shares vested on February 22, 2024.</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performance share award under the 2014 Equity Participation Plan of Civeo Corporation that cliff vested at 97% on the third anniversary of February 22, 2021.</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02/26/2024</w:t>
            </w: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2024-02-26T20:28:24Z</dcterms:created>
  <dcterms:modified xsi:type="dcterms:W3CDTF">2024-02-26T20:28:24Z</dcterms:modified>
</cp:coreProperties>
</file>