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CIVEO CORP</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#17878Y108</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#17878Y108</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(a)</w:t>
            </w:r>
          </w:p>
        </w:tc>
        <w:tc>
          <w:tcPr>
            <w:tcW w:w="4960" w:type="dxa"/>
            <w:vAlign w:val="bottom"/>
          </w:tcPr>
          <w:p>
            <w:pPr>
              <w:spacing w:after="0"/>
              <w:rPr>
                <w:sz w:val="20"/>
                <w:szCs w:val="20"/>
                <w:color w:val="auto"/>
              </w:rPr>
            </w:pPr>
            <w:r>
              <w:rPr>
                <w:rFonts w:ascii="Courier New" w:cs="Courier New" w:eastAsia="Courier New" w:hAnsi="Courier New"/>
                <w:sz w:val="18"/>
                <w:szCs w:val="18"/>
                <w:color w:val="auto"/>
              </w:rPr>
              <w:t>[ ]</w:t>
            </w:r>
          </w:p>
        </w:tc>
      </w:tr>
      <w:tr>
        <w:trPr>
          <w:trHeight w:val="203"/>
        </w:trPr>
        <w:tc>
          <w:tcPr>
            <w:tcW w:w="2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869,287</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13,685,822</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13,685,822</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12.752%</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HC</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#17878Y108</w:t>
            </w:r>
          </w:p>
        </w:tc>
        <w:tc>
          <w:tcPr>
            <w:tcW w:w="10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Reporting Person - Edward C. Johnson 3d</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13,685,822</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13,685,822</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12.752%</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#17878Y108</w:t>
            </w:r>
          </w:p>
        </w:tc>
        <w:tc>
          <w:tcPr>
            <w:tcW w:w="10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13,685,822</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13,685,822</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12.752%</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#17878Y108</w:t>
            </w:r>
          </w:p>
        </w:tc>
        <w:tc>
          <w:tcPr>
            <w:tcW w:w="10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Reporting Person - Fidelity Low-Priced Stock Fund</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Massachusetts</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9,560,200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9,560,200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8.907%</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IV</w:t>
            </w:r>
          </w:p>
        </w:tc>
        <w:tc>
          <w:tcPr>
            <w:tcW w:w="4960" w:type="dxa"/>
            <w:vAlign w:val="bottom"/>
          </w:tcPr>
          <w:p>
            <w:pPr>
              <w:spacing w:after="0"/>
              <w:rPr>
                <w:sz w:val="17"/>
                <w:szCs w:val="17"/>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59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Courier New" w:cs="Courier New" w:eastAsia="Courier New" w:hAnsi="Courier New"/>
                <w:sz w:val="18"/>
                <w:szCs w:val="18"/>
                <w:color w:val="auto"/>
              </w:rPr>
              <w:t>CIVEO CORP</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59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Courier New" w:cs="Courier New" w:eastAsia="Courier New" w:hAnsi="Courier New"/>
                <w:sz w:val="18"/>
                <w:szCs w:val="18"/>
                <w:color w:val="auto"/>
              </w:rPr>
              <w:t>3 Allen Center</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333 Clay St, Ste 4620</w:t>
            </w:r>
          </w:p>
        </w:tc>
        <w:tc>
          <w:tcPr>
            <w:tcW w:w="10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Houston, TX 77002</w:t>
            </w:r>
          </w:p>
        </w:tc>
      </w:tr>
      <w:tr>
        <w:trPr>
          <w:trHeight w:val="203"/>
        </w:trPr>
        <w:tc>
          <w:tcPr>
            <w:tcW w:w="2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USA</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59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60" w:type="dxa"/>
            <w:vAlign w:val="bottom"/>
          </w:tcPr>
          <w:p>
            <w:pPr>
              <w:ind w:left="100"/>
              <w:spacing w:after="0"/>
              <w:rPr>
                <w:sz w:val="20"/>
                <w:szCs w:val="20"/>
                <w:color w:val="auto"/>
              </w:rPr>
            </w:pPr>
            <w:r>
              <w:rPr>
                <w:rFonts w:ascii="Courier New" w:cs="Courier New" w:eastAsia="Courier New" w:hAnsi="Courier New"/>
                <w:sz w:val="18"/>
                <w:szCs w:val="18"/>
                <w:color w:val="auto"/>
              </w:rPr>
              <w:t>FMR LLC</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59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10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60" w:type="dxa"/>
            <w:vAlign w:val="bottom"/>
          </w:tcPr>
          <w:p>
            <w:pPr>
              <w:ind w:left="100"/>
              <w:spacing w:after="0"/>
              <w:rPr>
                <w:sz w:val="20"/>
                <w:szCs w:val="20"/>
                <w:color w:val="auto"/>
              </w:rPr>
            </w:pPr>
            <w:r>
              <w:rPr>
                <w:rFonts w:ascii="Courier New" w:cs="Courier New" w:eastAsia="Courier New" w:hAnsi="Courier New"/>
                <w:sz w:val="18"/>
                <w:szCs w:val="18"/>
                <w:color w:val="auto"/>
                <w:w w:val="97"/>
              </w:rPr>
              <w:t>245 Summer Street, Boston, Massachusetts 02210</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59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Citizenship:</w:t>
            </w:r>
          </w:p>
        </w:tc>
      </w:tr>
    </w:tbl>
    <w:p>
      <w:pPr>
        <w:sectPr>
          <w:pgSz w:w="11900" w:h="16855"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9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1160" w:type="dxa"/>
            <w:vAlign w:val="bottom"/>
          </w:tcPr>
          <w:p>
            <w:pPr>
              <w:ind w:left="580"/>
              <w:spacing w:after="0"/>
              <w:rPr>
                <w:sz w:val="20"/>
                <w:szCs w:val="20"/>
                <w:color w:val="auto"/>
              </w:rPr>
            </w:pPr>
            <w:r>
              <w:rPr>
                <w:rFonts w:ascii="Courier New" w:cs="Courier New" w:eastAsia="Courier New" w:hAnsi="Courier New"/>
                <w:sz w:val="18"/>
                <w:szCs w:val="18"/>
                <w:color w:val="auto"/>
              </w:rPr>
              <w:t>Title</w:t>
            </w: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Class of Securities:</w:t>
            </w: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COMMON STOCK</w:t>
            </w: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1160" w:type="dxa"/>
            <w:vAlign w:val="bottom"/>
          </w:tcPr>
          <w:p>
            <w:pPr>
              <w:ind w:left="580"/>
              <w:spacing w:after="0"/>
              <w:rPr>
                <w:sz w:val="20"/>
                <w:szCs w:val="20"/>
                <w:color w:val="auto"/>
              </w:rPr>
            </w:pPr>
            <w:r>
              <w:rPr>
                <w:rFonts w:ascii="Courier New" w:cs="Courier New" w:eastAsia="Courier New" w:hAnsi="Courier New"/>
                <w:sz w:val="18"/>
                <w:szCs w:val="18"/>
                <w:color w:val="auto"/>
              </w:rPr>
              <w:t>CUSIP</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w w:val="95"/>
              </w:rPr>
              <w:t>Number:</w:t>
            </w:r>
          </w:p>
        </w:tc>
        <w:tc>
          <w:tcPr>
            <w:tcW w:w="1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17878Y108</w:t>
            </w: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060" w:type="dxa"/>
            <w:vAlign w:val="bottom"/>
            <w:gridSpan w:val="5"/>
          </w:tcPr>
          <w:p>
            <w:pPr>
              <w:ind w:left="480"/>
              <w:spacing w:after="0"/>
              <w:rPr>
                <w:sz w:val="20"/>
                <w:szCs w:val="20"/>
                <w:color w:val="auto"/>
              </w:rPr>
            </w:pPr>
            <w:r>
              <w:rPr>
                <w:rFonts w:ascii="Courier New" w:cs="Courier New" w:eastAsia="Courier New" w:hAnsi="Courier New"/>
                <w:sz w:val="18"/>
                <w:szCs w:val="18"/>
                <w:color w:val="auto"/>
                <w:w w:val="99"/>
              </w:rPr>
              <w:t>This statement is filed pursuant to Rule 13d-1(b) or 13d-2(b)</w:t>
            </w:r>
          </w:p>
        </w:tc>
        <w:tc>
          <w:tcPr>
            <w:tcW w:w="26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91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person filing, FMR LLC, is a parent holding company in accordance with</w:t>
            </w:r>
          </w:p>
        </w:tc>
        <w:tc>
          <w:tcPr>
            <w:tcW w:w="260" w:type="dxa"/>
            <w:vAlign w:val="bottom"/>
          </w:tcPr>
          <w:p>
            <w:pPr>
              <w:spacing w:after="0"/>
              <w:rPr>
                <w:sz w:val="17"/>
                <w:szCs w:val="17"/>
                <w:color w:val="auto"/>
              </w:rPr>
            </w:pPr>
          </w:p>
        </w:tc>
      </w:tr>
      <w:tr>
        <w:trPr>
          <w:trHeight w:val="203"/>
        </w:trPr>
        <w:tc>
          <w:tcPr>
            <w:tcW w:w="67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9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Ownership</w:t>
            </w:r>
          </w:p>
        </w:tc>
        <w:tc>
          <w:tcPr>
            <w:tcW w:w="1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ind w:left="480"/>
              <w:spacing w:after="0"/>
              <w:rPr>
                <w:sz w:val="20"/>
                <w:szCs w:val="20"/>
                <w:color w:val="auto"/>
              </w:rPr>
            </w:pPr>
            <w:r>
              <w:rPr>
                <w:rFonts w:ascii="Courier New" w:cs="Courier New" w:eastAsia="Courier New" w:hAnsi="Courier New"/>
                <w:sz w:val="18"/>
                <w:szCs w:val="18"/>
                <w:color w:val="auto"/>
              </w:rPr>
              <w:t>(a)</w:t>
            </w:r>
          </w:p>
        </w:tc>
        <w:tc>
          <w:tcPr>
            <w:tcW w:w="34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2420" w:type="dxa"/>
            <w:vAlign w:val="bottom"/>
          </w:tcPr>
          <w:p>
            <w:pPr>
              <w:jc w:val="right"/>
              <w:ind w:right="1232"/>
              <w:spacing w:after="0"/>
              <w:rPr>
                <w:sz w:val="20"/>
                <w:szCs w:val="20"/>
                <w:color w:val="auto"/>
              </w:rPr>
            </w:pPr>
            <w:r>
              <w:rPr>
                <w:rFonts w:ascii="Courier New" w:cs="Courier New" w:eastAsia="Courier New" w:hAnsi="Courier New"/>
                <w:sz w:val="18"/>
                <w:szCs w:val="18"/>
                <w:color w:val="auto"/>
                <w:w w:val="99"/>
              </w:rPr>
              <w:t>13,685,822</w:t>
            </w: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ind w:left="480"/>
              <w:spacing w:after="0"/>
              <w:rPr>
                <w:sz w:val="20"/>
                <w:szCs w:val="20"/>
                <w:color w:val="auto"/>
              </w:rPr>
            </w:pPr>
            <w:r>
              <w:rPr>
                <w:rFonts w:ascii="Courier New" w:cs="Courier New" w:eastAsia="Courier New" w:hAnsi="Courier New"/>
                <w:sz w:val="18"/>
                <w:szCs w:val="18"/>
                <w:color w:val="auto"/>
              </w:rPr>
              <w:t>(b)</w:t>
            </w: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12.752%</w:t>
            </w: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ind w:left="480"/>
              <w:spacing w:after="0"/>
              <w:rPr>
                <w:sz w:val="20"/>
                <w:szCs w:val="20"/>
                <w:color w:val="auto"/>
              </w:rPr>
            </w:pPr>
            <w:r>
              <w:rPr>
                <w:rFonts w:ascii="Courier New" w:cs="Courier New" w:eastAsia="Courier New" w:hAnsi="Courier New"/>
                <w:sz w:val="18"/>
                <w:szCs w:val="18"/>
                <w:color w:val="auto"/>
              </w:rPr>
              <w:t>(c)</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Number</w:t>
            </w:r>
          </w:p>
        </w:tc>
        <w:tc>
          <w:tcPr>
            <w:tcW w:w="5100" w:type="dxa"/>
            <w:vAlign w:val="bottom"/>
            <w:gridSpan w:val="3"/>
          </w:tcPr>
          <w:p>
            <w:pPr>
              <w:jc w:val="right"/>
              <w:ind w:right="1012"/>
              <w:spacing w:after="0"/>
              <w:rPr>
                <w:sz w:val="20"/>
                <w:szCs w:val="20"/>
                <w:color w:val="auto"/>
              </w:rPr>
            </w:pPr>
            <w:r>
              <w:rPr>
                <w:rFonts w:ascii="Courier New" w:cs="Courier New" w:eastAsia="Courier New" w:hAnsi="Courier New"/>
                <w:sz w:val="18"/>
                <w:szCs w:val="18"/>
                <w:color w:val="auto"/>
                <w:w w:val="96"/>
              </w:rPr>
              <w:t>of shares as to which such person has:</w:t>
            </w: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(i)</w:t>
            </w:r>
          </w:p>
        </w:tc>
        <w:tc>
          <w:tcPr>
            <w:tcW w:w="510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w w:val="97"/>
              </w:rPr>
              <w:t>sole power to vote or to direct the vote:</w:t>
            </w:r>
          </w:p>
        </w:tc>
        <w:tc>
          <w:tcPr>
            <w:tcW w:w="26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869,287</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(ii)</w:t>
            </w:r>
          </w:p>
        </w:tc>
        <w:tc>
          <w:tcPr>
            <w:tcW w:w="5100" w:type="dxa"/>
            <w:vAlign w:val="bottom"/>
            <w:gridSpan w:val="3"/>
          </w:tcPr>
          <w:p>
            <w:pPr>
              <w:jc w:val="right"/>
              <w:ind w:right="392"/>
              <w:spacing w:after="0"/>
              <w:rPr>
                <w:sz w:val="20"/>
                <w:szCs w:val="20"/>
                <w:color w:val="auto"/>
              </w:rPr>
            </w:pPr>
            <w:r>
              <w:rPr>
                <w:rFonts w:ascii="Courier New" w:cs="Courier New" w:eastAsia="Courier New" w:hAnsi="Courier New"/>
                <w:sz w:val="18"/>
                <w:szCs w:val="18"/>
                <w:color w:val="auto"/>
                <w:w w:val="99"/>
              </w:rPr>
              <w:t>shared power to vote or to direct the vote:</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(iii)</w:t>
            </w:r>
          </w:p>
        </w:tc>
        <w:tc>
          <w:tcPr>
            <w:tcW w:w="5100" w:type="dxa"/>
            <w:vAlign w:val="bottom"/>
            <w:gridSpan w:val="3"/>
          </w:tcPr>
          <w:p>
            <w:pPr>
              <w:jc w:val="right"/>
              <w:ind w:right="812"/>
              <w:spacing w:after="0"/>
              <w:rPr>
                <w:sz w:val="20"/>
                <w:szCs w:val="20"/>
                <w:color w:val="auto"/>
              </w:rPr>
            </w:pPr>
            <w:r>
              <w:rPr>
                <w:rFonts w:ascii="Courier New" w:cs="Courier New" w:eastAsia="Courier New" w:hAnsi="Courier New"/>
                <w:sz w:val="18"/>
                <w:szCs w:val="18"/>
                <w:color w:val="auto"/>
              </w:rPr>
              <w:t>sole power to dispose or to direct the</w:t>
            </w:r>
          </w:p>
        </w:tc>
        <w:tc>
          <w:tcPr>
            <w:tcW w:w="26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9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13,685,822</w:t>
            </w:r>
          </w:p>
        </w:tc>
        <w:tc>
          <w:tcPr>
            <w:tcW w:w="1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(iv)</w:t>
            </w:r>
          </w:p>
        </w:tc>
        <w:tc>
          <w:tcPr>
            <w:tcW w:w="510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w w:val="99"/>
              </w:rPr>
              <w:t>shared power to dispose or to direct the</w:t>
            </w:r>
          </w:p>
        </w:tc>
        <w:tc>
          <w:tcPr>
            <w:tcW w:w="26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1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060" w:type="dxa"/>
            <w:vAlign w:val="bottom"/>
            <w:gridSpan w:val="5"/>
          </w:tcPr>
          <w:p>
            <w:pPr>
              <w:ind w:left="480"/>
              <w:spacing w:after="0"/>
              <w:rPr>
                <w:sz w:val="20"/>
                <w:szCs w:val="20"/>
                <w:color w:val="auto"/>
              </w:rPr>
            </w:pPr>
            <w:r>
              <w:rPr>
                <w:rFonts w:ascii="Courier New" w:cs="Courier New" w:eastAsia="Courier New" w:hAnsi="Courier New"/>
                <w:sz w:val="18"/>
                <w:szCs w:val="18"/>
                <w:color w:val="auto"/>
              </w:rPr>
              <w:t>Ownership of Five Percent or Less of a Class.</w:t>
            </w:r>
          </w:p>
        </w:tc>
        <w:tc>
          <w:tcPr>
            <w:tcW w:w="260" w:type="dxa"/>
            <w:vAlign w:val="bottom"/>
          </w:tcPr>
          <w:p>
            <w:pPr>
              <w:spacing w:after="0"/>
              <w:rPr>
                <w:sz w:val="24"/>
                <w:szCs w:val="24"/>
                <w:color w:val="auto"/>
              </w:rPr>
            </w:pPr>
          </w:p>
        </w:tc>
      </w:tr>
    </w:tbl>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779"/>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sz w:val="20"/>
          <w:szCs w:val="20"/>
          <w:color w:val="auto"/>
        </w:rPr>
      </w:pPr>
    </w:p>
    <w:p>
      <w:pPr>
        <w:spacing w:after="0" w:line="204" w:lineRule="exact"/>
        <w:rPr>
          <w:sz w:val="20"/>
          <w:szCs w:val="20"/>
          <w:color w:val="auto"/>
        </w:rPr>
      </w:pPr>
    </w:p>
    <w:p>
      <w:pPr>
        <w:ind w:right="2199" w:firstLine="843"/>
        <w:spacing w:after="0" w:line="275"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CIVEO CORP. No one other person's interest in the COMMON STOCK of CIVEO CORP is more than five percent of the total outstanding COMMON STOCK.</w:t>
      </w:r>
    </w:p>
    <w:p>
      <w:pPr>
        <w:spacing w:after="0" w:line="182"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339"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339"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339"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339"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339"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August 7, 2015</w:t>
      </w:r>
    </w:p>
    <w:p>
      <w:pPr>
        <w:sectPr>
          <w:pgSz w:w="11900" w:h="16838" w:orient="portrait"/>
          <w:cols w:equalWidth="0" w:num="1">
            <w:col w:w="10219"/>
          </w:cols>
          <w:pgMar w:left="240" w:top="339" w:right="1440" w:bottom="0" w:gutter="0" w:footer="0" w:header="0"/>
          <w:type w:val="continuous"/>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Scott C. Goebel</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spacing w:after="0" w:line="4"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51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FMR LLC on June 10, 2014, accession number: 0000315066-14-003512.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Entity</w:t>
        <w:tab/>
        <w:t>ITEM 3 Classification</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line="238" w:lineRule="auto"/>
        <w:rPr>
          <w:sz w:val="20"/>
          <w:szCs w:val="20"/>
          <w:color w:val="auto"/>
        </w:rPr>
      </w:pPr>
      <w:r>
        <w:rPr>
          <w:rFonts w:ascii="Courier New" w:cs="Courier New" w:eastAsia="Courier New" w:hAnsi="Courier New"/>
          <w:sz w:val="18"/>
          <w:szCs w:val="18"/>
          <w:color w:val="auto"/>
        </w:rPr>
        <w:t>PYRAMIS GLOBAL ADVISORS,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3060" w:space="320"/>
            <w:col w:w="6839"/>
          </w:cols>
          <w:pgMar w:left="240" w:top="136" w:right="1440" w:bottom="0" w:gutter="0" w:footer="0" w:header="0"/>
          <w:type w:val="continuous"/>
        </w:sectPr>
      </w:pPr>
    </w:p>
    <w:p>
      <w:pPr>
        <w:spacing w:after="0" w:line="209" w:lineRule="exact"/>
        <w:rPr>
          <w:sz w:val="20"/>
          <w:szCs w:val="20"/>
          <w:color w:val="auto"/>
        </w:rPr>
      </w:pPr>
    </w:p>
    <w:p>
      <w:pPr>
        <w:ind w:right="25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419" w:firstLine="1685"/>
        <w:spacing w:after="0" w:line="236" w:lineRule="auto"/>
        <w:rPr>
          <w:sz w:val="20"/>
          <w:szCs w:val="20"/>
          <w:color w:val="auto"/>
        </w:rPr>
      </w:pPr>
      <w:r>
        <w:rPr>
          <w:rFonts w:ascii="Courier New" w:cs="Courier New" w:eastAsia="Courier New" w:hAnsi="Courier New"/>
          <w:sz w:val="18"/>
          <w:szCs w:val="18"/>
          <w:color w:val="auto"/>
        </w:rPr>
        <w:t>Edward C. Johnson 3d is a Director and the Chairman of FMR LLC and Abigail P. Johnson is a Director, the Vice Chairman, the Chief Executive Officer and the President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68" w:lineRule="auto"/>
        <w:rPr>
          <w:sz w:val="20"/>
          <w:szCs w:val="20"/>
          <w:color w:val="auto"/>
        </w:rPr>
      </w:pPr>
      <w:r>
        <w:rPr>
          <w:rFonts w:ascii="Courier New" w:cs="Courier New" w:eastAsia="Courier New" w:hAnsi="Courier New"/>
          <w:sz w:val="16"/>
          <w:szCs w:val="16"/>
          <w:color w:val="auto"/>
        </w:rPr>
        <w:t>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235" w:lineRule="auto"/>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Edward C. Johnson 3d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739" w:firstLine="1685"/>
        <w:spacing w:after="0" w:line="237" w:lineRule="auto"/>
        <w:rPr>
          <w:sz w:val="20"/>
          <w:szCs w:val="20"/>
          <w:color w:val="auto"/>
        </w:rPr>
      </w:pPr>
      <w:r>
        <w:rPr>
          <w:rFonts w:ascii="Courier New" w:cs="Courier New" w:eastAsia="Courier New" w:hAnsi="Courier New"/>
          <w:sz w:val="18"/>
          <w:szCs w:val="18"/>
          <w:color w:val="auto"/>
        </w:rPr>
        <w:t>The undersigned persons, on August 7, 2015, agree and consent to the joint filing on their behalf of this Schedule 13G in connection with their beneficial ownership of the COMMON STOCK of CIVEO CORP at July 31, 2015.</w:t>
      </w:r>
    </w:p>
    <w:p>
      <w:pPr>
        <w:sectPr>
          <w:pgSz w:w="11900" w:h="16838" w:orient="portrait"/>
          <w:cols w:equalWidth="0" w:num="1">
            <w:col w:w="10219"/>
          </w:cols>
          <w:pgMar w:left="240" w:top="136" w:right="1440" w:bottom="0" w:gutter="0" w:footer="0" w:header="0"/>
          <w:type w:val="continuous"/>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April 24, 2014, by and on behalf of Abigail P. Johnson*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Low-Priced Stock Fund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9" w:lineRule="exact"/>
        <w:rPr>
          <w:sz w:val="20"/>
          <w:szCs w:val="20"/>
          <w:color w:val="auto"/>
        </w:rPr>
      </w:pPr>
    </w:p>
    <w:p>
      <w:pPr>
        <w:ind w:right="2519" w:firstLine="8"/>
        <w:spacing w:after="0" w:line="236"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FMR LLC on June 10, 2014, accession number: 0000315066-14-003512.</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2019-12-09T03:34:40Z</dcterms:created>
  <dcterms:modified xsi:type="dcterms:W3CDTF">2019-12-09T03:34:40Z</dcterms:modified>
</cp:coreProperties>
</file>