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 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6, 2025</w:t>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____________________</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Civeo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r>
    </w:p>
    <w:tbl>
      <w:tblPr>
        <w:tblW w:w="6865" w:type="dxa"/>
        <w:jc w:val="left"/>
        <w:tblInd w:w="0" w:type="dxa"/>
        <w:tblLayout w:type="fixed"/>
        <w:tblCellMar>
          <w:top w:w="28" w:type="dxa"/>
          <w:left w:w="28" w:type="dxa"/>
          <w:bottom w:w="28" w:type="dxa"/>
          <w:right w:w="28" w:type="dxa"/>
        </w:tblCellMar>
      </w:tblPr>
      <w:tblGrid>
        <w:gridCol w:w="1017"/>
        <w:gridCol w:w="891"/>
        <w:gridCol w:w="896"/>
        <w:gridCol w:w="109"/>
        <w:gridCol w:w="109"/>
        <w:gridCol w:w="109"/>
        <w:gridCol w:w="693"/>
        <w:gridCol w:w="693"/>
        <w:gridCol w:w="699"/>
        <w:gridCol w:w="110"/>
        <w:gridCol w:w="110"/>
        <w:gridCol w:w="110"/>
        <w:gridCol w:w="386"/>
        <w:gridCol w:w="386"/>
        <w:gridCol w:w="547"/>
      </w:tblGrid>
      <w:tr>
        <w:trPr/>
        <w:tc>
          <w:tcPr>
            <w:tcW w:w="101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1-36246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98-1253716</w:t>
            </w:r>
          </w:p>
        </w:tc>
      </w:tr>
      <w:tr>
        <w:trPr/>
        <w:tc>
          <w:tcPr>
            <w:tcW w:w="31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 or organization)</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164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1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Three Allen Center</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38" w:type="dxa"/>
        <w:jc w:val="center"/>
        <w:tblInd w:w="0" w:type="dxa"/>
        <w:tblLayout w:type="fixed"/>
        <w:tblCellMar>
          <w:top w:w="28" w:type="dxa"/>
          <w:left w:w="28" w:type="dxa"/>
          <w:bottom w:w="28" w:type="dxa"/>
          <w:right w:w="28" w:type="dxa"/>
        </w:tblCellMar>
      </w:tblPr>
      <w:tblGrid>
        <w:gridCol w:w="630"/>
        <w:gridCol w:w="552"/>
        <w:gridCol w:w="557"/>
        <w:gridCol w:w="350"/>
        <w:gridCol w:w="350"/>
        <w:gridCol w:w="499"/>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333 Clay Street,</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Suite 4980</w:t>
            </w:r>
          </w:p>
        </w:tc>
      </w:tr>
    </w:tbl>
    <w:tbl>
      <w:tblPr>
        <w:tblW w:w="5076" w:type="dxa"/>
        <w:jc w:val="center"/>
        <w:tblInd w:w="0" w:type="dxa"/>
        <w:tblLayout w:type="fixed"/>
        <w:tblCellMar>
          <w:top w:w="28" w:type="dxa"/>
          <w:left w:w="28" w:type="dxa"/>
          <w:bottom w:w="28" w:type="dxa"/>
          <w:right w:w="28" w:type="dxa"/>
        </w:tblCellMar>
      </w:tblPr>
      <w:tblGrid>
        <w:gridCol w:w="124"/>
        <w:gridCol w:w="109"/>
        <w:gridCol w:w="109"/>
        <w:gridCol w:w="594"/>
        <w:gridCol w:w="594"/>
        <w:gridCol w:w="598"/>
        <w:gridCol w:w="445"/>
        <w:gridCol w:w="445"/>
        <w:gridCol w:w="449"/>
        <w:gridCol w:w="412"/>
        <w:gridCol w:w="412"/>
        <w:gridCol w:w="41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Houston,</w:t>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Texas </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77002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and zip code of principal executive offices)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color w:val="000000"/>
          <w:sz w:val="20"/>
        </w:rPr>
        <w:t xml:space="preserve">Registrant’s telephone number, including area code: </w:t>
      </w:r>
      <w:r>
        <w:rPr>
          <w:rFonts w:ascii="Times New Roman;sans-serif" w:hAnsi="Times New Roman;sans-serif"/>
          <w:b w:val="false"/>
          <w:color w:val="000000"/>
          <w:sz w:val="20"/>
        </w:rPr>
        <w:t>(713) 510-2400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39" w:type="dxa"/>
        <w:jc w:val="left"/>
        <w:tblInd w:w="0" w:type="dxa"/>
        <w:tblLayout w:type="fixed"/>
        <w:tblCellMar>
          <w:top w:w="28" w:type="dxa"/>
          <w:left w:w="28" w:type="dxa"/>
          <w:bottom w:w="28" w:type="dxa"/>
          <w:right w:w="28" w:type="dxa"/>
        </w:tblCellMar>
      </w:tblPr>
      <w:tblGrid>
        <w:gridCol w:w="916"/>
        <w:gridCol w:w="807"/>
        <w:gridCol w:w="812"/>
        <w:gridCol w:w="539"/>
        <w:gridCol w:w="539"/>
        <w:gridCol w:w="541"/>
        <w:gridCol w:w="1138"/>
        <w:gridCol w:w="1138"/>
        <w:gridCol w:w="1609"/>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88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535"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no par value</w:t>
            </w:r>
          </w:p>
        </w:tc>
        <w:tc>
          <w:tcPr>
            <w:tcW w:w="1619"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CVEO</w:t>
            </w:r>
          </w:p>
        </w:tc>
        <w:tc>
          <w:tcPr>
            <w:tcW w:w="388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1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Emerging growth company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2.01. Completion of Acquisition or Disposition of Assets.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6, 2025, a wholly owned subsidiary of Civeo Corporation (the “Company”), Civeo Pty Ltd (the “Buyer”), completed its previously announced acquisition of four villages with 1,340 rooms in Australia’s Bowen Basin and the associated assets and customer contracts pursuant to an Asset Sale and Purchase Agreement (the “Purchase Agreement”), dated February 18, 2025, between the Company, the Buyer, the seller parties named therein (collectively, the “Sellers”), and Graham William Cleary as the Seller Guarantor. The Company paid to the Sellers an amount of cash equal to A$105,000,000 which was funded with cash on hand and borrowings under the Company’s revolving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w:t>
      </w:r>
    </w:p>
    <w:tbl>
      <w:tblPr>
        <w:tblW w:w="10205" w:type="dxa"/>
        <w:jc w:val="left"/>
        <w:tblInd w:w="0" w:type="dxa"/>
        <w:tblLayout w:type="fixed"/>
        <w:tblCellMar>
          <w:top w:w="28" w:type="dxa"/>
          <w:left w:w="28" w:type="dxa"/>
          <w:bottom w:w="28" w:type="dxa"/>
          <w:right w:w="28" w:type="dxa"/>
        </w:tblCellMar>
      </w:tblPr>
      <w:tblGrid>
        <w:gridCol w:w="326"/>
        <w:gridCol w:w="287"/>
        <w:gridCol w:w="288"/>
        <w:gridCol w:w="2808"/>
        <w:gridCol w:w="2691"/>
        <w:gridCol w:w="3805"/>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 xml:space="preserve">Exhibit </w:t>
            </w:r>
            <w:r>
              <w:rPr>
                <w:rFonts w:ascii="Times New Roman;sans-serif" w:hAnsi="Times New Roman;sans-serif"/>
                <w:b w:val="false"/>
                <w:color w:val="000000"/>
                <w:sz w:val="24"/>
                <w:u w:val="single"/>
              </w:rPr>
              <w:br/>
              <w:t>Number</w:t>
            </w:r>
          </w:p>
        </w:tc>
        <w:tc>
          <w:tcPr>
            <w:tcW w:w="9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Description of Document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2.1</w:t>
            </w:r>
          </w:p>
        </w:tc>
        <w:tc>
          <w:tcPr>
            <w:tcW w:w="9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80"/>
                  <w:sz w:val="24"/>
                  <w:u w:val="single"/>
                </w:rPr>
                <w:t xml:space="preserve">Asset Sale and Purchase Agreement, dated February 18, 2025, between Civeo Pty Ltd, the sellers party thereto and Graham William Cleary, as seller guarantor (incorporated herein by reference to Exhibit 2.1 to the Company’s </w:t>
              </w:r>
            </w:hyperlink>
            <w:hyperlink r:id="rId3">
              <w:r>
                <w:rPr>
                  <w:rStyle w:val="InternetLink"/>
                  <w:rFonts w:ascii="Times New Roman;sans-serif" w:hAnsi="Times New Roman;sans-serif"/>
                  <w:b w:val="false"/>
                  <w:color w:val="000080"/>
                  <w:sz w:val="24"/>
                  <w:u w:val="single"/>
                </w:rPr>
                <w:t>Quarterly</w:t>
              </w:r>
            </w:hyperlink>
            <w:hyperlink r:id="rId4">
              <w:r>
                <w:rPr>
                  <w:rStyle w:val="InternetLink"/>
                  <w:rFonts w:ascii="Times New Roman;sans-serif" w:hAnsi="Times New Roman;sans-serif"/>
                  <w:b w:val="false"/>
                  <w:color w:val="000080"/>
                  <w:sz w:val="24"/>
                  <w:u w:val="single"/>
                </w:rPr>
                <w:t xml:space="preserve"> Report on Form 10-Q (File No. 001-36246) filed on April 30, 2025). </w:t>
              </w:r>
            </w:hyperlink>
          </w:p>
          <w:p>
            <w:pPr>
              <w:pStyle w:val="TableContents"/>
              <w:bidi w:val="0"/>
              <w:spacing w:before="0" w:after="0"/>
              <w:jc w:val="left"/>
              <w:rPr/>
            </w:pPr>
            <w:r>
              <w:rPr/>
            </w:r>
          </w:p>
          <w:p>
            <w:pPr>
              <w:pStyle w:val="TableContents"/>
              <w:bidi w:val="0"/>
              <w:spacing w:before="0" w:after="0"/>
              <w:jc w:val="left"/>
              <w:rPr/>
            </w:pPr>
            <w:r>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104</w:t>
            </w:r>
          </w:p>
        </w:tc>
        <w:tc>
          <w:tcPr>
            <w:tcW w:w="9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May 7,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color w:val="000000"/>
        </w:rPr>
        <w:t>            </w:t>
      </w:r>
      <w:r>
        <w:rPr>
          <w:rFonts w:ascii="Times New Roman;sans-serif" w:hAnsi="Times New Roman;sans-serif"/>
          <w:b/>
          <w:color w:val="000000"/>
          <w:sz w:val="24"/>
        </w:rPr>
        <w:t>CIVEO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                    </w:t>
      </w: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/s/ E. Collin Gerry </w:t>
      </w:r>
      <w:r>
        <w:rPr>
          <w:rFonts w:ascii="Times New Roman;sans-serif" w:hAnsi="Times New Roman;sans-serif"/>
          <w:b w:val="false"/>
          <w:color w:val="FFFFFF"/>
          <w:sz w:val="24"/>
          <w:u w:val="single"/>
        </w:rPr>
        <w:t>,</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4"/>
        </w:rPr>
        <w:t>Name:    E. Collin Gerry</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Senior Vice President, Chief Financial Officer and Treasurer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0584/000159058425000082/a21projectsolace-assetsale.htm" TargetMode="External"/><Relationship Id="rId3" Type="http://schemas.openxmlformats.org/officeDocument/2006/relationships/hyperlink" Target="https://www.sec.gov/Archives/edgar/data/1590584/000159058425000082/a21projectsolace-assetsale.htm" TargetMode="External"/><Relationship Id="rId4" Type="http://schemas.openxmlformats.org/officeDocument/2006/relationships/hyperlink" Target="https://www.sec.gov/Archives/edgar/data/1590584/000159058425000082/a21projectsolace-assetsale.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546</Words>
  <Characters>3038</Characters>
  <CharactersWithSpaces>3599</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