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color w:val="auto"/>
        </w:rPr>
        <w:t>SECURITIES AND EXCHANGE COMMISSION</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Washington, D.C. 20549</w:t>
      </w:r>
    </w:p>
    <w:p>
      <w:pPr>
        <w:spacing w:after="0" w:line="16" w:lineRule="exact"/>
        <w:rPr>
          <w:sz w:val="24"/>
          <w:szCs w:val="24"/>
          <w:color w:val="auto"/>
        </w:rPr>
      </w:pPr>
    </w:p>
    <w:p>
      <w:pPr>
        <w:ind w:left="4920"/>
        <w:spacing w:after="0"/>
        <w:rPr>
          <w:sz w:val="20"/>
          <w:szCs w:val="20"/>
          <w:color w:val="auto"/>
        </w:rPr>
      </w:pPr>
      <w:r>
        <w:rPr>
          <w:rFonts w:ascii="Arial" w:cs="Arial" w:eastAsia="Arial" w:hAnsi="Arial"/>
          <w:sz w:val="20"/>
          <w:szCs w:val="20"/>
          <w:color w:val="auto"/>
        </w:rPr>
        <w:t>_______________</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SCHEDULE 13D/A</w:t>
      </w:r>
    </w:p>
    <w:p>
      <w:pPr>
        <w:spacing w:after="0" w:line="229" w:lineRule="exact"/>
        <w:rPr>
          <w:sz w:val="24"/>
          <w:szCs w:val="24"/>
          <w:color w:val="auto"/>
        </w:rPr>
      </w:pPr>
    </w:p>
    <w:p>
      <w:pPr>
        <w:jc w:val="center"/>
        <w:ind w:left="480" w:right="2260"/>
        <w:spacing w:after="0" w:line="250" w:lineRule="auto"/>
        <w:rPr>
          <w:sz w:val="20"/>
          <w:szCs w:val="20"/>
          <w:color w:val="auto"/>
        </w:rPr>
      </w:pPr>
      <w:r>
        <w:rPr>
          <w:rFonts w:ascii="Arial" w:cs="Arial" w:eastAsia="Arial" w:hAnsi="Arial"/>
          <w:sz w:val="20"/>
          <w:szCs w:val="20"/>
          <w:color w:val="auto"/>
        </w:rPr>
        <w:t>INFORMATION TO BE INCLUDED IN STATEMENTS FILED PURSUANT TO RULE 13d-1(a) AND AMENDMENTS THERETO FILED PURSUANT TO RULE 13d-2(a)</w:t>
      </w:r>
    </w:p>
    <w:p>
      <w:pPr>
        <w:spacing w:after="0" w:line="200"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(Amendment No. 2)</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178787107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Marc Weingarten, Esq.</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Eleazer Klein, Esq.</w:t>
      </w:r>
    </w:p>
    <w:p>
      <w:pPr>
        <w:jc w:val="center"/>
        <w:ind w:right="-219"/>
        <w:spacing w:after="0"/>
        <w:rPr>
          <w:sz w:val="20"/>
          <w:szCs w:val="20"/>
          <w:color w:val="auto"/>
        </w:rPr>
      </w:pPr>
      <w:r>
        <w:rPr>
          <w:rFonts w:ascii="Arial" w:cs="Arial" w:eastAsia="Arial" w:hAnsi="Arial"/>
          <w:sz w:val="20"/>
          <w:szCs w:val="20"/>
          <w:color w:val="auto"/>
        </w:rPr>
        <w:t>Schulte Roth &amp; Zabel LLP</w:t>
      </w:r>
    </w:p>
    <w:p>
      <w:pPr>
        <w:jc w:val="center"/>
        <w:ind w:right="-219"/>
        <w:spacing w:after="0"/>
        <w:rPr>
          <w:sz w:val="20"/>
          <w:szCs w:val="20"/>
          <w:color w:val="auto"/>
        </w:rPr>
      </w:pPr>
      <w:r>
        <w:rPr>
          <w:rFonts w:ascii="Arial" w:cs="Arial" w:eastAsia="Arial" w:hAnsi="Arial"/>
          <w:sz w:val="20"/>
          <w:szCs w:val="20"/>
          <w:color w:val="auto"/>
        </w:rPr>
        <w:t>919 Third Avenue</w:t>
      </w:r>
    </w:p>
    <w:p>
      <w:pPr>
        <w:jc w:val="center"/>
        <w:ind w:right="-219"/>
        <w:spacing w:after="0"/>
        <w:rPr>
          <w:sz w:val="20"/>
          <w:szCs w:val="20"/>
          <w:color w:val="auto"/>
        </w:rPr>
      </w:pPr>
      <w:r>
        <w:rPr>
          <w:rFonts w:ascii="Arial" w:cs="Arial" w:eastAsia="Arial" w:hAnsi="Arial"/>
          <w:sz w:val="20"/>
          <w:szCs w:val="20"/>
          <w:color w:val="auto"/>
        </w:rPr>
        <w:t>New York, New York 10022</w:t>
      </w:r>
    </w:p>
    <w:p>
      <w:pPr>
        <w:jc w:val="center"/>
        <w:ind w:right="-219"/>
        <w:spacing w:after="0"/>
        <w:rPr>
          <w:sz w:val="20"/>
          <w:szCs w:val="20"/>
          <w:color w:val="auto"/>
        </w:rPr>
      </w:pPr>
      <w:r>
        <w:rPr>
          <w:rFonts w:ascii="Arial" w:cs="Arial" w:eastAsia="Arial" w:hAnsi="Arial"/>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ind w:left="4940"/>
        <w:spacing w:after="0"/>
        <w:rPr>
          <w:sz w:val="20"/>
          <w:szCs w:val="20"/>
          <w:color w:val="auto"/>
        </w:rPr>
      </w:pPr>
      <w:r>
        <w:rPr>
          <w:rFonts w:ascii="Arial" w:cs="Arial" w:eastAsia="Arial" w:hAnsi="Arial"/>
          <w:sz w:val="20"/>
          <w:szCs w:val="20"/>
          <w:color w:val="auto"/>
        </w:rPr>
        <w:t>December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20"/>
          <w:szCs w:val="20"/>
          <w:color w:val="auto"/>
        </w:rPr>
        <w:t>(Date of Event which Requires</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Filing of this Schedule)</w:t>
      </w:r>
    </w:p>
    <w:p>
      <w:pPr>
        <w:spacing w:after="0" w:line="213" w:lineRule="exact"/>
        <w:rPr>
          <w:sz w:val="24"/>
          <w:szCs w:val="24"/>
          <w:color w:val="auto"/>
        </w:rPr>
      </w:pPr>
    </w:p>
    <w:p>
      <w:pPr>
        <w:ind w:right="100"/>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184" w:lineRule="exact"/>
        <w:rPr>
          <w:sz w:val="24"/>
          <w:szCs w:val="24"/>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 See Rule 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83"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(Continued on following pages)</w:t>
      </w:r>
    </w:p>
    <w:p>
      <w:pPr>
        <w:spacing w:after="0" w:line="216"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(Page 1 of 4 Pages)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w:t>
      </w:r>
    </w:p>
    <w:p>
      <w:pPr>
        <w:jc w:val="both"/>
        <w:spacing w:after="0" w:line="241"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240" w:top="231"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178787107</w:t>
            </w:r>
          </w:p>
        </w:tc>
        <w:tc>
          <w:tcPr>
            <w:tcW w:w="6460" w:type="dxa"/>
            <w:vAlign w:val="bottom"/>
          </w:tcPr>
          <w:p>
            <w:pPr>
              <w:ind w:left="3120"/>
              <w:spacing w:after="0"/>
              <w:rPr>
                <w:sz w:val="20"/>
                <w:szCs w:val="20"/>
                <w:color w:val="auto"/>
              </w:rPr>
            </w:pPr>
            <w:r>
              <w:rPr>
                <w:rFonts w:ascii="Arial" w:cs="Arial" w:eastAsia="Arial" w:hAnsi="Arial"/>
                <w:sz w:val="18"/>
                <w:szCs w:val="18"/>
                <w:b w:val="1"/>
                <w:bCs w:val="1"/>
                <w:color w:val="auto"/>
              </w:rPr>
              <w:t>SCHEDULE 13D/A</w:t>
            </w:r>
          </w:p>
        </w:tc>
        <w:tc>
          <w:tcPr>
            <w:tcW w:w="3120" w:type="dxa"/>
            <w:vAlign w:val="bottom"/>
          </w:tcPr>
          <w:p>
            <w:pPr>
              <w:ind w:left="1800"/>
              <w:spacing w:after="0"/>
              <w:rPr>
                <w:sz w:val="20"/>
                <w:szCs w:val="20"/>
                <w:color w:val="auto"/>
              </w:rPr>
            </w:pPr>
            <w:r>
              <w:rPr>
                <w:rFonts w:ascii="Arial" w:cs="Arial" w:eastAsia="Arial" w:hAnsi="Arial"/>
                <w:sz w:val="18"/>
                <w:szCs w:val="18"/>
                <w:b w:val="1"/>
                <w:bCs w:val="1"/>
                <w:color w:val="auto"/>
                <w:w w:val="84"/>
              </w:rPr>
              <w:t>Page 2 of 4 Pages</w:t>
            </w:r>
          </w:p>
        </w:tc>
        <w:tc>
          <w:tcPr>
            <w:tcW w:w="0" w:type="dxa"/>
            <w:vAlign w:val="bottom"/>
          </w:tcPr>
          <w:p>
            <w:pPr>
              <w:spacing w:after="0"/>
              <w:rPr>
                <w:sz w:val="1"/>
                <w:szCs w:val="1"/>
                <w:color w:val="auto"/>
              </w:rPr>
            </w:pPr>
          </w:p>
        </w:tc>
      </w:tr>
      <w:tr>
        <w:trPr>
          <w:trHeight w:val="446"/>
        </w:trPr>
        <w:tc>
          <w:tcPr>
            <w:tcW w:w="18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460" w:type="dxa"/>
            <w:vAlign w:val="bottom"/>
          </w:tcPr>
          <w:p>
            <w:pPr>
              <w:ind w:left="12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460" w:type="dxa"/>
            <w:vAlign w:val="bottom"/>
            <w:vMerge w:val="restart"/>
          </w:tcPr>
          <w:p>
            <w:pPr>
              <w:ind w:left="460"/>
              <w:spacing w:after="0"/>
              <w:rPr>
                <w:sz w:val="20"/>
                <w:szCs w:val="20"/>
                <w:color w:val="auto"/>
              </w:rPr>
            </w:pPr>
            <w:r>
              <w:rPr>
                <w:rFonts w:ascii="Arial" w:cs="Arial" w:eastAsia="Arial" w:hAnsi="Arial"/>
                <w:sz w:val="20"/>
                <w:szCs w:val="20"/>
                <w:color w:val="auto"/>
              </w:rPr>
              <w:t>JANA PARTNERS LLC</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46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460" w:type="dxa"/>
            <w:vAlign w:val="bottom"/>
          </w:tcPr>
          <w:p>
            <w:pPr>
              <w:ind w:left="12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46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360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360035"/>
                    </a:xfrm>
                    <a:prstGeom prst="rect">
                      <a:avLst/>
                    </a:prstGeom>
                    <a:noFill/>
                  </pic:spPr>
                </pic:pic>
              </a:graphicData>
            </a:graphic>
          </wp:anchor>
        </w:drawing>
      </w:r>
    </w:p>
    <w:p>
      <w:pPr>
        <w:ind w:left="1960" w:hanging="1099"/>
        <w:spacing w:after="0" w:line="182" w:lineRule="auto"/>
        <w:tabs>
          <w:tab w:leader="none" w:pos="1960" w:val="left"/>
        </w:tabs>
        <w:numPr>
          <w:ilvl w:val="0"/>
          <w:numId w:val="1"/>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600" w:type="dxa"/>
            <w:vAlign w:val="bottom"/>
            <w:gridSpan w:val="2"/>
          </w:tcPr>
          <w:p>
            <w:pPr>
              <w:ind w:left="120"/>
              <w:spacing w:after="0"/>
              <w:rPr>
                <w:sz w:val="20"/>
                <w:szCs w:val="20"/>
                <w:color w:val="auto"/>
              </w:rPr>
            </w:pPr>
            <w:r>
              <w:rPr>
                <w:rFonts w:ascii="Arial" w:cs="Arial" w:eastAsia="Arial" w:hAnsi="Arial"/>
                <w:sz w:val="16"/>
                <w:szCs w:val="16"/>
                <w:color w:val="auto"/>
                <w:w w:val="94"/>
              </w:rPr>
              <w:t>SOURCE OF FUNDS</w:t>
            </w:r>
          </w:p>
        </w:tc>
        <w:tc>
          <w:tcPr>
            <w:tcW w:w="6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AF</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5</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DISCLOSURE OF LEGAL PROCEEDING IS REQUIRED PURSUANT TO ITEMS 2(d) or 2(e)</w:t>
            </w:r>
          </w:p>
        </w:tc>
        <w:tc>
          <w:tcPr>
            <w:tcW w:w="1580" w:type="dxa"/>
            <w:vAlign w:val="bottom"/>
          </w:tcPr>
          <w:p>
            <w:pPr>
              <w:ind w:left="32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8000" w:type="dxa"/>
            <w:vAlign w:val="bottom"/>
            <w:tcBorders>
              <w:bottom w:val="single" w:sz="8" w:color="auto"/>
            </w:tcBorders>
            <w:gridSpan w:val="3"/>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Delaware</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jc w:val="right"/>
              <w:ind w:right="587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jc w:val="right"/>
              <w:ind w:right="587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restart"/>
          </w:tcPr>
          <w:p>
            <w:pPr>
              <w:jc w:val="right"/>
              <w:ind w:right="587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0" w:type="dxa"/>
            <w:vAlign w:val="bottom"/>
            <w:vMerge w:val="restart"/>
          </w:tcPr>
          <w:p>
            <w:pPr>
              <w:jc w:val="right"/>
              <w:ind w:right="5870"/>
              <w:spacing w:after="0"/>
              <w:rPr>
                <w:sz w:val="20"/>
                <w:szCs w:val="20"/>
                <w:color w:val="auto"/>
              </w:rPr>
            </w:pPr>
            <w:r>
              <w:rPr>
                <w:rFonts w:ascii="Arial" w:cs="Arial" w:eastAsia="Arial" w:hAnsi="Arial"/>
                <w:sz w:val="20"/>
                <w:szCs w:val="20"/>
                <w:color w:val="auto"/>
              </w:rPr>
              <w:t>0</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12</w:t>
            </w:r>
          </w:p>
        </w:tc>
        <w:tc>
          <w:tcPr>
            <w:tcW w:w="80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80" w:type="dxa"/>
            <w:vAlign w:val="bottom"/>
          </w:tcPr>
          <w:p>
            <w:pPr>
              <w:ind w:left="44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800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480" w:type="dxa"/>
            <w:vAlign w:val="bottom"/>
            <w:tcBorders>
              <w:bottom w:val="single" w:sz="8" w:color="auto"/>
            </w:tcBorders>
            <w:gridSpan w:val="2"/>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 (see Item 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80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600" w:type="dxa"/>
            <w:vAlign w:val="bottom"/>
            <w:gridSpan w:val="2"/>
            <w:vMerge w:val="restart"/>
          </w:tcPr>
          <w:p>
            <w:pPr>
              <w:ind w:left="460"/>
              <w:spacing w:after="0"/>
              <w:rPr>
                <w:sz w:val="20"/>
                <w:szCs w:val="20"/>
                <w:color w:val="auto"/>
              </w:rPr>
            </w:pPr>
            <w:r>
              <w:rPr>
                <w:rFonts w:ascii="Arial" w:cs="Arial" w:eastAsia="Arial" w:hAnsi="Arial"/>
                <w:sz w:val="20"/>
                <w:szCs w:val="20"/>
                <w:color w:val="auto"/>
              </w:rPr>
              <w:t>IA</w:t>
            </w:r>
          </w:p>
        </w:tc>
        <w:tc>
          <w:tcPr>
            <w:tcW w:w="6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6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tabs>
          <w:tab w:leader="none" w:pos="4940" w:val="left"/>
          <w:tab w:leader="none" w:pos="10080" w:val="left"/>
        </w:tabs>
        <w:rPr>
          <w:sz w:val="20"/>
          <w:szCs w:val="20"/>
          <w:color w:val="auto"/>
        </w:rPr>
      </w:pPr>
      <w:r>
        <w:rPr>
          <w:rFonts w:ascii="Arial" w:cs="Arial" w:eastAsia="Arial" w:hAnsi="Arial"/>
          <w:sz w:val="18"/>
          <w:szCs w:val="18"/>
          <w:b w:val="1"/>
          <w:bCs w:val="1"/>
          <w:color w:val="auto"/>
        </w:rPr>
        <w:t>CUSIP No. 178787107</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3 of 4 Pages</w:t>
      </w:r>
    </w:p>
    <w:p>
      <w:pPr>
        <w:spacing w:after="0" w:line="227" w:lineRule="exact"/>
        <w:rPr>
          <w:sz w:val="20"/>
          <w:szCs w:val="20"/>
          <w:color w:val="auto"/>
        </w:rPr>
      </w:pPr>
    </w:p>
    <w:p>
      <w:pPr>
        <w:ind w:right="280" w:firstLine="648"/>
        <w:spacing w:after="0" w:line="309" w:lineRule="auto"/>
        <w:rPr>
          <w:sz w:val="20"/>
          <w:szCs w:val="20"/>
          <w:color w:val="auto"/>
        </w:rPr>
      </w:pPr>
      <w:r>
        <w:rPr>
          <w:rFonts w:ascii="Arial" w:cs="Arial" w:eastAsia="Arial" w:hAnsi="Arial"/>
          <w:sz w:val="16"/>
          <w:szCs w:val="16"/>
          <w:color w:val="auto"/>
        </w:rPr>
        <w:t>This Amendment No. 2 ("</w:t>
      </w:r>
      <w:r>
        <w:rPr>
          <w:rFonts w:ascii="Arial" w:cs="Arial" w:eastAsia="Arial" w:hAnsi="Arial"/>
          <w:sz w:val="16"/>
          <w:szCs w:val="16"/>
          <w:u w:val="single" w:color="auto"/>
          <w:color w:val="auto"/>
        </w:rPr>
        <w:t>Amendment No. 2</w:t>
      </w:r>
      <w:r>
        <w:rPr>
          <w:rFonts w:ascii="Arial" w:cs="Arial" w:eastAsia="Arial" w:hAnsi="Arial"/>
          <w:sz w:val="16"/>
          <w:szCs w:val="16"/>
          <w:color w:val="auto"/>
        </w:rPr>
        <w:t>") amends and supplements the statement on Schedule 13D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June 9, 2014 (the "</w:t>
      </w:r>
      <w:r>
        <w:rPr>
          <w:rFonts w:ascii="Arial" w:cs="Arial" w:eastAsia="Arial" w:hAnsi="Arial"/>
          <w:sz w:val="16"/>
          <w:szCs w:val="16"/>
          <w:u w:val="single" w:color="auto"/>
          <w:color w:val="auto"/>
        </w:rPr>
        <w:t>Original Schedule 13D</w:t>
      </w:r>
      <w:r>
        <w:rPr>
          <w:rFonts w:ascii="Arial" w:cs="Arial" w:eastAsia="Arial" w:hAnsi="Arial"/>
          <w:sz w:val="16"/>
          <w:szCs w:val="16"/>
          <w:color w:val="auto"/>
        </w:rPr>
        <w:t>") as amended by Amendment No. 1 filed on October 24,</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2014 ("</w:t>
      </w:r>
      <w:r>
        <w:rPr>
          <w:rFonts w:ascii="Arial" w:cs="Arial" w:eastAsia="Arial" w:hAnsi="Arial"/>
          <w:sz w:val="18"/>
          <w:szCs w:val="18"/>
          <w:u w:val="single" w:color="auto"/>
          <w:color w:val="auto"/>
        </w:rPr>
        <w:t>Amendment No. 1</w:t>
      </w:r>
      <w:r>
        <w:rPr>
          <w:rFonts w:ascii="Arial" w:cs="Arial" w:eastAsia="Arial" w:hAnsi="Arial"/>
          <w:sz w:val="18"/>
          <w:szCs w:val="18"/>
          <w:color w:val="auto"/>
        </w:rPr>
        <w:t>" and together with the Original Schedule 13D, the "</w:t>
      </w:r>
      <w:r>
        <w:rPr>
          <w:rFonts w:ascii="Arial" w:cs="Arial" w:eastAsia="Arial" w:hAnsi="Arial"/>
          <w:sz w:val="18"/>
          <w:szCs w:val="18"/>
          <w:u w:val="single" w:color="auto"/>
          <w:color w:val="auto"/>
        </w:rPr>
        <w:t>Schedule 13D</w:t>
      </w:r>
      <w:r>
        <w:rPr>
          <w:rFonts w:ascii="Arial" w:cs="Arial" w:eastAsia="Arial" w:hAnsi="Arial"/>
          <w:sz w:val="18"/>
          <w:szCs w:val="18"/>
          <w:color w:val="auto"/>
        </w:rPr>
        <w:t>") with respect to the shares ("</w:t>
      </w:r>
      <w:r>
        <w:rPr>
          <w:rFonts w:ascii="Arial" w:cs="Arial" w:eastAsia="Arial" w:hAnsi="Arial"/>
          <w:sz w:val="18"/>
          <w:szCs w:val="18"/>
          <w:u w:val="single" w:color="auto"/>
          <w:color w:val="auto"/>
        </w:rPr>
        <w:t>Shares</w:t>
      </w:r>
      <w:r>
        <w:rPr>
          <w:rFonts w:ascii="Arial" w:cs="Arial" w:eastAsia="Arial" w:hAnsi="Arial"/>
          <w:sz w:val="18"/>
          <w:szCs w:val="18"/>
          <w:color w:val="auto"/>
        </w:rPr>
        <w:t>") of common stock, par value $0.01 per share, of Civeo Corporation,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Capitalized terms used herein and not otherwise defined in this Amendment No. 2 have the meanings set forth in the Schedule 13D. This Amendment No. 2 amends Items 3, 5 and 7 as set forth below. This is the final amendment to the Schedule 13D and constitutes an “exiting filing” for the Reporting Person.</w:t>
      </w:r>
    </w:p>
    <w:p>
      <w:pPr>
        <w:spacing w:after="0" w:line="174"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Item 3 of the Schedule 13D is hereby amended and restated as follows: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the close of business on December 31, 2014, the Reporting Person no longer beneficially owned any Shares.</w:t>
      </w:r>
    </w:p>
    <w:p>
      <w:pPr>
        <w:spacing w:after="0" w:line="223"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INTEREST IN SECURITIES OF THE COMPANY.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Item 5 of the Schedule 13D is hereby amended and restated as follows: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 (b) At the close of business on December 31, 2014, the Reporting Person no longer beneficially owned any Shares.</w:t>
      </w:r>
    </w:p>
    <w:p>
      <w:pPr>
        <w:spacing w:after="0" w:line="216" w:lineRule="exact"/>
        <w:rPr>
          <w:sz w:val="20"/>
          <w:szCs w:val="20"/>
          <w:color w:val="auto"/>
        </w:rPr>
      </w:pPr>
    </w:p>
    <w:p>
      <w:pPr>
        <w:ind w:right="840" w:firstLine="656"/>
        <w:spacing w:after="0" w:line="260" w:lineRule="auto"/>
        <w:tabs>
          <w:tab w:leader="none" w:pos="917"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Information concerning transactions in the Shares effected during the past sixty days is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and is incorporated herein by reference.</w:t>
      </w:r>
    </w:p>
    <w:p>
      <w:pPr>
        <w:spacing w:after="0" w:line="176" w:lineRule="exact"/>
        <w:rPr>
          <w:rFonts w:ascii="Arial" w:cs="Arial" w:eastAsia="Arial" w:hAnsi="Arial"/>
          <w:sz w:val="20"/>
          <w:szCs w:val="20"/>
          <w:color w:val="auto"/>
        </w:rPr>
      </w:pPr>
    </w:p>
    <w:p>
      <w:pPr>
        <w:ind w:right="360" w:firstLine="656"/>
        <w:spacing w:after="0" w:line="260" w:lineRule="auto"/>
        <w:tabs>
          <w:tab w:leader="none" w:pos="929" w:val="left"/>
        </w:tabs>
        <w:numPr>
          <w:ilvl w:val="0"/>
          <w:numId w:val="2"/>
        </w:numPr>
        <w:rPr>
          <w:rFonts w:ascii="Arial" w:cs="Arial" w:eastAsia="Arial" w:hAnsi="Arial"/>
          <w:sz w:val="20"/>
          <w:szCs w:val="20"/>
          <w:color w:val="auto"/>
        </w:rPr>
      </w:pPr>
      <w:r>
        <w:rPr>
          <w:rFonts w:ascii="Arial" w:cs="Arial" w:eastAsia="Arial" w:hAnsi="Arial"/>
          <w:sz w:val="20"/>
          <w:szCs w:val="20"/>
          <w:color w:val="auto"/>
        </w:rPr>
        <w:t>No person (other than the Reporting Person) is known to have the right to receive or the power to direct the receipt of dividends from, or the proceeds from the sale of, the Shares.</w:t>
      </w:r>
    </w:p>
    <w:p>
      <w:pPr>
        <w:spacing w:after="0" w:line="176" w:lineRule="exact"/>
        <w:rPr>
          <w:rFonts w:ascii="Arial" w:cs="Arial" w:eastAsia="Arial" w:hAnsi="Arial"/>
          <w:sz w:val="20"/>
          <w:szCs w:val="20"/>
          <w:color w:val="auto"/>
        </w:rPr>
      </w:pPr>
    </w:p>
    <w:p>
      <w:pPr>
        <w:ind w:left="920" w:hanging="264"/>
        <w:spacing w:after="0"/>
        <w:tabs>
          <w:tab w:leader="none" w:pos="92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December 30, 2014.</w:t>
      </w:r>
    </w:p>
    <w:p>
      <w:pPr>
        <w:spacing w:after="0" w:line="223"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MATERIAL TO BE FILED AS EXHIBITS.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Item 7 of the Schedule 13D is hereby amended and supplemented by the addition of the following:</w:t>
      </w:r>
    </w:p>
    <w:p>
      <w:pPr>
        <w:spacing w:after="0" w:line="337"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6"/>
          <w:szCs w:val="16"/>
          <w:color w:val="auto"/>
        </w:rPr>
        <w:t>Transactions in the Shares effected During the Last 60 Days.</w:t>
      </w:r>
    </w:p>
    <w:p>
      <w:pPr>
        <w:sectPr>
          <w:pgSz w:w="11900" w:h="16838" w:orient="portrait"/>
          <w:cols w:equalWidth="0" w:num="1">
            <w:col w:w="11420"/>
          </w:cols>
          <w:pgMar w:left="240" w:top="229" w:right="239" w:bottom="1440" w:gutter="0" w:footer="0" w:header="0"/>
        </w:sectPr>
      </w:pPr>
    </w:p>
    <w:bookmarkStart w:id="3" w:name="page4"/>
    <w:bookmarkEnd w:id="3"/>
    <w:p>
      <w:pPr>
        <w:spacing w:after="0"/>
        <w:tabs>
          <w:tab w:leader="none" w:pos="4940" w:val="left"/>
          <w:tab w:leader="none" w:pos="10080" w:val="left"/>
        </w:tabs>
        <w:rPr>
          <w:sz w:val="20"/>
          <w:szCs w:val="20"/>
          <w:color w:val="auto"/>
        </w:rPr>
      </w:pPr>
      <w:r>
        <w:rPr>
          <w:rFonts w:ascii="Arial" w:cs="Arial" w:eastAsia="Arial" w:hAnsi="Arial"/>
          <w:sz w:val="18"/>
          <w:szCs w:val="18"/>
          <w:b w:val="1"/>
          <w:bCs w:val="1"/>
          <w:color w:val="auto"/>
        </w:rPr>
        <w:t>CUSIP No. 178787107</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4 of 4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JANA PARTNERS LLC</w:t>
      </w:r>
    </w:p>
    <w:p>
      <w:pPr>
        <w:spacing w:after="0" w:line="200" w:lineRule="exact"/>
        <w:rPr>
          <w:sz w:val="20"/>
          <w:szCs w:val="20"/>
          <w:color w:val="auto"/>
        </w:rPr>
      </w:pPr>
    </w:p>
    <w:p>
      <w:pPr>
        <w:spacing w:after="0" w:line="258" w:lineRule="exact"/>
        <w:rPr>
          <w:sz w:val="20"/>
          <w:szCs w:val="20"/>
          <w:color w:val="auto"/>
        </w:rPr>
      </w:pPr>
    </w:p>
    <w:tbl>
      <w:tblPr>
        <w:tblLayout w:type="fixed"/>
        <w:tblInd w:w="7080" w:type="dxa"/>
        <w:tblCellMar>
          <w:top w:w="0" w:type="dxa"/>
          <w:left w:w="0" w:type="dxa"/>
          <w:bottom w:w="0" w:type="dxa"/>
          <w:right w:w="0" w:type="dxa"/>
        </w:tblCellMar>
      </w:tblPr>
      <w:tr>
        <w:trPr>
          <w:trHeight w:val="24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3680" w:type="dxa"/>
            <w:vAlign w:val="bottom"/>
            <w:gridSpan w:val="2"/>
          </w:tcPr>
          <w:p>
            <w:pPr>
              <w:ind w:left="160"/>
              <w:spacing w:after="0"/>
              <w:rPr>
                <w:sz w:val="20"/>
                <w:szCs w:val="20"/>
                <w:color w:val="auto"/>
              </w:rPr>
            </w:pPr>
            <w:r>
              <w:rPr>
                <w:rFonts w:ascii="Arial" w:cs="Arial" w:eastAsia="Arial" w:hAnsi="Arial"/>
                <w:sz w:val="20"/>
                <w:szCs w:val="20"/>
                <w:color w:val="auto"/>
              </w:rPr>
              <w:t>/s/ Jennifer Fanjiang</w:t>
            </w:r>
          </w:p>
        </w:tc>
      </w:tr>
      <w:tr>
        <w:trPr>
          <w:trHeight w:val="213"/>
        </w:trPr>
        <w:tc>
          <w:tcPr>
            <w:tcW w:w="660" w:type="dxa"/>
            <w:vAlign w:val="bottom"/>
          </w:tcPr>
          <w:p>
            <w:pPr>
              <w:spacing w:after="0" w:line="213" w:lineRule="exact"/>
              <w:rPr>
                <w:sz w:val="20"/>
                <w:szCs w:val="20"/>
                <w:color w:val="auto"/>
              </w:rPr>
            </w:pPr>
            <w:r>
              <w:rPr>
                <w:rFonts w:ascii="Arial" w:cs="Arial" w:eastAsia="Arial" w:hAnsi="Arial"/>
                <w:sz w:val="20"/>
                <w:szCs w:val="20"/>
                <w:color w:val="auto"/>
              </w:rPr>
              <w:t>Name:</w:t>
            </w:r>
          </w:p>
        </w:tc>
        <w:tc>
          <w:tcPr>
            <w:tcW w:w="160" w:type="dxa"/>
            <w:vAlign w:val="bottom"/>
          </w:tcPr>
          <w:p>
            <w:pPr>
              <w:spacing w:after="0"/>
              <w:rPr>
                <w:sz w:val="18"/>
                <w:szCs w:val="18"/>
                <w:color w:val="auto"/>
              </w:rPr>
            </w:pPr>
          </w:p>
        </w:tc>
        <w:tc>
          <w:tcPr>
            <w:tcW w:w="3520" w:type="dxa"/>
            <w:vAlign w:val="bottom"/>
            <w:tcBorders>
              <w:top w:val="single" w:sz="8" w:color="auto"/>
            </w:tcBorders>
          </w:tcPr>
          <w:p>
            <w:pPr>
              <w:ind w:left="100"/>
              <w:spacing w:after="0" w:line="213" w:lineRule="exact"/>
              <w:rPr>
                <w:sz w:val="20"/>
                <w:szCs w:val="20"/>
                <w:color w:val="auto"/>
              </w:rPr>
            </w:pPr>
            <w:r>
              <w:rPr>
                <w:rFonts w:ascii="Arial" w:cs="Arial" w:eastAsia="Arial" w:hAnsi="Arial"/>
                <w:sz w:val="20"/>
                <w:szCs w:val="20"/>
                <w:color w:val="auto"/>
              </w:rPr>
              <w:t>Jennifer Fanjiang</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160" w:type="dxa"/>
            <w:vAlign w:val="bottom"/>
          </w:tcPr>
          <w:p>
            <w:pPr>
              <w:spacing w:after="0"/>
              <w:rPr>
                <w:sz w:val="21"/>
                <w:szCs w:val="21"/>
                <w:color w:val="auto"/>
              </w:rPr>
            </w:pPr>
          </w:p>
        </w:tc>
        <w:tc>
          <w:tcPr>
            <w:tcW w:w="3520" w:type="dxa"/>
            <w:vAlign w:val="bottom"/>
          </w:tcPr>
          <w:p>
            <w:pPr>
              <w:ind w:left="100"/>
              <w:spacing w:after="0"/>
              <w:rPr>
                <w:sz w:val="20"/>
                <w:szCs w:val="20"/>
                <w:color w:val="auto"/>
              </w:rPr>
            </w:pPr>
            <w:r>
              <w:rPr>
                <w:rFonts w:ascii="Arial" w:cs="Arial" w:eastAsia="Arial" w:hAnsi="Arial"/>
                <w:sz w:val="20"/>
                <w:szCs w:val="20"/>
                <w:color w:val="auto"/>
              </w:rPr>
              <w:t>General Counsel</w:t>
            </w:r>
          </w:p>
        </w:tc>
      </w:tr>
    </w:tbl>
    <w:p>
      <w:pPr>
        <w:sectPr>
          <w:pgSz w:w="11900" w:h="16838" w:orient="portrait"/>
          <w:cols w:equalWidth="0" w:num="1">
            <w:col w:w="11420"/>
          </w:cols>
          <w:pgMar w:left="240" w:top="22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Transactions in the Shares effected During the Last 60 Days</w:t>
      </w:r>
    </w:p>
    <w:p>
      <w:pPr>
        <w:spacing w:after="0" w:line="235" w:lineRule="exact"/>
        <w:rPr>
          <w:sz w:val="20"/>
          <w:szCs w:val="20"/>
          <w:color w:val="auto"/>
        </w:rPr>
      </w:pPr>
    </w:p>
    <w:p>
      <w:pPr>
        <w:ind w:right="620" w:firstLine="648"/>
        <w:spacing w:after="0" w:line="287" w:lineRule="auto"/>
        <w:rPr>
          <w:sz w:val="20"/>
          <w:szCs w:val="20"/>
          <w:color w:val="auto"/>
        </w:rPr>
      </w:pPr>
      <w:r>
        <w:rPr>
          <w:rFonts w:ascii="Arial" w:cs="Arial" w:eastAsia="Arial" w:hAnsi="Arial"/>
          <w:sz w:val="19"/>
          <w:szCs w:val="19"/>
          <w:color w:val="auto"/>
        </w:rPr>
        <w:t>The following table sets forth all transactions in the Shares effected during the past sixty days by the Reporting Person. All such transactions were effected in the open market through brokers and the price per share is net of commissions.</w:t>
      </w:r>
    </w:p>
    <w:p>
      <w:pPr>
        <w:spacing w:after="0" w:line="390" w:lineRule="exact"/>
        <w:rPr>
          <w:sz w:val="20"/>
          <w:szCs w:val="20"/>
          <w:color w:val="auto"/>
        </w:rPr>
      </w:pPr>
    </w:p>
    <w:tbl>
      <w:tblPr>
        <w:tblLayout w:type="fixed"/>
        <w:tblInd w:w="1300" w:type="dxa"/>
        <w:tblCellMar>
          <w:top w:w="0" w:type="dxa"/>
          <w:left w:w="0" w:type="dxa"/>
          <w:bottom w:w="0" w:type="dxa"/>
          <w:right w:w="0" w:type="dxa"/>
        </w:tblCellMar>
      </w:tblPr>
      <w:tr>
        <w:trPr>
          <w:trHeight w:val="256"/>
        </w:trPr>
        <w:tc>
          <w:tcPr>
            <w:tcW w:w="2080" w:type="dxa"/>
            <w:vAlign w:val="bottom"/>
          </w:tcPr>
          <w:p>
            <w:pPr>
              <w:spacing w:after="0"/>
              <w:rPr>
                <w:sz w:val="20"/>
                <w:szCs w:val="20"/>
                <w:color w:val="auto"/>
              </w:rPr>
            </w:pPr>
            <w:r>
              <w:rPr>
                <w:rFonts w:ascii="Arial" w:cs="Arial" w:eastAsia="Arial" w:hAnsi="Arial"/>
                <w:sz w:val="20"/>
                <w:szCs w:val="20"/>
                <w:b w:val="1"/>
                <w:bCs w:val="1"/>
                <w:color w:val="auto"/>
              </w:rPr>
              <w:t>Trade Date</w:t>
            </w:r>
          </w:p>
        </w:tc>
        <w:tc>
          <w:tcPr>
            <w:tcW w:w="4260" w:type="dxa"/>
            <w:vAlign w:val="bottom"/>
          </w:tcPr>
          <w:p>
            <w:pPr>
              <w:ind w:left="1120"/>
              <w:spacing w:after="0"/>
              <w:rPr>
                <w:sz w:val="20"/>
                <w:szCs w:val="20"/>
                <w:color w:val="auto"/>
              </w:rPr>
            </w:pPr>
            <w:r>
              <w:rPr>
                <w:rFonts w:ascii="Arial" w:cs="Arial" w:eastAsia="Arial" w:hAnsi="Arial"/>
                <w:sz w:val="20"/>
                <w:szCs w:val="20"/>
                <w:b w:val="1"/>
                <w:bCs w:val="1"/>
                <w:color w:val="auto"/>
              </w:rPr>
              <w:t>Shared Purchased (Sold)</w:t>
            </w:r>
          </w:p>
        </w:tc>
        <w:tc>
          <w:tcPr>
            <w:tcW w:w="2640" w:type="dxa"/>
            <w:vAlign w:val="bottom"/>
          </w:tcPr>
          <w:p>
            <w:pPr>
              <w:jc w:val="center"/>
              <w:ind w:left="941"/>
              <w:spacing w:after="0"/>
              <w:rPr>
                <w:sz w:val="20"/>
                <w:szCs w:val="20"/>
                <w:color w:val="auto"/>
              </w:rPr>
            </w:pPr>
            <w:r>
              <w:rPr>
                <w:rFonts w:ascii="Arial" w:cs="Arial" w:eastAsia="Arial" w:hAnsi="Arial"/>
                <w:sz w:val="20"/>
                <w:szCs w:val="20"/>
                <w:b w:val="1"/>
                <w:bCs w:val="1"/>
                <w:color w:val="auto"/>
                <w:w w:val="89"/>
              </w:rPr>
              <w:t>Price Per Share ($)</w:t>
            </w:r>
          </w:p>
        </w:tc>
      </w:tr>
      <w:tr>
        <w:trPr>
          <w:trHeight w:val="425"/>
        </w:trPr>
        <w:tc>
          <w:tcPr>
            <w:tcW w:w="2080" w:type="dxa"/>
            <w:vAlign w:val="bottom"/>
          </w:tcPr>
          <w:p>
            <w:pPr>
              <w:ind w:left="20"/>
              <w:spacing w:after="0"/>
              <w:rPr>
                <w:sz w:val="20"/>
                <w:szCs w:val="20"/>
                <w:color w:val="auto"/>
              </w:rPr>
            </w:pPr>
            <w:r>
              <w:rPr>
                <w:rFonts w:ascii="Arial" w:cs="Arial" w:eastAsia="Arial" w:hAnsi="Arial"/>
                <w:sz w:val="20"/>
                <w:szCs w:val="20"/>
                <w:color w:val="auto"/>
              </w:rPr>
              <w:t>12/30/2014</w:t>
            </w:r>
          </w:p>
        </w:tc>
        <w:tc>
          <w:tcPr>
            <w:tcW w:w="4260" w:type="dxa"/>
            <w:vAlign w:val="bottom"/>
          </w:tcPr>
          <w:p>
            <w:pPr>
              <w:jc w:val="center"/>
              <w:spacing w:after="0"/>
              <w:rPr>
                <w:sz w:val="20"/>
                <w:szCs w:val="20"/>
                <w:color w:val="auto"/>
              </w:rPr>
            </w:pPr>
            <w:r>
              <w:rPr>
                <w:rFonts w:ascii="Arial" w:cs="Arial" w:eastAsia="Arial" w:hAnsi="Arial"/>
                <w:sz w:val="20"/>
                <w:szCs w:val="20"/>
                <w:color w:val="auto"/>
                <w:w w:val="88"/>
              </w:rPr>
              <w:t>(11,000)</w:t>
            </w:r>
          </w:p>
        </w:tc>
        <w:tc>
          <w:tcPr>
            <w:tcW w:w="2640" w:type="dxa"/>
            <w:vAlign w:val="bottom"/>
          </w:tcPr>
          <w:p>
            <w:pPr>
              <w:jc w:val="center"/>
              <w:ind w:left="941"/>
              <w:spacing w:after="0"/>
              <w:rPr>
                <w:sz w:val="20"/>
                <w:szCs w:val="20"/>
                <w:color w:val="auto"/>
              </w:rPr>
            </w:pPr>
            <w:r>
              <w:rPr>
                <w:rFonts w:ascii="Arial" w:cs="Arial" w:eastAsia="Arial" w:hAnsi="Arial"/>
                <w:sz w:val="20"/>
                <w:szCs w:val="20"/>
                <w:color w:val="auto"/>
                <w:w w:val="92"/>
              </w:rPr>
              <w:t>4.05</w:t>
            </w:r>
          </w:p>
        </w:tc>
      </w:tr>
      <w:tr>
        <w:trPr>
          <w:trHeight w:val="230"/>
        </w:trPr>
        <w:tc>
          <w:tcPr>
            <w:tcW w:w="2080" w:type="dxa"/>
            <w:vAlign w:val="bottom"/>
          </w:tcPr>
          <w:p>
            <w:pPr>
              <w:ind w:left="20"/>
              <w:spacing w:after="0"/>
              <w:rPr>
                <w:sz w:val="20"/>
                <w:szCs w:val="20"/>
                <w:color w:val="auto"/>
              </w:rPr>
            </w:pPr>
            <w:r>
              <w:rPr>
                <w:rFonts w:ascii="Arial" w:cs="Arial" w:eastAsia="Arial" w:hAnsi="Arial"/>
                <w:sz w:val="20"/>
                <w:szCs w:val="20"/>
                <w:color w:val="auto"/>
              </w:rPr>
              <w:t>12/30/2014</w:t>
            </w:r>
          </w:p>
        </w:tc>
        <w:tc>
          <w:tcPr>
            <w:tcW w:w="4260" w:type="dxa"/>
            <w:vAlign w:val="bottom"/>
          </w:tcPr>
          <w:p>
            <w:pPr>
              <w:jc w:val="center"/>
              <w:spacing w:after="0"/>
              <w:rPr>
                <w:sz w:val="20"/>
                <w:szCs w:val="20"/>
                <w:color w:val="auto"/>
              </w:rPr>
            </w:pPr>
            <w:r>
              <w:rPr>
                <w:rFonts w:ascii="Arial" w:cs="Arial" w:eastAsia="Arial" w:hAnsi="Arial"/>
                <w:sz w:val="20"/>
                <w:szCs w:val="20"/>
                <w:color w:val="auto"/>
                <w:w w:val="91"/>
              </w:rPr>
              <w:t>(10,000)</w:t>
            </w:r>
          </w:p>
        </w:tc>
        <w:tc>
          <w:tcPr>
            <w:tcW w:w="2640" w:type="dxa"/>
            <w:vAlign w:val="bottom"/>
          </w:tcPr>
          <w:p>
            <w:pPr>
              <w:jc w:val="center"/>
              <w:ind w:left="941"/>
              <w:spacing w:after="0"/>
              <w:rPr>
                <w:sz w:val="20"/>
                <w:szCs w:val="20"/>
                <w:color w:val="auto"/>
              </w:rPr>
            </w:pPr>
            <w:r>
              <w:rPr>
                <w:rFonts w:ascii="Arial" w:cs="Arial" w:eastAsia="Arial" w:hAnsi="Arial"/>
                <w:sz w:val="20"/>
                <w:szCs w:val="20"/>
                <w:color w:val="auto"/>
                <w:w w:val="92"/>
              </w:rPr>
              <w:t>4.09</w:t>
            </w:r>
          </w:p>
        </w:tc>
      </w:tr>
      <w:tr>
        <w:trPr>
          <w:trHeight w:val="230"/>
        </w:trPr>
        <w:tc>
          <w:tcPr>
            <w:tcW w:w="2080" w:type="dxa"/>
            <w:vAlign w:val="bottom"/>
          </w:tcPr>
          <w:p>
            <w:pPr>
              <w:ind w:left="20"/>
              <w:spacing w:after="0"/>
              <w:rPr>
                <w:sz w:val="20"/>
                <w:szCs w:val="20"/>
                <w:color w:val="auto"/>
              </w:rPr>
            </w:pPr>
            <w:r>
              <w:rPr>
                <w:rFonts w:ascii="Arial" w:cs="Arial" w:eastAsia="Arial" w:hAnsi="Arial"/>
                <w:sz w:val="20"/>
                <w:szCs w:val="20"/>
                <w:color w:val="auto"/>
              </w:rPr>
              <w:t>12/30/2014</w:t>
            </w:r>
          </w:p>
        </w:tc>
        <w:tc>
          <w:tcPr>
            <w:tcW w:w="4260" w:type="dxa"/>
            <w:vAlign w:val="bottom"/>
          </w:tcPr>
          <w:p>
            <w:pPr>
              <w:jc w:val="center"/>
              <w:spacing w:after="0"/>
              <w:rPr>
                <w:sz w:val="20"/>
                <w:szCs w:val="20"/>
                <w:color w:val="auto"/>
              </w:rPr>
            </w:pPr>
            <w:r>
              <w:rPr>
                <w:rFonts w:ascii="Arial" w:cs="Arial" w:eastAsia="Arial" w:hAnsi="Arial"/>
                <w:sz w:val="20"/>
                <w:szCs w:val="20"/>
                <w:color w:val="auto"/>
                <w:w w:val="89"/>
              </w:rPr>
              <w:t>(6,458,078)</w:t>
            </w:r>
          </w:p>
        </w:tc>
        <w:tc>
          <w:tcPr>
            <w:tcW w:w="2640" w:type="dxa"/>
            <w:vAlign w:val="bottom"/>
          </w:tcPr>
          <w:p>
            <w:pPr>
              <w:jc w:val="center"/>
              <w:ind w:left="941"/>
              <w:spacing w:after="0"/>
              <w:rPr>
                <w:sz w:val="20"/>
                <w:szCs w:val="20"/>
                <w:color w:val="auto"/>
              </w:rPr>
            </w:pPr>
            <w:r>
              <w:rPr>
                <w:rFonts w:ascii="Arial" w:cs="Arial" w:eastAsia="Arial" w:hAnsi="Arial"/>
                <w:sz w:val="20"/>
                <w:szCs w:val="20"/>
                <w:color w:val="auto"/>
                <w:w w:val="92"/>
              </w:rPr>
              <w:t>4.13</w:t>
            </w:r>
          </w:p>
        </w:tc>
      </w:tr>
      <w:tr>
        <w:trPr>
          <w:trHeight w:val="230"/>
        </w:trPr>
        <w:tc>
          <w:tcPr>
            <w:tcW w:w="2080" w:type="dxa"/>
            <w:vAlign w:val="bottom"/>
          </w:tcPr>
          <w:p>
            <w:pPr>
              <w:ind w:left="20"/>
              <w:spacing w:after="0"/>
              <w:rPr>
                <w:sz w:val="20"/>
                <w:szCs w:val="20"/>
                <w:color w:val="auto"/>
              </w:rPr>
            </w:pPr>
            <w:r>
              <w:rPr>
                <w:rFonts w:ascii="Arial" w:cs="Arial" w:eastAsia="Arial" w:hAnsi="Arial"/>
                <w:sz w:val="20"/>
                <w:szCs w:val="20"/>
                <w:color w:val="auto"/>
              </w:rPr>
              <w:t>12/30/2014</w:t>
            </w:r>
          </w:p>
        </w:tc>
        <w:tc>
          <w:tcPr>
            <w:tcW w:w="4260" w:type="dxa"/>
            <w:vAlign w:val="bottom"/>
          </w:tcPr>
          <w:p>
            <w:pPr>
              <w:jc w:val="center"/>
              <w:spacing w:after="0"/>
              <w:rPr>
                <w:sz w:val="20"/>
                <w:szCs w:val="20"/>
                <w:color w:val="auto"/>
              </w:rPr>
            </w:pPr>
            <w:r>
              <w:rPr>
                <w:rFonts w:ascii="Arial" w:cs="Arial" w:eastAsia="Arial" w:hAnsi="Arial"/>
                <w:sz w:val="20"/>
                <w:szCs w:val="20"/>
                <w:color w:val="auto"/>
                <w:w w:val="89"/>
              </w:rPr>
              <w:t>(5,564.682)</w:t>
            </w:r>
          </w:p>
        </w:tc>
        <w:tc>
          <w:tcPr>
            <w:tcW w:w="2640" w:type="dxa"/>
            <w:vAlign w:val="bottom"/>
          </w:tcPr>
          <w:p>
            <w:pPr>
              <w:jc w:val="center"/>
              <w:ind w:left="941"/>
              <w:spacing w:after="0"/>
              <w:rPr>
                <w:sz w:val="20"/>
                <w:szCs w:val="20"/>
                <w:color w:val="auto"/>
              </w:rPr>
            </w:pPr>
            <w:r>
              <w:rPr>
                <w:rFonts w:ascii="Arial" w:cs="Arial" w:eastAsia="Arial" w:hAnsi="Arial"/>
                <w:sz w:val="20"/>
                <w:szCs w:val="20"/>
                <w:color w:val="auto"/>
                <w:w w:val="92"/>
              </w:rPr>
              <w:t>4.29</w:t>
            </w:r>
          </w:p>
        </w:tc>
      </w:tr>
      <w:tr>
        <w:trPr>
          <w:trHeight w:val="250"/>
        </w:trPr>
        <w:tc>
          <w:tcPr>
            <w:tcW w:w="2080" w:type="dxa"/>
            <w:vAlign w:val="bottom"/>
          </w:tcPr>
          <w:p>
            <w:pPr>
              <w:ind w:left="20"/>
              <w:spacing w:after="0"/>
              <w:rPr>
                <w:sz w:val="20"/>
                <w:szCs w:val="20"/>
                <w:color w:val="auto"/>
              </w:rPr>
            </w:pPr>
            <w:r>
              <w:rPr>
                <w:rFonts w:ascii="Arial" w:cs="Arial" w:eastAsia="Arial" w:hAnsi="Arial"/>
                <w:sz w:val="20"/>
                <w:szCs w:val="20"/>
                <w:color w:val="auto"/>
              </w:rPr>
              <w:t>12/30/2014</w:t>
            </w:r>
          </w:p>
        </w:tc>
        <w:tc>
          <w:tcPr>
            <w:tcW w:w="4260" w:type="dxa"/>
            <w:vAlign w:val="bottom"/>
          </w:tcPr>
          <w:p>
            <w:pPr>
              <w:jc w:val="center"/>
              <w:spacing w:after="0"/>
              <w:rPr>
                <w:sz w:val="20"/>
                <w:szCs w:val="20"/>
                <w:color w:val="auto"/>
              </w:rPr>
            </w:pPr>
            <w:r>
              <w:rPr>
                <w:rFonts w:ascii="Arial" w:cs="Arial" w:eastAsia="Arial" w:hAnsi="Arial"/>
                <w:sz w:val="20"/>
                <w:szCs w:val="20"/>
                <w:color w:val="auto"/>
                <w:w w:val="91"/>
              </w:rPr>
              <w:t>(198,000)</w:t>
            </w:r>
          </w:p>
        </w:tc>
        <w:tc>
          <w:tcPr>
            <w:tcW w:w="2640" w:type="dxa"/>
            <w:vAlign w:val="bottom"/>
          </w:tcPr>
          <w:p>
            <w:pPr>
              <w:jc w:val="center"/>
              <w:ind w:left="941"/>
              <w:spacing w:after="0"/>
              <w:rPr>
                <w:sz w:val="20"/>
                <w:szCs w:val="20"/>
                <w:color w:val="auto"/>
              </w:rPr>
            </w:pPr>
            <w:r>
              <w:rPr>
                <w:rFonts w:ascii="Arial" w:cs="Arial" w:eastAsia="Arial" w:hAnsi="Arial"/>
                <w:sz w:val="20"/>
                <w:szCs w:val="20"/>
                <w:color w:val="auto"/>
                <w:w w:val="92"/>
              </w:rPr>
              <w:t>4.30</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3"/>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2019-12-08T08:01:09Z</dcterms:created>
  <dcterms:modified xsi:type="dcterms:W3CDTF">2019-12-08T08:01:09Z</dcterms:modified>
</cp:coreProperties>
</file>