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0219"/>
          </w:cols>
          <w:pgMar w:left="240" w:top="23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2420" w:space="720"/>
            <w:col w:w="2960" w:space="100"/>
            <w:col w:w="4019"/>
          </w:cols>
          <w:pgMar w:left="240" w:top="233" w:right="1440"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23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3" w:lineRule="exact"/>
        <w:rPr>
          <w:rFonts w:ascii="MS PGothic" w:cs="MS PGothic" w:eastAsia="MS PGothic" w:hAnsi="MS PGothic"/>
          <w:sz w:val="18"/>
          <w:szCs w:val="18"/>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91"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87" w:lineRule="exact"/>
        <w:rPr>
          <w:sz w:val="24"/>
          <w:szCs w:val="24"/>
          <w:color w:val="auto"/>
        </w:rPr>
      </w:pPr>
    </w:p>
    <w:p>
      <w:pPr>
        <w:ind w:left="840" w:hanging="805"/>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87" w:lineRule="exact"/>
        <w:rPr>
          <w:rFonts w:ascii="MS PGothic" w:cs="MS PGothic" w:eastAsia="MS PGothic" w:hAnsi="MS PGothic"/>
          <w:sz w:val="18"/>
          <w:szCs w:val="18"/>
          <w:color w:val="auto"/>
        </w:rPr>
      </w:pPr>
    </w:p>
    <w:p>
      <w:pPr>
        <w:ind w:left="840" w:hanging="805"/>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1200"/>
        <w:spacing w:after="0"/>
        <w:rPr>
          <w:sz w:val="20"/>
          <w:szCs w:val="20"/>
          <w:color w:val="auto"/>
        </w:rPr>
      </w:pPr>
      <w:r>
        <w:rPr>
          <w:rFonts w:ascii="Arial" w:cs="Arial" w:eastAsia="Arial" w:hAnsi="Arial"/>
          <w:sz w:val="40"/>
          <w:szCs w:val="40"/>
          <w:b w:val="1"/>
          <w:bCs w:val="1"/>
          <w:color w:val="auto"/>
        </w:rPr>
        <w:t>Civeo Corporation</w:t>
      </w:r>
    </w:p>
    <w:p>
      <w:pPr>
        <w:spacing w:after="0" w:line="4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480"/>
        <w:spacing w:after="0"/>
        <w:rPr>
          <w:sz w:val="20"/>
          <w:szCs w:val="20"/>
          <w:color w:val="auto"/>
        </w:rPr>
      </w:pPr>
      <w:r>
        <w:rPr>
          <w:rFonts w:ascii="Arial" w:cs="Arial" w:eastAsia="Arial" w:hAnsi="Arial"/>
          <w:sz w:val="12"/>
          <w:szCs w:val="12"/>
          <w:b w:val="1"/>
          <w:bCs w:val="1"/>
          <w:color w:val="auto"/>
        </w:rPr>
        <w:t>(Name(s)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219"/>
          </w:cols>
          <w:pgMar w:left="240" w:top="233" w:right="1440"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hanging="46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80" w:right="20" w:hanging="527"/>
        <w:spacing w:after="0" w:line="277" w:lineRule="auto"/>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00" w:hanging="465"/>
        <w:spacing w:after="0" w:line="298" w:lineRule="auto"/>
        <w:tabs>
          <w:tab w:leader="none" w:pos="5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80" w:hanging="527"/>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323850</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-147320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-619125</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-1090930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-2033905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-2977515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-3586480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-4058285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020"/>
          </w:cols>
          <w:pgMar w:left="240" w:top="125" w:right="6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306705</wp:posOffset>
            </wp:positionV>
            <wp:extent cx="2487295" cy="1252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729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16,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NOTICE IS HEREBY GIVEN THAT the 2019 annual general meeting of shareholders (the “annual general meeting”) of Civeo Corporation, a British Columbia, Canada limited company (“Civeo”), will be held on May 16, 2019, at 9:00 a.m., local time, at the Hyatt Regency, 1200 Louisiana Street, Houston, Texas 77002, for the following purposes:</w:t>
      </w:r>
    </w:p>
    <w:p>
      <w:pPr>
        <w:spacing w:after="0" w:line="73" w:lineRule="exact"/>
        <w:rPr>
          <w:sz w:val="20"/>
          <w:szCs w:val="20"/>
          <w:color w:val="auto"/>
        </w:rPr>
      </w:pPr>
    </w:p>
    <w:p>
      <w:pPr>
        <w:ind w:left="740" w:right="200" w:hanging="327"/>
        <w:spacing w:after="0" w:line="26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following three persons as Class II members of Civeo’s board of directors: Richard A. Navarre, Martin A. Lambert and Constance B. Moore, each for a term of three years ending at the 2022 annual general meeting of shareholders or until their successors are duly elected and qualified;</w:t>
      </w:r>
    </w:p>
    <w:p>
      <w:pPr>
        <w:spacing w:after="0" w:line="73" w:lineRule="exact"/>
        <w:rPr>
          <w:rFonts w:ascii="Arial" w:cs="Arial" w:eastAsia="Arial" w:hAnsi="Arial"/>
          <w:sz w:val="18"/>
          <w:szCs w:val="18"/>
          <w:color w:val="auto"/>
        </w:rPr>
      </w:pPr>
    </w:p>
    <w:p>
      <w:pPr>
        <w:ind w:left="740" w:right="20" w:hanging="327"/>
        <w:spacing w:after="0" w:line="26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Civeo’s independent registered public accounting firm for the year ending December 31, 2019 and until the next annual general meeting of shareholders and to authorize the directors of Civeo, acting through the Audit Committee, to determine the remuneration to be paid to Ernst &amp; Young LLP for 2019;</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Civeo’s named executive officers;</w:t>
      </w:r>
    </w:p>
    <w:p>
      <w:pPr>
        <w:spacing w:after="0" w:line="117" w:lineRule="exact"/>
        <w:rPr>
          <w:rFonts w:ascii="Arial" w:cs="Arial" w:eastAsia="Arial" w:hAnsi="Arial"/>
          <w:sz w:val="18"/>
          <w:szCs w:val="18"/>
          <w:color w:val="auto"/>
        </w:rPr>
      </w:pPr>
    </w:p>
    <w:p>
      <w:pPr>
        <w:ind w:left="740" w:right="6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2018, and the auditors’ report thereon; and</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annual general meeting or any adjournment or postponement thereof.</w:t>
      </w:r>
    </w:p>
    <w:p>
      <w:pPr>
        <w:spacing w:after="0" w:line="358" w:lineRule="exact"/>
        <w:rPr>
          <w:sz w:val="20"/>
          <w:szCs w:val="20"/>
          <w:color w:val="auto"/>
        </w:rPr>
      </w:pPr>
    </w:p>
    <w:p>
      <w:pPr>
        <w:ind w:right="440" w:firstLine="432"/>
        <w:spacing w:after="0" w:line="309"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4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Only shareholders of record at the close of business on March 27, 2019 are entitled to notice of and to vote at the annual general meeting or at any adjournment or postponement thereof that may take place.</w:t>
      </w:r>
    </w:p>
    <w:p>
      <w:pPr>
        <w:spacing w:after="0" w:line="17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Please note that space limitations make it necessary to limit attendance at the annual general meeting to shareholders, though each shareholder may be accompanied by one guest. Shareholders of record attending the annual general meeting should be prepared to present government-issued photo identification for admission. Shareholders owning Civeo common shares through a broker, bank or other record holder should be prepared to present government-issued photo identification and evidence of share ownership as of March 27, 2019, such as an account statement, voting instruction card issued by the broker, bank or other record holder, or other acceptable document,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owners of Civeo, your vote is important. Whether or not you are able to attend the annual general meeting in person, it is important that your shares be represented. Please vote as soon as possible. Voting your shares by returning your proxy card or voting instruction card or voting through the Internet or by telephone does not affect your right to vote in person if you attend</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general meeting. For specific information regarding the voting of your shares, please refer to the section entitled “General Information About the Annual General Meeting,” beginning on page 2 of the accompanying proxy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217930"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9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April 3, 2019</w:t>
      </w:r>
    </w:p>
    <w:p>
      <w:pPr>
        <w:spacing w:after="0" w:line="207" w:lineRule="exact"/>
        <w:rPr>
          <w:sz w:val="20"/>
          <w:szCs w:val="20"/>
          <w:color w:val="auto"/>
        </w:rPr>
      </w:pPr>
    </w:p>
    <w:p>
      <w:pPr>
        <w:jc w:val="both"/>
        <w:ind w:right="40" w:firstLine="432"/>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TO BE HELD ON MAY 16, 2019: A COPY OF THIS PROXY STATEMENT, PROXY VOTING CARD AND THE CIVEO 2018 ANNUAL REPORT ARE AVAILABLE AT WWW.INVESTORVOTE.COM.</w:t>
      </w:r>
    </w:p>
    <w:p>
      <w:pPr>
        <w:sectPr>
          <w:pgSz w:w="11900" w:h="16838" w:orient="portrait"/>
          <w:cols w:equalWidth="0" w:num="1">
            <w:col w:w="11240"/>
          </w:cols>
          <w:pgMar w:left="240" w:top="125" w:right="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20" w:type="dxa"/>
            <w:vAlign w:val="bottom"/>
            <w:gridSpan w:val="9"/>
          </w:tcPr>
          <w:p>
            <w:pPr>
              <w:ind w:left="7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1180" w:type="dxa"/>
            <w:vAlign w:val="bottom"/>
            <w:gridSpan w:val="3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GENERAL INFORMATION ABOUT THE ANNUAL GENERAL MEETING</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50"/>
        </w:trPr>
        <w:tc>
          <w:tcPr>
            <w:tcW w:w="5720" w:type="dxa"/>
            <w:vAlign w:val="bottom"/>
            <w:tcBorders>
              <w:top w:val="single" w:sz="8" w:color="0000EE"/>
            </w:tcBorders>
            <w:gridSpan w:val="3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ELECTION OF DIRECTORS (Proposal 1)</w:t>
              </w:r>
            </w:hyperlink>
          </w:p>
        </w:tc>
        <w:tc>
          <w:tcPr>
            <w:tcW w:w="546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r>
      <w:tr>
        <w:trPr>
          <w:trHeight w:val="250"/>
        </w:trPr>
        <w:tc>
          <w:tcPr>
            <w:tcW w:w="13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MANAGEMENT</w:t>
              </w:r>
            </w:hyperlink>
          </w:p>
        </w:tc>
        <w:tc>
          <w:tcPr>
            <w:tcW w:w="1820" w:type="dxa"/>
            <w:vAlign w:val="bottom"/>
            <w:tcBorders>
              <w:top w:val="single" w:sz="8" w:color="0000EE"/>
            </w:tcBorders>
            <w:gridSpan w:val="16"/>
          </w:tcPr>
          <w:p>
            <w:pPr>
              <w:spacing w:after="0"/>
              <w:rPr>
                <w:sz w:val="21"/>
                <w:szCs w:val="21"/>
                <w:color w:val="auto"/>
              </w:rPr>
            </w:pPr>
          </w:p>
        </w:tc>
        <w:tc>
          <w:tcPr>
            <w:tcW w:w="806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r>
      <w:tr>
        <w:trPr>
          <w:trHeight w:val="250"/>
        </w:trPr>
        <w:tc>
          <w:tcPr>
            <w:tcW w:w="340" w:type="dxa"/>
            <w:vAlign w:val="bottom"/>
          </w:tcPr>
          <w:p>
            <w:pPr>
              <w:spacing w:after="0"/>
              <w:rPr>
                <w:sz w:val="21"/>
                <w:szCs w:val="21"/>
                <w:color w:val="auto"/>
              </w:rPr>
            </w:pPr>
          </w:p>
        </w:tc>
        <w:tc>
          <w:tcPr>
            <w:tcW w:w="2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Executive Officers and Directors</w:t>
              </w:r>
            </w:hyperlink>
          </w:p>
        </w:tc>
        <w:tc>
          <w:tcPr>
            <w:tcW w:w="8460" w:type="dxa"/>
            <w:vAlign w:val="bottom"/>
            <w:gridSpan w:val="2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r>
      <w:tr>
        <w:trPr>
          <w:trHeight w:val="250"/>
        </w:trPr>
        <w:tc>
          <w:tcPr>
            <w:tcW w:w="340" w:type="dxa"/>
            <w:vAlign w:val="bottom"/>
          </w:tcPr>
          <w:p>
            <w:pPr>
              <w:spacing w:after="0"/>
              <w:rPr>
                <w:sz w:val="21"/>
                <w:szCs w:val="21"/>
                <w:color w:val="auto"/>
              </w:rPr>
            </w:pPr>
          </w:p>
        </w:tc>
        <w:tc>
          <w:tcPr>
            <w:tcW w:w="10840" w:type="dxa"/>
            <w:vAlign w:val="bottom"/>
            <w:gridSpan w:val="3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Qualifications of Directors &amp; Nomination Process</w:t>
              </w:r>
            </w:hyperlink>
          </w:p>
        </w:tc>
        <w:tc>
          <w:tcPr>
            <w:tcW w:w="180" w:type="dxa"/>
            <w:vAlign w:val="bottom"/>
            <w:gridSpan w:val="2"/>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8</w:t>
              </w:r>
            </w:hyperlink>
          </w:p>
        </w:tc>
      </w:tr>
      <w:tr>
        <w:trPr>
          <w:trHeight w:val="250"/>
        </w:trPr>
        <w:tc>
          <w:tcPr>
            <w:tcW w:w="34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Director Independence</w:t>
            </w:r>
          </w:p>
        </w:tc>
        <w:tc>
          <w:tcPr>
            <w:tcW w:w="1960" w:type="dxa"/>
            <w:vAlign w:val="bottom"/>
            <w:tcBorders>
              <w:top w:val="single" w:sz="8" w:color="0000EE"/>
            </w:tcBorders>
            <w:gridSpan w:val="22"/>
          </w:tcPr>
          <w:p>
            <w:pPr>
              <w:spacing w:after="0"/>
              <w:rPr>
                <w:sz w:val="21"/>
                <w:szCs w:val="21"/>
                <w:color w:val="auto"/>
              </w:rPr>
            </w:pPr>
          </w:p>
        </w:tc>
        <w:tc>
          <w:tcPr>
            <w:tcW w:w="722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9</w:t>
              </w:r>
            </w:hyperlink>
          </w:p>
        </w:tc>
      </w:tr>
      <w:tr>
        <w:trPr>
          <w:trHeight w:val="250"/>
        </w:trPr>
        <w:tc>
          <w:tcPr>
            <w:tcW w:w="340" w:type="dxa"/>
            <w:vAlign w:val="bottom"/>
          </w:tcPr>
          <w:p>
            <w:pPr>
              <w:spacing w:after="0"/>
              <w:rPr>
                <w:sz w:val="21"/>
                <w:szCs w:val="21"/>
                <w:color w:val="auto"/>
              </w:rPr>
            </w:pPr>
          </w:p>
        </w:tc>
        <w:tc>
          <w:tcPr>
            <w:tcW w:w="11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Board Structure</w:t>
              </w:r>
            </w:hyperlink>
          </w:p>
        </w:tc>
        <w:tc>
          <w:tcPr>
            <w:tcW w:w="9680" w:type="dxa"/>
            <w:vAlign w:val="bottom"/>
            <w:gridSpan w:val="3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9</w:t>
              </w:r>
            </w:hyperlink>
          </w:p>
        </w:tc>
      </w:tr>
      <w:tr>
        <w:trPr>
          <w:trHeight w:val="250"/>
        </w:trPr>
        <w:tc>
          <w:tcPr>
            <w:tcW w:w="340" w:type="dxa"/>
            <w:vAlign w:val="bottom"/>
          </w:tcPr>
          <w:p>
            <w:pPr>
              <w:spacing w:after="0"/>
              <w:rPr>
                <w:sz w:val="21"/>
                <w:szCs w:val="21"/>
                <w:color w:val="auto"/>
              </w:rPr>
            </w:pPr>
          </w:p>
        </w:tc>
        <w:tc>
          <w:tcPr>
            <w:tcW w:w="10840" w:type="dxa"/>
            <w:vAlign w:val="bottom"/>
            <w:gridSpan w:val="3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Board Committees</w:t>
              </w:r>
            </w:hyperlink>
          </w:p>
        </w:tc>
        <w:tc>
          <w:tcPr>
            <w:tcW w:w="180" w:type="dxa"/>
            <w:vAlign w:val="bottom"/>
            <w:gridSpan w:val="2"/>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9</w:t>
              </w:r>
            </w:hyperlink>
          </w:p>
        </w:tc>
      </w:tr>
      <w:tr>
        <w:trPr>
          <w:trHeight w:val="20"/>
        </w:trPr>
        <w:tc>
          <w:tcPr>
            <w:tcW w:w="3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840" w:type="dxa"/>
            <w:vAlign w:val="bottom"/>
            <w:gridSpan w:val="3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of Directors and Committee Meetings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r>
      <w:tr>
        <w:trPr>
          <w:trHeight w:val="250"/>
        </w:trPr>
        <w:tc>
          <w:tcPr>
            <w:tcW w:w="340" w:type="dxa"/>
            <w:vAlign w:val="bottom"/>
          </w:tcPr>
          <w:p>
            <w:pPr>
              <w:spacing w:after="0"/>
              <w:rPr>
                <w:sz w:val="21"/>
                <w:szCs w:val="21"/>
                <w:color w:val="auto"/>
              </w:rPr>
            </w:pPr>
          </w:p>
        </w:tc>
        <w:tc>
          <w:tcPr>
            <w:tcW w:w="1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Executive Sessions</w:t>
              </w:r>
            </w:hyperlink>
          </w:p>
        </w:tc>
        <w:tc>
          <w:tcPr>
            <w:tcW w:w="1820" w:type="dxa"/>
            <w:vAlign w:val="bottom"/>
            <w:tcBorders>
              <w:top w:val="single" w:sz="8" w:color="0000EE"/>
            </w:tcBorders>
            <w:gridSpan w:val="16"/>
          </w:tcPr>
          <w:p>
            <w:pPr>
              <w:spacing w:after="0"/>
              <w:rPr>
                <w:sz w:val="21"/>
                <w:szCs w:val="21"/>
                <w:color w:val="auto"/>
              </w:rPr>
            </w:pPr>
          </w:p>
        </w:tc>
        <w:tc>
          <w:tcPr>
            <w:tcW w:w="7620" w:type="dxa"/>
            <w:vAlign w:val="bottom"/>
            <w:gridSpan w:val="1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r>
      <w:tr>
        <w:trPr>
          <w:trHeight w:val="250"/>
        </w:trPr>
        <w:tc>
          <w:tcPr>
            <w:tcW w:w="340" w:type="dxa"/>
            <w:vAlign w:val="bottom"/>
          </w:tcPr>
          <w:p>
            <w:pPr>
              <w:spacing w:after="0"/>
              <w:rPr>
                <w:sz w:val="21"/>
                <w:szCs w:val="21"/>
                <w:color w:val="auto"/>
              </w:rPr>
            </w:pPr>
          </w:p>
        </w:tc>
        <w:tc>
          <w:tcPr>
            <w:tcW w:w="10840" w:type="dxa"/>
            <w:vAlign w:val="bottom"/>
            <w:gridSpan w:val="3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of Directors Oversight of Enterprise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r>
      <w:tr>
        <w:trPr>
          <w:trHeight w:val="250"/>
        </w:trPr>
        <w:tc>
          <w:tcPr>
            <w:tcW w:w="340" w:type="dxa"/>
            <w:vAlign w:val="bottom"/>
          </w:tcPr>
          <w:p>
            <w:pPr>
              <w:spacing w:after="0"/>
              <w:rPr>
                <w:sz w:val="21"/>
                <w:szCs w:val="21"/>
                <w:color w:val="auto"/>
              </w:rPr>
            </w:pPr>
          </w:p>
        </w:tc>
        <w:tc>
          <w:tcPr>
            <w:tcW w:w="3460" w:type="dxa"/>
            <w:vAlign w:val="bottom"/>
            <w:tcBorders>
              <w:top w:val="single" w:sz="8" w:color="0000EE"/>
            </w:tcBorders>
            <w:gridSpan w:val="2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 Guidelines</w:t>
              </w:r>
            </w:hyperlink>
          </w:p>
        </w:tc>
        <w:tc>
          <w:tcPr>
            <w:tcW w:w="7380" w:type="dxa"/>
            <w:vAlign w:val="bottom"/>
            <w:gridSpan w:val="11"/>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r>
      <w:tr>
        <w:trPr>
          <w:trHeight w:val="250"/>
        </w:trPr>
        <w:tc>
          <w:tcPr>
            <w:tcW w:w="340" w:type="dxa"/>
            <w:vAlign w:val="bottom"/>
          </w:tcPr>
          <w:p>
            <w:pPr>
              <w:spacing w:after="0"/>
              <w:rPr>
                <w:sz w:val="21"/>
                <w:szCs w:val="21"/>
                <w:color w:val="auto"/>
              </w:rPr>
            </w:pPr>
          </w:p>
        </w:tc>
        <w:tc>
          <w:tcPr>
            <w:tcW w:w="2460" w:type="dxa"/>
            <w:vAlign w:val="bottom"/>
            <w:tcBorders>
              <w:top w:val="single" w:sz="8" w:color="0000EE"/>
            </w:tcBorders>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of Directors Leadership</w:t>
              </w:r>
            </w:hyperlink>
          </w:p>
        </w:tc>
        <w:tc>
          <w:tcPr>
            <w:tcW w:w="8380" w:type="dxa"/>
            <w:vAlign w:val="bottom"/>
            <w:gridSpan w:val="23"/>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20"/>
        </w:trPr>
        <w:tc>
          <w:tcPr>
            <w:tcW w:w="3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3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Corporate Code of Business Conduct &amp; Ethics</w:t>
              </w:r>
            </w:hyperlink>
          </w:p>
        </w:tc>
        <w:tc>
          <w:tcPr>
            <w:tcW w:w="746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250"/>
        </w:trPr>
        <w:tc>
          <w:tcPr>
            <w:tcW w:w="340" w:type="dxa"/>
            <w:vAlign w:val="bottom"/>
          </w:tcPr>
          <w:p>
            <w:pPr>
              <w:spacing w:after="0"/>
              <w:rPr>
                <w:sz w:val="21"/>
                <w:szCs w:val="21"/>
                <w:color w:val="auto"/>
              </w:rPr>
            </w:pPr>
          </w:p>
        </w:tc>
        <w:tc>
          <w:tcPr>
            <w:tcW w:w="320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Financial Code of Ethics for Senior Officers</w:t>
              </w:r>
            </w:hyperlink>
          </w:p>
        </w:tc>
        <w:tc>
          <w:tcPr>
            <w:tcW w:w="764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250"/>
        </w:trPr>
        <w:tc>
          <w:tcPr>
            <w:tcW w:w="340" w:type="dxa"/>
            <w:vAlign w:val="bottom"/>
          </w:tcPr>
          <w:p>
            <w:pPr>
              <w:spacing w:after="0"/>
              <w:rPr>
                <w:sz w:val="21"/>
                <w:szCs w:val="21"/>
                <w:color w:val="auto"/>
              </w:rPr>
            </w:pPr>
          </w:p>
        </w:tc>
        <w:tc>
          <w:tcPr>
            <w:tcW w:w="20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Director Resignation Policy</w:t>
              </w:r>
            </w:hyperlink>
          </w:p>
        </w:tc>
        <w:tc>
          <w:tcPr>
            <w:tcW w:w="8820" w:type="dxa"/>
            <w:vAlign w:val="bottom"/>
            <w:gridSpan w:val="2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250"/>
        </w:trPr>
        <w:tc>
          <w:tcPr>
            <w:tcW w:w="340" w:type="dxa"/>
            <w:vAlign w:val="bottom"/>
          </w:tcPr>
          <w:p>
            <w:pPr>
              <w:spacing w:after="0"/>
              <w:rPr>
                <w:sz w:val="21"/>
                <w:szCs w:val="21"/>
                <w:color w:val="auto"/>
              </w:rPr>
            </w:pPr>
          </w:p>
        </w:tc>
        <w:tc>
          <w:tcPr>
            <w:tcW w:w="448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Compensation Committee Interlocks and Insider Participation</w:t>
              </w:r>
            </w:hyperlink>
          </w:p>
        </w:tc>
        <w:tc>
          <w:tcPr>
            <w:tcW w:w="636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250"/>
        </w:trPr>
        <w:tc>
          <w:tcPr>
            <w:tcW w:w="340" w:type="dxa"/>
            <w:vAlign w:val="bottom"/>
          </w:tcPr>
          <w:p>
            <w:pPr>
              <w:spacing w:after="0"/>
              <w:rPr>
                <w:sz w:val="21"/>
                <w:szCs w:val="21"/>
                <w:color w:val="auto"/>
              </w:rPr>
            </w:pPr>
          </w:p>
        </w:tc>
        <w:tc>
          <w:tcPr>
            <w:tcW w:w="23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Communications with Directors</w:t>
              </w:r>
            </w:hyperlink>
          </w:p>
        </w:tc>
        <w:tc>
          <w:tcPr>
            <w:tcW w:w="8520" w:type="dxa"/>
            <w:vAlign w:val="bottom"/>
            <w:gridSpan w:val="2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250"/>
        </w:trPr>
        <w:tc>
          <w:tcPr>
            <w:tcW w:w="340" w:type="dxa"/>
            <w:vAlign w:val="bottom"/>
          </w:tcPr>
          <w:p>
            <w:pPr>
              <w:spacing w:after="0"/>
              <w:rPr>
                <w:sz w:val="21"/>
                <w:szCs w:val="21"/>
                <w:color w:val="auto"/>
              </w:rPr>
            </w:pPr>
          </w:p>
        </w:tc>
        <w:tc>
          <w:tcPr>
            <w:tcW w:w="1084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Accounting and Auditing Concerns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20"/>
        </w:trPr>
        <w:tc>
          <w:tcPr>
            <w:tcW w:w="3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EXECUTIVE COMPENSATION</w:t>
              </w:r>
            </w:hyperlink>
          </w:p>
        </w:tc>
        <w:tc>
          <w:tcPr>
            <w:tcW w:w="8740" w:type="dxa"/>
            <w:vAlign w:val="bottom"/>
            <w:gridSpan w:val="2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COMPENSATION DISCUSSION AND ANALYSIS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250"/>
        </w:trPr>
        <w:tc>
          <w:tcPr>
            <w:tcW w:w="3840" w:type="dxa"/>
            <w:vAlign w:val="bottom"/>
            <w:tcBorders>
              <w:top w:val="single" w:sz="8" w:color="0000EE"/>
            </w:tcBorders>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734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r>
      <w:tr>
        <w:trPr>
          <w:trHeight w:val="250"/>
        </w:trPr>
        <w:tc>
          <w:tcPr>
            <w:tcW w:w="3220" w:type="dxa"/>
            <w:vAlign w:val="bottom"/>
            <w:tcBorders>
              <w:top w:val="single" w:sz="8" w:color="0000EE"/>
            </w:tcBorders>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SUMMARY COMPENSATION TABLE</w:t>
              </w:r>
            </w:hyperlink>
          </w:p>
        </w:tc>
        <w:tc>
          <w:tcPr>
            <w:tcW w:w="7960" w:type="dxa"/>
            <w:vAlign w:val="bottom"/>
            <w:gridSpan w:val="19"/>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74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GRANTS OF PLAN BASED AWARDS FOR 2018</w:t>
              </w:r>
            </w:hyperlink>
          </w:p>
        </w:tc>
        <w:tc>
          <w:tcPr>
            <w:tcW w:w="744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OUTSTANDING EQUITY AWARDS AT 2018 FISCAL YEAR END</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29</w:t>
              </w:r>
            </w:hyperlink>
          </w:p>
        </w:tc>
      </w:tr>
      <w:tr>
        <w:trPr>
          <w:trHeight w:val="250"/>
        </w:trPr>
        <w:tc>
          <w:tcPr>
            <w:tcW w:w="37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OPTIONS EXERCISED AND SHARES VESTED</w:t>
              </w:r>
            </w:hyperlink>
          </w:p>
        </w:tc>
        <w:tc>
          <w:tcPr>
            <w:tcW w:w="1360" w:type="dxa"/>
            <w:vAlign w:val="bottom"/>
            <w:tcBorders>
              <w:top w:val="single" w:sz="8" w:color="0000EE"/>
            </w:tcBorders>
            <w:gridSpan w:val="8"/>
          </w:tcPr>
          <w:p>
            <w:pPr>
              <w:spacing w:after="0"/>
              <w:rPr>
                <w:sz w:val="21"/>
                <w:szCs w:val="21"/>
                <w:color w:val="auto"/>
              </w:rPr>
            </w:pPr>
          </w:p>
        </w:tc>
        <w:tc>
          <w:tcPr>
            <w:tcW w:w="6120" w:type="dxa"/>
            <w:vAlign w:val="bottom"/>
            <w:gridSpan w:val="7"/>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r>
      <w:tr>
        <w:trPr>
          <w:trHeight w:val="250"/>
        </w:trPr>
        <w:tc>
          <w:tcPr>
            <w:tcW w:w="376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NONQUALIFIED DEFERRED COMPENSATION</w:t>
              </w:r>
            </w:hyperlink>
          </w:p>
        </w:tc>
        <w:tc>
          <w:tcPr>
            <w:tcW w:w="7420" w:type="dxa"/>
            <w:vAlign w:val="bottom"/>
            <w:gridSpan w:val="1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32</w:t>
              </w:r>
            </w:hyperlink>
          </w:p>
        </w:tc>
      </w:tr>
      <w:tr>
        <w:trPr>
          <w:trHeight w:val="250"/>
        </w:trPr>
        <w:tc>
          <w:tcPr>
            <w:tcW w:w="6040" w:type="dxa"/>
            <w:vAlign w:val="bottom"/>
            <w:tcBorders>
              <w:bottom w:val="single" w:sz="8" w:color="0000EE"/>
            </w:tcBorders>
            <w:gridSpan w:val="36"/>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POTENTIAL PAYMENTS UPON TERMINATION OR CHANGE OF CONTROL</w:t>
              </w:r>
            </w:hyperlink>
          </w:p>
        </w:tc>
        <w:tc>
          <w:tcPr>
            <w:tcW w:w="51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33</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DIRECTOR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35</w:t>
              </w:r>
            </w:hyperlink>
          </w:p>
        </w:tc>
      </w:tr>
      <w:tr>
        <w:trPr>
          <w:trHeight w:val="250"/>
        </w:trPr>
        <w:tc>
          <w:tcPr>
            <w:tcW w:w="20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PAY RATIO DISCLOSURE</w:t>
              </w:r>
            </w:hyperlink>
          </w:p>
        </w:tc>
        <w:tc>
          <w:tcPr>
            <w:tcW w:w="260" w:type="dxa"/>
            <w:vAlign w:val="bottom"/>
            <w:tcBorders>
              <w:top w:val="single" w:sz="8" w:color="0000EE"/>
            </w:tcBorders>
          </w:tcPr>
          <w:p>
            <w:pPr>
              <w:spacing w:after="0"/>
              <w:rPr>
                <w:sz w:val="21"/>
                <w:szCs w:val="21"/>
                <w:color w:val="auto"/>
              </w:rPr>
            </w:pPr>
          </w:p>
        </w:tc>
        <w:tc>
          <w:tcPr>
            <w:tcW w:w="8860" w:type="dxa"/>
            <w:vAlign w:val="bottom"/>
            <w:gridSpan w:val="29"/>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37</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RELATIONSHIPS AND RELATED-PARTY TRANSACTIONS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1700" w:type="dxa"/>
            <w:vAlign w:val="bottom"/>
            <w:gridSpan w:val="1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100" w:type="dxa"/>
            <w:vAlign w:val="bottom"/>
            <w:gridSpan w:val="1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SECTION 16(A) BENEFICIAL OWNERSHIP REPORTING COMPLIANCE</w:t>
              </w:r>
            </w:hyperlink>
          </w:p>
        </w:tc>
        <w:tc>
          <w:tcPr>
            <w:tcW w:w="550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41</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SECURITY OWNERSHIP OF MANAGEMENT AND CERTAIN BENEFICIAL OWNERS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50"/>
        </w:trPr>
        <w:tc>
          <w:tcPr>
            <w:tcW w:w="33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RATIFICATION OF AUDITORS (Proposal 2)</w:t>
              </w:r>
            </w:hyperlink>
          </w:p>
        </w:tc>
        <w:tc>
          <w:tcPr>
            <w:tcW w:w="3340" w:type="dxa"/>
            <w:vAlign w:val="bottom"/>
            <w:tcBorders>
              <w:top w:val="single" w:sz="8" w:color="0000EE"/>
            </w:tcBorders>
            <w:gridSpan w:val="17"/>
          </w:tcPr>
          <w:p>
            <w:pPr>
              <w:spacing w:after="0"/>
              <w:rPr>
                <w:sz w:val="21"/>
                <w:szCs w:val="21"/>
                <w:color w:val="auto"/>
              </w:rPr>
            </w:pPr>
          </w:p>
        </w:tc>
        <w:tc>
          <w:tcPr>
            <w:tcW w:w="44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45</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ADVISORY VOTE TO APPROVE EXECUTIVE COMPENSATION (Proposal 3)</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r>
      <w:tr>
        <w:trPr>
          <w:trHeight w:val="250"/>
        </w:trPr>
        <w:tc>
          <w:tcPr>
            <w:tcW w:w="6000" w:type="dxa"/>
            <w:vAlign w:val="bottom"/>
            <w:tcBorders>
              <w:top w:val="single" w:sz="8" w:color="0000EE"/>
            </w:tcBorders>
            <w:gridSpan w:val="3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FUTURE SHAREHOLDER PROPOSALS</w:t>
              </w:r>
            </w:hyperlink>
          </w:p>
        </w:tc>
        <w:tc>
          <w:tcPr>
            <w:tcW w:w="5180" w:type="dxa"/>
            <w:vAlign w:val="bottom"/>
            <w:gridSpan w:val="3"/>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49</w:t>
              </w:r>
            </w:hyperlink>
          </w:p>
        </w:tc>
      </w:tr>
      <w:tr>
        <w:trPr>
          <w:trHeight w:val="250"/>
        </w:trPr>
        <w:tc>
          <w:tcPr>
            <w:tcW w:w="1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HOUSEHOLDING</w:t>
              </w:r>
            </w:hyperlink>
          </w:p>
        </w:tc>
        <w:tc>
          <w:tcPr>
            <w:tcW w:w="1700" w:type="dxa"/>
            <w:vAlign w:val="bottom"/>
            <w:tcBorders>
              <w:top w:val="single" w:sz="8" w:color="0000EE"/>
            </w:tcBorders>
            <w:gridSpan w:val="15"/>
          </w:tcPr>
          <w:p>
            <w:pPr>
              <w:spacing w:after="0"/>
              <w:rPr>
                <w:sz w:val="21"/>
                <w:szCs w:val="21"/>
                <w:color w:val="auto"/>
              </w:rPr>
            </w:pPr>
          </w:p>
        </w:tc>
        <w:tc>
          <w:tcPr>
            <w:tcW w:w="8060" w:type="dxa"/>
            <w:vAlign w:val="bottom"/>
            <w:gridSpan w:val="20"/>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306705</wp:posOffset>
            </wp:positionV>
            <wp:extent cx="2487295" cy="1252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729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proxy statement is being furnished to shareholders of Civeo Corporation, a British Columbia, Canada limited company (“Civeo”), in connection with the solicitation of proxies by its board of directors for use at the 2019 annual general meeting of shareholders (the “annual general meeting”) to be held on May 16, 2019 at 9:00 a.m., local time, at the Hyatt Regency, 1200 Louisiana Street, Houston, Texas 77002, at which shareholders will have the opportunity to vote on the proposals to elect the following three persons as Class II members of Civeo’s board of directors: Richard A. Navarre, Martin A. Lambert and Constance B. Moore, each for a term of three years ending at the 2022 annual general meeting of shareholders or until their successors are duly elected and qualified (the “Director Proposal”); to ratify the appointment of Ernst &amp; Young LLP as Civeo’s independent registered public accounting firm for the year ending December 31, 2019 and until the next annual general meeting of shareholders and to authorize the directors, acting through the Audit Committee, to determine the remuneration to be paid to Ernst &amp; Young LLP for 2019 (the “Auditor Proposal”); to approve, on an advisory basis, the compensation of Civeo’s named executive officers (the “Say-on-Pay Proposal”); and to conduct any other business as may properly come before the annual general meeting or any adjournment or postponement thereof. The approximate date of first mailing of this proxy statement, the accompanying proxy and Civeo’s 2018 annual report is April 11, 2019.</w:t>
      </w:r>
    </w:p>
    <w:p>
      <w:pPr>
        <w:spacing w:after="0" w:line="1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this proxy statement, we sometimes refer to Civeo and its subsidiaries as “we,” “us,” “our,” or “Civeo.” Unless otherwise indicated, all references in this proxy statement to “dollars” or “$” are to U.S. dollars.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125"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229"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annual general meeting, you will be asked to vote on several proposals, including:</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election of three persons as Class II members of Civeo’s board of directors: Richard A. Navarre, Martin A. Lambert and Constance B. Moore;</w:t>
      </w:r>
    </w:p>
    <w:p>
      <w:pPr>
        <w:spacing w:after="0" w:line="46" w:lineRule="exact"/>
        <w:rPr>
          <w:rFonts w:ascii="Arial" w:cs="Arial" w:eastAsia="Arial" w:hAnsi="Arial"/>
          <w:sz w:val="16"/>
          <w:szCs w:val="16"/>
          <w:color w:val="auto"/>
        </w:rPr>
      </w:pPr>
    </w:p>
    <w:p>
      <w:pPr>
        <w:ind w:left="640" w:hanging="321"/>
        <w:spacing w:after="0" w:line="250"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independent registered public accounting firm for the year ending December 31, 2019 and until the next annual general meeting of shareholders and the authorization of the directors, acting through the Audit Committee, to determine the remuneration to be paid to Ernst &amp; Young LLP for 2019;</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of Civeo’s named executive officers;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conduct of any other business as may properly come before Civeo’s annual general meeting or any adjournment or postponement thereof.</w:t>
      </w:r>
    </w:p>
    <w:p>
      <w:pPr>
        <w:spacing w:after="0" w:line="11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Your vote is important. You do not need to attend the annual general meeting in person to vote. We encourage you to vote as soon as possible.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of shareholders is required to approve the proposals at the annual general meeting?</w:t>
      </w:r>
    </w:p>
    <w:p>
      <w:pPr>
        <w:spacing w:after="0" w:line="121" w:lineRule="exact"/>
        <w:rPr>
          <w:sz w:val="20"/>
          <w:szCs w:val="20"/>
          <w:color w:val="auto"/>
        </w:rPr>
      </w:pPr>
    </w:p>
    <w:p>
      <w:pPr>
        <w:ind w:right="440" w:firstLine="8"/>
        <w:spacing w:after="0" w:line="277"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Say-on-Pay Proposal, you may vote "FOR", "AGAINST" or "ABSTAIN". To approve the Say-on-Pay Proposal, the votes cast in favor of the proposal must exceed the votes cast against the proposal.</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Director Proposal and the Auditor Proposal, you may vote either “FOR” or “WITHHOLD.” A plurality of the votes cast by shareholders at the 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and Corporate Governance Committee following certification of the shareholder vote. For more information, please read “Management—Director Resignation Policy.”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does the board of directors recommend?</w:t>
      </w:r>
    </w:p>
    <w:p>
      <w:pPr>
        <w:spacing w:after="0" w:line="229" w:lineRule="exact"/>
        <w:rPr>
          <w:sz w:val="20"/>
          <w:szCs w:val="20"/>
          <w:color w:val="auto"/>
        </w:rPr>
      </w:pPr>
    </w:p>
    <w:p>
      <w:pPr>
        <w:ind w:right="120" w:firstLine="8"/>
        <w:spacing w:after="0" w:line="277"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recommends shareholders of Civeo vote “FOR” each of the director nominees named in the Director Proposal, “FOR” the Auditor Proposal and “FOR” the Say-on-Pay Proposal.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will the annual general meeting be held?</w:t>
      </w:r>
    </w:p>
    <w:p>
      <w:pPr>
        <w:spacing w:after="0" w:line="135" w:lineRule="exact"/>
        <w:rPr>
          <w:sz w:val="20"/>
          <w:szCs w:val="20"/>
          <w:color w:val="auto"/>
        </w:rPr>
      </w:pPr>
    </w:p>
    <w:p>
      <w:pPr>
        <w:ind w:right="40" w:firstLine="8"/>
        <w:spacing w:after="0" w:line="264"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annual general meeting will be held at the Hyatt Regency, 1200 Louisiana Street, Houston, Texas 77002 on May 16, 2019 at 9:00 a.m., local time. For directions to be able to attend the meeting, please review the information included in the notice or contact our Corporate Secretary at Civeo Corporation, Three Allen Center, 333 Clay Street, Suite 4980, Houston, TX 77002.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entitled to vote at the annual general meeting?</w:t>
      </w:r>
    </w:p>
    <w:p>
      <w:pPr>
        <w:spacing w:after="0" w:line="229" w:lineRule="exact"/>
        <w:rPr>
          <w:sz w:val="20"/>
          <w:szCs w:val="20"/>
          <w:color w:val="auto"/>
        </w:rPr>
      </w:pPr>
    </w:p>
    <w:p>
      <w:pPr>
        <w:ind w:firstLine="8"/>
        <w:spacing w:after="0" w:line="264"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fixed March 27, 2019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votes do I have?</w:t>
      </w:r>
    </w:p>
    <w:p>
      <w:pPr>
        <w:spacing w:after="0" w:line="229" w:lineRule="exact"/>
        <w:rPr>
          <w:sz w:val="20"/>
          <w:szCs w:val="20"/>
          <w:color w:val="auto"/>
        </w:rPr>
      </w:pPr>
    </w:p>
    <w:p>
      <w:pPr>
        <w:ind w:right="60" w:firstLine="8"/>
        <w:spacing w:after="0" w:line="277"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U.S. Eastern Time, on the record date. As of the close of business on the record date, there were approximately 169,297,453 Civeo common shares outstanding.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229" w:lineRule="exact"/>
        <w:rPr>
          <w:sz w:val="20"/>
          <w:szCs w:val="20"/>
          <w:color w:val="auto"/>
        </w:rPr>
      </w:pPr>
    </w:p>
    <w:p>
      <w:pPr>
        <w:ind w:firstLine="8"/>
        <w:spacing w:after="0" w:line="264"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registered shareholder of Civeo as of the close of business, U.S. Eastern Time, on the record date for the annual general meeting, you may vote in person by attending the annual general meeting or, to ensure your shares are represented at the annual general meeting, you may authorize a proxy to vote by:</w:t>
      </w:r>
    </w:p>
    <w:p>
      <w:pPr>
        <w:spacing w:after="0" w:line="302"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annual general meeting.</w:t>
      </w:r>
    </w:p>
    <w:p>
      <w:pPr>
        <w:spacing w:after="0" w:line="117"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If my shares are held in “street name” by my nominee, when will my nominee vote shares for me?</w:t>
      </w:r>
    </w:p>
    <w:p>
      <w:pPr>
        <w:spacing w:after="0" w:line="229" w:lineRule="exact"/>
        <w:rPr>
          <w:sz w:val="20"/>
          <w:szCs w:val="20"/>
          <w:color w:val="auto"/>
        </w:rPr>
      </w:pPr>
    </w:p>
    <w:p>
      <w:pPr>
        <w:ind w:right="180" w:firstLine="8"/>
        <w:spacing w:after="0" w:line="291" w:lineRule="auto"/>
        <w:tabs>
          <w:tab w:leader="none" w:pos="2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annual general meeting, if you are a beneficial owner whose shares are held by a bank, broker or other nominee of record, your bank, broker or other nominee of record has discretionary voting authority under NYSE rules to vote your shares on the Auditor Proposal, even if it has not received voting instructions from you. However, such nominee does not have discretionary authority to vote on the Director Proposal or the Say-on-Pay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 the NYSE. Your nominee can give you directions on how to instruct the voting of your shares. We encourage you to instruct your nominee how to vote your shares.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Are shareholders able to exercise appraisal rights?</w:t>
      </w:r>
    </w:p>
    <w:p>
      <w:pPr>
        <w:spacing w:after="0" w:line="229"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Appraisal rights are not available to shareholders in connection with any of the proposals.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 after I grant my proxy?</w:t>
      </w:r>
    </w:p>
    <w:p>
      <w:pPr>
        <w:spacing w:after="0" w:line="135" w:lineRule="exact"/>
        <w:rPr>
          <w:sz w:val="20"/>
          <w:szCs w:val="20"/>
          <w:color w:val="auto"/>
        </w:rPr>
      </w:pPr>
    </w:p>
    <w:p>
      <w:pPr>
        <w:ind w:right="620" w:firstLine="8"/>
        <w:spacing w:after="0" w:line="258"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attending the annual general meeting and voting in person.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attendance at the annual general meeting will not itself revoke your proxy.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have instructed a broker to vote your shares, you must follow the procedure provided by your broker to change those instructions.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if I fail to vote or I abstain from voting?</w:t>
      </w:r>
    </w:p>
    <w:p>
      <w:pPr>
        <w:spacing w:after="0" w:line="337" w:lineRule="exact"/>
        <w:rPr>
          <w:sz w:val="20"/>
          <w:szCs w:val="20"/>
          <w:color w:val="auto"/>
        </w:rPr>
      </w:pPr>
    </w:p>
    <w:p>
      <w:pPr>
        <w:ind w:right="80" w:firstLine="8"/>
        <w:spacing w:after="0" w:line="264"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applicable local law, if you are a shareholder of Civeo and (1) are present in person or by proxy at the annual general meeting and mark your proxy or voting instructions to abstain, (2) are not present in person at the annual general meeting and do not respond by proxy or (3) fail to instruct your broker, bank or other nominee to vote, this will have no effect on the Say-on-Pay Proposal.</w:t>
      </w:r>
    </w:p>
    <w:p>
      <w:pPr>
        <w:spacing w:after="0" w:line="28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you are a shareholder of Civeo and are present in person or by proxy at the annual general meeting and mark your proxy or voting instructions to withhold, this will have the effect of a vote withheld from the Director Proposal. If you are a shareholder of Civeo and are present in person or by proxy at the annual general meeting and mark your proxy or voting instructions to withhold, this will have no effect on the Auditor Proposal. If you are a shareholder of Civeo and are not present in person at the annual general meeting and do not respond by proxy, this will have no effect on the Director Proposal or the Auditor Proposal.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if I return my proxy card without indicating how to vote?</w:t>
      </w:r>
    </w:p>
    <w:p>
      <w:pPr>
        <w:spacing w:after="0" w:line="229" w:lineRule="exact"/>
        <w:rPr>
          <w:sz w:val="20"/>
          <w:szCs w:val="20"/>
          <w:color w:val="auto"/>
        </w:rPr>
      </w:pPr>
    </w:p>
    <w:p>
      <w:pPr>
        <w:ind w:right="160" w:firstLine="8"/>
        <w:spacing w:after="0" w:line="308" w:lineRule="auto"/>
        <w:tabs>
          <w:tab w:leader="none" w:pos="2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quorum requirement for the annual general meeting?</w:t>
      </w:r>
    </w:p>
    <w:p>
      <w:pPr>
        <w:spacing w:after="0" w:line="229" w:lineRule="exact"/>
        <w:rPr>
          <w:sz w:val="20"/>
          <w:szCs w:val="20"/>
          <w:color w:val="auto"/>
        </w:rPr>
      </w:pPr>
    </w:p>
    <w:p>
      <w:pPr>
        <w:ind w:right="140" w:firstLine="8"/>
        <w:spacing w:after="0" w:line="259" w:lineRule="auto"/>
        <w:tabs>
          <w:tab w:leader="none" w:pos="2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soliciting my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Proxies are being solicited by our board of directors for use at the annual general meeting and any adjournment or postponement thereof.</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the cost of this proxy solicitation?</w:t>
      </w:r>
    </w:p>
    <w:p>
      <w:pPr>
        <w:spacing w:after="0" w:line="229" w:lineRule="exact"/>
        <w:rPr>
          <w:sz w:val="20"/>
          <w:szCs w:val="20"/>
          <w:color w:val="auto"/>
        </w:rPr>
      </w:pPr>
    </w:p>
    <w:p>
      <w:pPr>
        <w:ind w:right="100" w:firstLine="8"/>
        <w:spacing w:after="0" w:line="277" w:lineRule="auto"/>
        <w:tabs>
          <w:tab w:leader="none" w:pos="2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personally or by telephone, and we have engaged a proxy solicitor to solicit proxies on our behalf by telephone and by other means. We expect the cost of Okapi Partners LLC, our proxy solicitor, to be approximately $9,000. Computershare, our transfer agent, will serve as the inspector of election for the annual general meeting.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21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Three directors have been nominated for election at the annual general meeting to serve as Class II members of Civeo’s board of directors. Based on the recommendation of our Nominating and Corporate Governance Committee, Civeo’s board of directors has nominated Richard A. Navarre, Martin A. Lambert and Constance B. Moore for election to the three expiring Class II positions on the board of directors currently held by them, to hold office for three-year terms expiring at the annual general meeting of shareholders in 2022,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Richard A. Navarre, Martin A. Lambert and Constance B. Moore are “independent,” as that term is defined by the applicable NYSE listing standards. See “Management— Director Independence” for a discussion of director independence determinations. See “Management” for a brief biography of all directors, including the director nominees.</w:t>
      </w:r>
    </w:p>
    <w:p>
      <w:pPr>
        <w:spacing w:after="0" w:line="19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183" w:lineRule="exact"/>
        <w:rPr>
          <w:sz w:val="20"/>
          <w:szCs w:val="20"/>
          <w:color w:val="auto"/>
        </w:rPr>
      </w:pPr>
    </w:p>
    <w:p>
      <w:pPr>
        <w:ind w:right="180" w:firstLine="432"/>
        <w:spacing w:after="0" w:line="266" w:lineRule="auto"/>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information as of March 31, 2019 regarding the individuals who serve as our executive officers and directors, including the three nominees for election to the Class II positions on the board of directors at the annual general meeting.</w:t>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Richard A. Navarre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Chairman of the Board</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Bradley J. Dodson</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Chief Executive Officer and 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Class III</w:t>
            </w:r>
          </w:p>
        </w:tc>
      </w:tr>
      <w:tr>
        <w:trPr>
          <w:trHeight w:val="256"/>
        </w:trPr>
        <w:tc>
          <w:tcPr>
            <w:tcW w:w="2060" w:type="dxa"/>
            <w:vAlign w:val="bottom"/>
          </w:tcPr>
          <w:p>
            <w:pPr>
              <w:ind w:left="40"/>
              <w:spacing w:after="0"/>
              <w:rPr>
                <w:sz w:val="20"/>
                <w:szCs w:val="20"/>
                <w:color w:val="auto"/>
              </w:rPr>
            </w:pPr>
            <w:r>
              <w:rPr>
                <w:rFonts w:ascii="Arial" w:cs="Arial" w:eastAsia="Arial" w:hAnsi="Arial"/>
                <w:sz w:val="18"/>
                <w:szCs w:val="18"/>
                <w:color w:val="auto"/>
              </w:rPr>
              <w:t>Frank C. Steininger</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Vice President, Chief Financial Officer and</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Treasurer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Peter L. McCann</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Senior Vice President, Australia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Allan D. Schoening</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Senior Vice President, Canada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C. Ronald Blankenship</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Martin A. Lambert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Constance B. Moore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Charles Szalkowski</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70"/>
        </w:trPr>
        <w:tc>
          <w:tcPr>
            <w:tcW w:w="2060" w:type="dxa"/>
            <w:vAlign w:val="bottom"/>
          </w:tcPr>
          <w:p>
            <w:pPr>
              <w:ind w:left="40"/>
              <w:spacing w:after="0"/>
              <w:rPr>
                <w:sz w:val="20"/>
                <w:szCs w:val="20"/>
                <w:color w:val="auto"/>
              </w:rPr>
            </w:pPr>
            <w:r>
              <w:rPr>
                <w:rFonts w:ascii="Arial" w:cs="Arial" w:eastAsia="Arial" w:hAnsi="Arial"/>
                <w:sz w:val="18"/>
                <w:szCs w:val="18"/>
                <w:color w:val="auto"/>
              </w:rPr>
              <w:t>Timothy O. Wall</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Class III</w:t>
            </w:r>
          </w:p>
        </w:tc>
      </w:tr>
    </w:tbl>
    <w:p>
      <w:pPr>
        <w:spacing w:after="0" w:line="200" w:lineRule="exact"/>
        <w:rPr>
          <w:sz w:val="20"/>
          <w:szCs w:val="20"/>
          <w:color w:val="auto"/>
        </w:rPr>
      </w:pPr>
    </w:p>
    <w:p>
      <w:pPr>
        <w:spacing w:after="0" w:line="231"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Nominee for election as Class II director at the annual general meeting.</w:t>
      </w:r>
    </w:p>
    <w:p>
      <w:pPr>
        <w:spacing w:after="0" w:line="25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Richard A. Navarre </w:t>
      </w:r>
      <w:r>
        <w:rPr>
          <w:rFonts w:ascii="Arial" w:cs="Arial" w:eastAsia="Arial" w:hAnsi="Arial"/>
          <w:sz w:val="16"/>
          <w:szCs w:val="16"/>
          <w:color w:val="auto"/>
        </w:rPr>
        <w:t>has been a director of Civeo since June 2014 and currently serves as Chairman of the board of directors of Civeo. Mr. Navarre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President and Chief Commercial Officer of Peabody 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 Mr. Navarre currently provides advisory services to the energy industry and investment firms.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Navarre is currently an independent director, member of the audit committee and Chairman of Conflicts Committee for Natural Resource Partners LP (NYSE: NRP), independent director, chairman of the compensation committee, and member of the nominating and governance committee for Arch Coal, Inc. (NYSE:ARCH), and independent director and Chairman of the board of directors of Covia Corporation (NYSE:CVIA) and was previously the Chairman of the board of directors of United Coal Company, LLC. He is a member of the Hall of Fame of the College of Business at Southern Illinois University-Carbondale, and a member of the Board of Advisors of the College of Business and Administration. Mr. Navarre is a Certified Public Accountant and received his B.S. in Accounting from Southern Illinois University-Carbondale.</w:t>
      </w:r>
    </w:p>
    <w:p>
      <w:pPr>
        <w:spacing w:after="0" w:line="1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has been President and Chief Executive Officer and director of Civeo since May 2014. Mr. Dodson held several executive positions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 Oil States International, Inc.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79" w:lineRule="exact"/>
        <w:rPr>
          <w:sz w:val="20"/>
          <w:szCs w:val="20"/>
          <w:color w:val="auto"/>
        </w:rPr>
      </w:pPr>
    </w:p>
    <w:p>
      <w:pPr>
        <w:ind w:right="440" w:firstLine="432"/>
        <w:spacing w:after="0" w:line="291" w:lineRule="auto"/>
        <w:rPr>
          <w:sz w:val="20"/>
          <w:szCs w:val="20"/>
          <w:color w:val="auto"/>
        </w:rPr>
      </w:pPr>
      <w:r>
        <w:rPr>
          <w:rFonts w:ascii="Arial" w:cs="Arial" w:eastAsia="Arial" w:hAnsi="Arial"/>
          <w:sz w:val="16"/>
          <w:szCs w:val="16"/>
          <w:i w:val="1"/>
          <w:iCs w:val="1"/>
          <w:color w:val="auto"/>
        </w:rPr>
        <w:t xml:space="preserve">Frank C. Steininger </w:t>
      </w:r>
      <w:r>
        <w:rPr>
          <w:rFonts w:ascii="Arial" w:cs="Arial" w:eastAsia="Arial" w:hAnsi="Arial"/>
          <w:sz w:val="16"/>
          <w:szCs w:val="16"/>
          <w:color w:val="auto"/>
        </w:rPr>
        <w:t>has served as Executive Vice President, Chief Financial Officer and Treasurer of Civeo since March 2018. From May 2014 to</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2018, Mr. Steininger served as Senior Vice President, Chief Financial Officer and Treasurer of Civeo. From March 2014 to May 2014,</w:t>
      </w:r>
    </w:p>
    <w:p>
      <w:pPr>
        <w:ind w:right="60"/>
        <w:spacing w:after="0" w:line="255" w:lineRule="auto"/>
        <w:rPr>
          <w:sz w:val="20"/>
          <w:szCs w:val="20"/>
          <w:color w:val="auto"/>
        </w:rPr>
      </w:pPr>
      <w:r>
        <w:rPr>
          <w:rFonts w:ascii="Arial" w:cs="Arial" w:eastAsia="Arial" w:hAnsi="Arial"/>
          <w:sz w:val="18"/>
          <w:szCs w:val="18"/>
          <w:color w:val="auto"/>
        </w:rPr>
        <w:t>Mr. Steininger was a consultant to Oil States. From August 1980 to March 2014, Mr. Steininger worked for PricewaterhouseCoopers LLP (“PwC”), where he was admitted to the partnership in 1991. From 1997 to 2014, Mr. Steininger was an Assurance Partner in PwC’s Global Energy practice. He holds a B.S. degree in accounting from the University of Akron.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from June 2012 to June 2014.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Canada since November 2018. Prior to his appointment, Mr. Schoening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 Ronald Blankenship </w:t>
      </w:r>
      <w:r>
        <w:rPr>
          <w:rFonts w:ascii="Arial" w:cs="Arial" w:eastAsia="Arial" w:hAnsi="Arial"/>
          <w:sz w:val="17"/>
          <w:szCs w:val="17"/>
          <w:color w:val="auto"/>
        </w:rPr>
        <w:t>has been a director of Civeo since July 2014 and is currently the Chairman of the Finance and Investment Committee.</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Group, a private investment management company, and Merit Hill, a privately owned and operated real estate company. Mr. Blankenship is a certified public accountant and a graduate of the University of Texas at Austin.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Martin A. Lambert </w:t>
      </w:r>
      <w:r>
        <w:rPr>
          <w:rFonts w:ascii="Arial" w:cs="Arial" w:eastAsia="Arial" w:hAnsi="Arial"/>
          <w:sz w:val="16"/>
          <w:szCs w:val="16"/>
          <w:color w:val="auto"/>
        </w:rPr>
        <w:t>has been a director of Civeo since May 2014 and is currently the Chairman of the Compensation Committee. Mr. Lambert is retired.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 served as Chief Executive Officer of Swan Hills Synfuels LP, an energy conversion company, from November 2008 until July 2014. Prior thereto,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Lambert served as a founder and managing director of Matco Capital Ltd., a private equity firm focused in the energy sector, since mid-2002.</w:t>
      </w:r>
    </w:p>
    <w:p>
      <w:pPr>
        <w:spacing w:after="0" w:line="21"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Mr. Lambert was a partner of Bennett Jones LLP, a Canadian law firm, from March 1987 to March 2007 and served as the Chief Executive Officer of that firm from 1996 to 2000. He served as a director of Oil States from February 2001 to May 2014 and Calfrac Well Services Ltd., from March 2004 to May 2010. Mr. Lambert currently serves as lead director, compensation, and as a member of the audit committee of Zedi, Inc., a private company involved in Canadian, U.S. and other international oilfield services. Mr. Lambert received his LLB degree from the University of Alberta in 1979.</w:t>
      </w:r>
    </w:p>
    <w:p>
      <w:pPr>
        <w:spacing w:after="0" w:line="16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i w:val="1"/>
          <w:iCs w:val="1"/>
          <w:color w:val="auto"/>
        </w:rPr>
        <w:t xml:space="preserve">Constance B. Moore </w:t>
      </w:r>
      <w:r>
        <w:rPr>
          <w:rFonts w:ascii="Arial" w:cs="Arial" w:eastAsia="Arial" w:hAnsi="Arial"/>
          <w:sz w:val="17"/>
          <w:szCs w:val="17"/>
          <w:color w:val="auto"/>
        </w:rPr>
        <w:t>has been a director of Civeo since June 2014 and is currently the Chairman of the Audit Committee. Ms. Moore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of TriPointe Group (NYSE: TPH) since July 2014 and is currently the Chairman of the compensation committee as well as a member of its audit committee. Ms. Moore has served as a director of Columbia Property Trust (NYSE: CXP) since November 2017 and is a member of its audit and nominating and corporate governance committees. Ms. Moore was a director of BRE Properties, Inc. (BRE) (NYSE: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(NYSE:ASN). Ms. Moore holds an M.B.A. from the University of California, Berkeley, Haas School of Business, and a bachelor’s degree from San Jose State University. In 2009, she served as chair of the National Association of Real Estate Investment Trusts. Currently, she is chair of the Fisher Center for Real Estate and Urban Economics Policy Advisory Board at UC Berkeley; serves on the board of Haas School of Business, UC Berkeley; serves on the board of Bridge Housing Corporation; is a Governor and Trustee of the Urban Land Institute (ULI); serves on the board of the ULI-Foundation and the ULI Global Board; and serves on the board of the Tower Foundation at San Jose State University.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Charles Szalkowski </w:t>
      </w:r>
      <w:r>
        <w:rPr>
          <w:rFonts w:ascii="Arial" w:cs="Arial" w:eastAsia="Arial" w:hAnsi="Arial"/>
          <w:sz w:val="18"/>
          <w:szCs w:val="18"/>
          <w:color w:val="auto"/>
        </w:rPr>
        <w:t>has been a director of Civeo since June 2014 and is currently the Chairman of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w:t>
      </w:r>
    </w:p>
    <w:p>
      <w:pPr>
        <w:spacing w:after="0" w:line="18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Timothy O. Wall </w:t>
      </w:r>
      <w:r>
        <w:rPr>
          <w:rFonts w:ascii="Arial" w:cs="Arial" w:eastAsia="Arial" w:hAnsi="Arial"/>
          <w:sz w:val="17"/>
          <w:szCs w:val="17"/>
          <w:color w:val="auto"/>
        </w:rPr>
        <w:t>has been a director of Civeo since March 2017. Mr. Wall served as the President of Kitimat LNG Upstream Operations, a division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Apache Canada Ltd. (a subsidiary of Apache Corporation, an oil and gas exploration and production company), from March 2013 until June 2015. He previously served as the President of Apache Canada Ltd.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 Petroleum Engineering from Texas A&amp;M University.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Directors and Nomination Process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9" w:lineRule="exact"/>
        <w:rPr>
          <w:rFonts w:ascii="Arial" w:cs="Arial" w:eastAsia="Arial" w:hAnsi="Arial"/>
          <w:sz w:val="18"/>
          <w:szCs w:val="18"/>
          <w:color w:val="auto"/>
        </w:rPr>
      </w:pPr>
    </w:p>
    <w:p>
      <w:pPr>
        <w:ind w:left="640" w:right="10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ind w:left="640" w:right="24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 or another area of our operational environment.</w:t>
      </w:r>
    </w:p>
    <w:p>
      <w:pPr>
        <w:spacing w:after="0" w:line="21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Past or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Accommodations,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Present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Executive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International</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CEO or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vMerge w:val="restart"/>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Real Estate and</w:t>
            </w:r>
          </w:p>
        </w:tc>
        <w:tc>
          <w:tcPr>
            <w:tcW w:w="128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C-Suite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Leadership</w:t>
            </w:r>
          </w:p>
        </w:tc>
        <w:tc>
          <w:tcPr>
            <w:tcW w:w="14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Hospitality</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Richard A. Navarre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C. Ronald Blankenship</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Bradley J. Dodson</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Martin A. Lambert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Constance B. Moore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Charles Szalkowski</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Timothy O. Wall</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selecting nominees for the board of directors, the Nominating and Corporate Governance Committee considers, among other things, the diversity of the board of directors in terms of educational background, business industry experience, and knowledge of different geographic markets and the accommodations industry, and these factors are considered by the board of directors when identifying individuals for board membership. In the case of each current director being considered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auto"/>
        </w:rPr>
        <w:t>renomination, the Nominating and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124"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In identifying prospective director candidates, the Nominating and Corporate Governance Committee may seek referrals from other members of the board of directors, management, shareholders and other sources. The Nominating and Corporate Governance Committee also may, but need not, retain a professional search firm in order to identify, recruit and evaluate qualified candidates for the board of directors.</w:t>
      </w:r>
    </w:p>
    <w:p>
      <w:pPr>
        <w:spacing w:after="0" w:line="16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Nominating and Corporate Governance Committee will consider recommendations from various sources, including from shareholders, regarding possible candidates for director. To submit a recommendation to the Nominating and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14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16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Civeo board of directors has determined that, except for Bradley Dodson, our President and Chief Executive Officer, all of the Civeo directors, including Ronald J. Gilbertson, throughout the period he served on the board, qualify as “independent” in accordance with the applicable NYSE listing standards. Mr. Gilbertson resigned from the board of directors effective March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Civeo board of directors is divided into three classes, each of roughly equal size. There are currently two directors of Class I, three directors of Class II and two directors of Class III. The members of each class serve for three years following their election, with one class being elected each year. The directors designated as Class II directors will have terms expiring at the annual general meeting. If elected at the annual general meeting, Messrs. Navarre and Lambert and Ms. Moore, as Class II directors, will have terms expiring in 2022. The directors designated as Class III directors have terms expiring in 2020, and the directors designated as Class I directors have terms expiring in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Civeo’s board of directors has established an Audit Committee, consisting entirely of independent directors. The members of the audit committee are Messrs. Blankenship and Szalkowski and Ms. Moore, each of whom the board of directors has determined is independent under applicable NYSE and SEC rules for board of director and audit committee independence.</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 xml:space="preserve">The Audit Committee meets separately with representatives of our independent auditors, our internal audit personnel and representatives of senior management in performing its functions. The Audit Committee appoints our independent auditors and reviews the general scope of audit coverage, the fees charged by the independent auditors, matters relating to internal control systems and other matters related to accounting and reporting functions. The board of directors has determined that each of Messrs. Blankenship and Szalkowski and Ms. Moore is financially literate and has accounting or related financial management expertise, each as required by the applicable New York Stock Exchange (“NYSE”) listing standards. The board of directors also has determined that Mr. Blankenship and Ms. Moore qualify as audit committee financial experts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“Audit Committee Charter” at the bottom of the page.</w:t>
      </w: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Civeo’s board of directors has established a Compensation Committee, consisting entirely of independent directors. The members of the compensation committee are Messrs. Blankenship and Lambert and Ms. Moore, each of whom the board of directors has determined is independent under applicable NYSE and SEC rules for board of director and compensation committee independence.</w:t>
      </w:r>
    </w:p>
    <w:p>
      <w:pPr>
        <w:spacing w:after="0" w:line="181" w:lineRule="exact"/>
        <w:rPr>
          <w:sz w:val="20"/>
          <w:szCs w:val="20"/>
          <w:color w:val="auto"/>
        </w:rPr>
      </w:pPr>
    </w:p>
    <w:p>
      <w:pPr>
        <w:jc w:val="both"/>
        <w:ind w:right="240" w:firstLine="432"/>
        <w:spacing w:after="0" w:line="288" w:lineRule="auto"/>
        <w:rPr>
          <w:sz w:val="20"/>
          <w:szCs w:val="20"/>
          <w:color w:val="auto"/>
        </w:rPr>
      </w:pPr>
      <w:r>
        <w:rPr>
          <w:rFonts w:ascii="Arial" w:cs="Arial" w:eastAsia="Arial" w:hAnsi="Arial"/>
          <w:sz w:val="16"/>
          <w:szCs w:val="16"/>
          <w:color w:val="auto"/>
        </w:rPr>
        <w:t>The Compensation Committee administers the Equity Participation Plan (“EPP”) , and in this capacity makes a recommendation to the full board of directors concerning the aggregate amount of all option grants or share awards to employees as well as specific awards to executive officers under the EPP. In addition, the Compensation Committee is responsible for (i) determining the compensation of our chief executive officer and other executive officers,</w:t>
      </w:r>
    </w:p>
    <w:p>
      <w:pPr>
        <w:jc w:val="both"/>
        <w:ind w:right="240" w:firstLine="8"/>
        <w:spacing w:after="0" w:line="295"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by first clicking “Corporate Governance” under the “Investor Relations” heading and then “Compensation Committee Charter” at the bottom of the page.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Civeo’s board of directors has established a Nominating and Corporate Governance Committee, consisting entirely of independent directors. The members of the Nominating and Corporate Governance Committee are Messrs. Navarre, Szalkowski and Wall, each of whom the board of directors has determined is independent under applicable NYSE rules.</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The Nominating and Corporate Governance Committee makes proposals to the board of directors for candidates to be nominated by the board of directors to fill vacancies or for new directorship positions, if any, which may be created from time to time. A more detailed discussion of the Nominating and Corporate Governance Committee’s mission, composition and responsibilities is contained in the Nominating and Corporate Governance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“Nominating and Corporate Governance Committee Charter” at the bottom of the page.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Finance and Investment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Civeo’s board of directors has established a Finance and Investment Committee. The members of the Finance and Investment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Blankenship, Lambert and Wall.</w:t>
      </w:r>
    </w:p>
    <w:p>
      <w:pPr>
        <w:spacing w:after="0" w:line="2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The Finance and Investment Committee 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 A more detailed discussion of the Finance and Investment Committee’s mission, composition and responsibilities is contained in the Finance and Investment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“Finance and Investment Committee Charter” at the bottom of the page.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C - Chairperson</w:t>
            </w:r>
          </w:p>
        </w:tc>
        <w:tc>
          <w:tcPr>
            <w:tcW w:w="1100" w:type="dxa"/>
            <w:vAlign w:val="bottom"/>
          </w:tcPr>
          <w:p>
            <w:pPr>
              <w:ind w:left="20"/>
              <w:spacing w:after="0"/>
              <w:rPr>
                <w:sz w:val="20"/>
                <w:szCs w:val="20"/>
                <w:color w:val="auto"/>
              </w:rPr>
            </w:pPr>
            <w:r>
              <w:rPr>
                <w:rFonts w:ascii="Arial" w:cs="Arial" w:eastAsia="Arial" w:hAnsi="Arial"/>
                <w:sz w:val="18"/>
                <w:szCs w:val="18"/>
                <w:color w:val="auto"/>
              </w:rPr>
              <w:t>M - Member</w:t>
            </w:r>
          </w:p>
        </w:tc>
        <w:tc>
          <w:tcPr>
            <w:tcW w:w="50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FE - Financial Expert</w:t>
            </w: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35"/>
        </w:trPr>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225"/>
        </w:trPr>
        <w:tc>
          <w:tcPr>
            <w:tcW w:w="120" w:type="dxa"/>
            <w:vAlign w:val="bottom"/>
          </w:tcPr>
          <w:p>
            <w:pPr>
              <w:spacing w:after="0"/>
              <w:rPr>
                <w:sz w:val="19"/>
                <w:szCs w:val="19"/>
                <w:color w:val="auto"/>
              </w:rPr>
            </w:pPr>
          </w:p>
        </w:tc>
        <w:tc>
          <w:tcPr>
            <w:tcW w:w="16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200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17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Nominating and</w:t>
            </w:r>
          </w:p>
        </w:tc>
        <w:tc>
          <w:tcPr>
            <w:tcW w:w="1500" w:type="dxa"/>
            <w:vAlign w:val="bottom"/>
            <w:shd w:val="clear" w:color="auto" w:fill="E0E0E0"/>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6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2000" w:type="dxa"/>
            <w:vAlign w:val="bottom"/>
            <w:shd w:val="clear" w:color="auto" w:fill="E0E0E0"/>
          </w:tcPr>
          <w:p>
            <w:pPr>
              <w:spacing w:after="0"/>
              <w:rPr>
                <w:sz w:val="18"/>
                <w:szCs w:val="18"/>
                <w:color w:val="auto"/>
              </w:rPr>
            </w:pPr>
          </w:p>
        </w:tc>
        <w:tc>
          <w:tcPr>
            <w:tcW w:w="1480" w:type="dxa"/>
            <w:vAlign w:val="bottom"/>
            <w:shd w:val="clear" w:color="auto" w:fill="E0E0E0"/>
          </w:tcPr>
          <w:p>
            <w:pPr>
              <w:spacing w:after="0"/>
              <w:rPr>
                <w:sz w:val="18"/>
                <w:szCs w:val="18"/>
                <w:color w:val="auto"/>
              </w:rPr>
            </w:pPr>
          </w:p>
        </w:tc>
        <w:tc>
          <w:tcPr>
            <w:tcW w:w="17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5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Finance and</w:t>
            </w:r>
          </w:p>
        </w:tc>
      </w:tr>
      <w:tr>
        <w:trPr>
          <w:trHeight w:val="216"/>
        </w:trPr>
        <w:tc>
          <w:tcPr>
            <w:tcW w:w="120" w:type="dxa"/>
            <w:vAlign w:val="bottom"/>
          </w:tcPr>
          <w:p>
            <w:pPr>
              <w:spacing w:after="0"/>
              <w:rPr>
                <w:sz w:val="18"/>
                <w:szCs w:val="18"/>
                <w:color w:val="auto"/>
              </w:rPr>
            </w:pPr>
          </w:p>
        </w:tc>
        <w:tc>
          <w:tcPr>
            <w:tcW w:w="160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2000" w:type="dxa"/>
            <w:vAlign w:val="bottom"/>
            <w:shd w:val="clear" w:color="auto" w:fill="E0E0E0"/>
          </w:tcPr>
          <w:p>
            <w:pPr>
              <w:spacing w:after="0"/>
              <w:rPr>
                <w:sz w:val="18"/>
                <w:szCs w:val="18"/>
                <w:color w:val="auto"/>
              </w:rPr>
            </w:pPr>
          </w:p>
        </w:tc>
        <w:tc>
          <w:tcPr>
            <w:tcW w:w="14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7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15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Investment</w:t>
            </w:r>
          </w:p>
        </w:tc>
      </w:tr>
      <w:tr>
        <w:trPr>
          <w:trHeight w:val="266"/>
        </w:trPr>
        <w:tc>
          <w:tcPr>
            <w:tcW w:w="120" w:type="dxa"/>
            <w:vAlign w:val="bottom"/>
          </w:tcPr>
          <w:p>
            <w:pPr>
              <w:spacing w:after="0"/>
              <w:rPr>
                <w:sz w:val="22"/>
                <w:szCs w:val="22"/>
                <w:color w:val="auto"/>
              </w:rPr>
            </w:pPr>
          </w:p>
        </w:tc>
        <w:tc>
          <w:tcPr>
            <w:tcW w:w="1600" w:type="dxa"/>
            <w:vAlign w:val="bottom"/>
            <w:tcBorders>
              <w:bottom w:val="single" w:sz="8" w:color="E0E0E0"/>
            </w:tcBorders>
            <w:shd w:val="clear" w:color="auto" w:fill="E0E0E0"/>
          </w:tcPr>
          <w:p>
            <w:pPr>
              <w:spacing w:after="0"/>
              <w:rPr>
                <w:sz w:val="22"/>
                <w:szCs w:val="22"/>
                <w:color w:val="auto"/>
              </w:rPr>
            </w:pPr>
          </w:p>
        </w:tc>
        <w:tc>
          <w:tcPr>
            <w:tcW w:w="1100" w:type="dxa"/>
            <w:vAlign w:val="bottom"/>
            <w:tcBorders>
              <w:bottom w:val="single" w:sz="8" w:color="E0E0E0"/>
            </w:tcBorders>
            <w:shd w:val="clear" w:color="auto" w:fill="E0E0E0"/>
          </w:tcPr>
          <w:p>
            <w:pPr>
              <w:spacing w:after="0"/>
              <w:rPr>
                <w:sz w:val="22"/>
                <w:szCs w:val="22"/>
                <w:color w:val="auto"/>
              </w:rPr>
            </w:pPr>
          </w:p>
        </w:tc>
        <w:tc>
          <w:tcPr>
            <w:tcW w:w="500" w:type="dxa"/>
            <w:vAlign w:val="bottom"/>
            <w:tcBorders>
              <w:bottom w:val="single" w:sz="8" w:color="E0E0E0"/>
            </w:tcBorders>
            <w:shd w:val="clear" w:color="auto" w:fill="E0E0E0"/>
          </w:tcPr>
          <w:p>
            <w:pPr>
              <w:spacing w:after="0"/>
              <w:rPr>
                <w:sz w:val="22"/>
                <w:szCs w:val="22"/>
                <w:color w:val="auto"/>
              </w:rPr>
            </w:pPr>
          </w:p>
        </w:tc>
        <w:tc>
          <w:tcPr>
            <w:tcW w:w="2000" w:type="dxa"/>
            <w:vAlign w:val="bottom"/>
            <w:tcBorders>
              <w:bottom w:val="single" w:sz="8" w:color="E0E0E0"/>
            </w:tcBorders>
            <w:shd w:val="clear" w:color="auto" w:fill="E0E0E0"/>
          </w:tcPr>
          <w:p>
            <w:pPr>
              <w:jc w:val="center"/>
              <w:ind w:left="210"/>
              <w:spacing w:after="0"/>
              <w:rPr>
                <w:sz w:val="20"/>
                <w:szCs w:val="20"/>
                <w:color w:val="auto"/>
              </w:rPr>
            </w:pPr>
            <w:r>
              <w:rPr>
                <w:rFonts w:ascii="Arial" w:cs="Arial" w:eastAsia="Arial" w:hAnsi="Arial"/>
                <w:sz w:val="18"/>
                <w:szCs w:val="18"/>
                <w:b w:val="1"/>
                <w:bCs w:val="1"/>
                <w:color w:val="auto"/>
                <w:w w:val="93"/>
              </w:rPr>
              <w:t>Audit Committee</w:t>
            </w:r>
          </w:p>
        </w:tc>
        <w:tc>
          <w:tcPr>
            <w:tcW w:w="148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70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50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Committee</w:t>
            </w:r>
          </w:p>
        </w:tc>
      </w:tr>
      <w:tr>
        <w:trPr>
          <w:trHeight w:val="237"/>
        </w:trPr>
        <w:tc>
          <w:tcPr>
            <w:tcW w:w="120" w:type="dxa"/>
            <w:vAlign w:val="bottom"/>
          </w:tcPr>
          <w:p>
            <w:pPr>
              <w:spacing w:after="0"/>
              <w:rPr>
                <w:sz w:val="20"/>
                <w:szCs w:val="20"/>
                <w:color w:val="auto"/>
              </w:rPr>
            </w:pPr>
          </w:p>
        </w:tc>
        <w:tc>
          <w:tcPr>
            <w:tcW w:w="1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6"/>
              </w:rPr>
              <w:t>Richard A. Navarre</w:t>
            </w:r>
          </w:p>
        </w:tc>
        <w:tc>
          <w:tcPr>
            <w:tcW w:w="1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w:t>
            </w:r>
          </w:p>
        </w:tc>
        <w:tc>
          <w:tcPr>
            <w:tcW w:w="1500" w:type="dxa"/>
            <w:vAlign w:val="bottom"/>
            <w:tcBorders>
              <w:top w:val="single" w:sz="8" w:color="auto"/>
            </w:tcBorders>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 Ronald Blankenship</w:t>
            </w:r>
          </w:p>
        </w:tc>
        <w:tc>
          <w:tcPr>
            <w:tcW w:w="500" w:type="dxa"/>
            <w:vAlign w:val="bottom"/>
          </w:tcPr>
          <w:p>
            <w:pPr>
              <w:ind w:left="180"/>
              <w:spacing w:after="0"/>
              <w:rPr>
                <w:sz w:val="20"/>
                <w:szCs w:val="20"/>
                <w:color w:val="auto"/>
              </w:rPr>
            </w:pPr>
            <w:r>
              <w:rPr>
                <w:rFonts w:ascii="Arial" w:cs="Arial" w:eastAsia="Arial" w:hAnsi="Arial"/>
                <w:sz w:val="18"/>
                <w:szCs w:val="18"/>
                <w:b w:val="1"/>
                <w:bCs w:val="1"/>
                <w:color w:val="auto"/>
              </w:rPr>
              <w:t>FE</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rPr>
              <w:t>M</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7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C</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Martin A. Lambert</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C</w:t>
            </w:r>
          </w:p>
        </w:tc>
        <w:tc>
          <w:tcPr>
            <w:tcW w:w="17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89"/>
              </w:rPr>
              <w:t>Constance B. Moore</w:t>
            </w:r>
          </w:p>
        </w:tc>
        <w:tc>
          <w:tcPr>
            <w:tcW w:w="1100" w:type="dxa"/>
            <w:vAlign w:val="bottom"/>
          </w:tcPr>
          <w:p>
            <w:pPr>
              <w:spacing w:after="0"/>
              <w:rPr>
                <w:sz w:val="20"/>
                <w:szCs w:val="20"/>
                <w:color w:val="auto"/>
              </w:rPr>
            </w:pPr>
          </w:p>
        </w:tc>
        <w:tc>
          <w:tcPr>
            <w:tcW w:w="500" w:type="dxa"/>
            <w:vAlign w:val="bottom"/>
          </w:tcPr>
          <w:p>
            <w:pPr>
              <w:ind w:left="180"/>
              <w:spacing w:after="0"/>
              <w:rPr>
                <w:sz w:val="20"/>
                <w:szCs w:val="20"/>
                <w:color w:val="auto"/>
              </w:rPr>
            </w:pPr>
            <w:r>
              <w:rPr>
                <w:rFonts w:ascii="Arial" w:cs="Arial" w:eastAsia="Arial" w:hAnsi="Arial"/>
                <w:sz w:val="18"/>
                <w:szCs w:val="18"/>
                <w:b w:val="1"/>
                <w:bCs w:val="1"/>
                <w:color w:val="auto"/>
              </w:rPr>
              <w:t>FE</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rPr>
              <w:t>C</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93"/>
              </w:rPr>
              <w:t>Charles Szalkowski</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rPr>
              <w:t>M</w:t>
            </w:r>
          </w:p>
        </w:tc>
        <w:tc>
          <w:tcPr>
            <w:tcW w:w="14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C</w:t>
            </w:r>
          </w:p>
        </w:tc>
        <w:tc>
          <w:tcPr>
            <w:tcW w:w="15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Timothy O. Wall</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2018, the Civeo board of directors held eight meetings, the Audit Committee held seven meetings, the Compensation Committee held seven meetings, the Nominating and Corporate Governance Committee held four meetings and the Finance and Investment Committee held five meetings. Each of the directors attended at least 75%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who served at the time of our 2018 annual general meeting of shareholders attended the meeting.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independent directors regularly meet in executive session with no members of management present and generally meet at each board meeting. Our Chairman of the Board, Richard Navarre, who is an independent director, presides at these sessions.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178"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results of the risk assessments are reviewed with the Audit Committee and with the full board of directors annually. The centerpiece of the assessment is the discussion of our key risks, which include strategic, operational, regulatory, cybersecurity and other risks and the factors discussed above. As part of the process for evaluating each key risk, a senior manager is identified to manage the risk, monitor potential impact of the risk and execute initiatives to mitigate the risk.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Governance Guidelines.”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board of directors is led by our independent Chairman of the Board, and the Chief Executive Officer position is currently separate from the Chairman role.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to fulfill its risk oversight responsibilities.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 xml:space="preserve">Civeo has adopted a Corporate Code of Business Conduct and Ethics (the “Code of Conduct”), which requires that all directors, officers and employees of Civeo act ethically at all times. This Code of Conduct is available at Civeo’s web site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Code of Business Conduct and Ethics.”</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That training includes a review of our Corporate Code of Conduct and an acknowledgement that the employee has read and understands the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 xml:space="preserve">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xml:space="preserve"> by first clicking “Corporate Governance” under the “Investor Relations” heading and then “Financial Code of Ethics for Senior Officers.”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Ethical principles set forth in the Financial Code of Ethics include, among other principles, matters such as:</w:t>
      </w:r>
    </w:p>
    <w:p>
      <w:pPr>
        <w:spacing w:after="0" w:line="131"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Promoting honest and ethical behavior by others in the work environment;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Respecting confidentiality of information acquired in the course of his or her work;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Responsibly using and maintaining assets and resources employed or entrusted to the Senior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Officers must also comply with the Code of Conduct.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right="60" w:firstLine="432"/>
        <w:spacing w:after="0" w:line="283" w:lineRule="auto"/>
        <w:rPr>
          <w:sz w:val="20"/>
          <w:szCs w:val="20"/>
          <w:color w:val="auto"/>
        </w:rPr>
      </w:pPr>
      <w:r>
        <w:rPr>
          <w:rFonts w:ascii="Arial" w:cs="Arial" w:eastAsia="Arial" w:hAnsi="Arial"/>
          <w:sz w:val="16"/>
          <w:szCs w:val="16"/>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Nominating and Corporate Governance Committee for consideration. The Nominating and Corporate Governance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Nominating and Corporate Governance Committee the opportunity to consider the appropriateness of continued membership on the board of directors of the director who tendered resignation and make a recommendation to the board of directors as to the director’s continued service on the board. In making this recommendation, the Committee will consider all factors deemed relevant by its members including, without limitation, (1) the underlying reasons why shareholders may have “withheld” votes for election from such director, if known;</w:t>
      </w:r>
    </w:p>
    <w:p>
      <w:pPr>
        <w:spacing w:after="0" w:line="7"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length of service and qualifications of the director whose resignation has been tendered; (3) the director’s past and potential future contributions to us;</w:t>
      </w:r>
    </w:p>
    <w:p>
      <w:pPr>
        <w:spacing w:after="0" w:line="32" w:lineRule="exact"/>
        <w:rPr>
          <w:rFonts w:ascii="Arial" w:cs="Arial" w:eastAsia="Arial" w:hAnsi="Arial"/>
          <w:sz w:val="16"/>
          <w:szCs w:val="16"/>
          <w:color w:val="auto"/>
        </w:rPr>
      </w:pPr>
    </w:p>
    <w:p>
      <w:pPr>
        <w:ind w:right="26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Civeo’s Corporate Governance Guidelines also provide that, if a director changes his or her employer or otherwise has a significant change in job responsibilities during his or her tenure as a director, that director is required to inform the Nominating and Corporate Governance Committee of the change and tender his or her resignation to the board of directors for consideration. Such resignation shall not be effective unless and until the board of directors chooses to accept the resignation. The board of directors, through the Nominating and Corporate Governance Committee, shall review the matter in order to evaluate the continued appropriateness of such director’s membership on the board of directors and each applicable board committee under these circumstances, taking into account all relevant factors and may accept or reject a proffered resignation.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2018, none of our executive officers served as: (1) a member of the compensation committee (or other board committee performing equivalent functions or, in the absence of any such committee, the entire board of directors) of another entity, one of whose executive officers served on our Compensation Committee; (2) a director of another entity, one of whose executive officers served on our Compensation Committee; or (3) a member of the compensation committee (or other board committee performing equivalent functions or, in the absence of any such committee, the entire board of directors) of another entity, one of whose executive officers served as one of our directors. In addition, each of Messrs. Blankenship and Lambert and Ms. Moore served as members of our Compensation Committee during 2018, none of whom: (1) was an officer or employee of Civeo during 2018, (2) was formerly an officer of Civeo, or (3) had any relationship requiring disclosure under any paragraph of Item 404 of Regulation 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Civeo to the addressee without review by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for 2018. Our named executive officers are:</w:t>
      </w:r>
    </w:p>
    <w:p>
      <w:pPr>
        <w:spacing w:after="0" w:line="87" w:lineRule="exact"/>
        <w:rPr>
          <w:sz w:val="20"/>
          <w:szCs w:val="20"/>
          <w:color w:val="auto"/>
        </w:rPr>
      </w:pPr>
    </w:p>
    <w:p>
      <w:pPr>
        <w:ind w:left="640" w:hanging="321"/>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Bradley J. Dodson, President, Chief Executive Officer and Director;</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Frank C. Steininger, Executive Vice President, Chief Financial Officer and Treasurer;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Peter L. McCann, Senior Vice President, Australia;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Allan D. Schoening, Senior Vice President, Canada.*</w:t>
      </w:r>
    </w:p>
    <w:p>
      <w:pPr>
        <w:spacing w:after="0" w:line="15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Mr. Schoening was promoted from Senior Vice President, Corporate Affairs to Senior Vice President, Canada effective November, 2018.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In keeping with our commitment to strong governance standards across our business, our executive compensation governance framework is built around the following:</w:t>
      </w:r>
    </w:p>
    <w:p>
      <w:pPr>
        <w:spacing w:after="0" w:line="76" w:lineRule="exact"/>
        <w:rPr>
          <w:sz w:val="20"/>
          <w:szCs w:val="20"/>
          <w:color w:val="auto"/>
        </w:rPr>
      </w:pPr>
    </w:p>
    <w:p>
      <w:pPr>
        <w:jc w:val="both"/>
        <w:ind w:left="640" w:hanging="321"/>
        <w:spacing w:after="0" w:line="256"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w:t>
      </w:r>
    </w:p>
    <w:p>
      <w:pPr>
        <w:ind w:left="640" w:right="80" w:hanging="321"/>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clearly defined decision-making framework and delegation of authority that ensures all material compensation decisions for named executive officers are made on behalf of Civeo solely by the Compensation Committee, whose priority is to ensure our policies and procedures allow Civeo to attract, reward and retain executives who are focused on delivering long-term results for shareholders; and</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Clearly defined compensation policies structured to accommodate circumstances that are characteristic of a cyclical industry sector.</w:t>
      </w:r>
    </w:p>
    <w:p>
      <w:pPr>
        <w:spacing w:after="0" w:line="211"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For further information on the background and qualifications of the members of our Compensation Committee, please see “Management—Executive Officers and Directors,” “Management—Board Committees” and “Management—Compensation Committee” in this proxy statement.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 and represent among the best practices in compensation and governance.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 Pricing</w:t>
      </w:r>
      <w:r>
        <w:rPr>
          <w:rFonts w:ascii="Arial" w:cs="Arial" w:eastAsia="Arial" w:hAnsi="Arial"/>
          <w:sz w:val="18"/>
          <w:szCs w:val="18"/>
          <w:color w:val="auto"/>
        </w:rPr>
        <w:t>. Civeo’s practice is to price awards at the closing price on the date of grant.</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 xml:space="preserve">Insider Trading Policy. </w:t>
      </w:r>
      <w:r>
        <w:rPr>
          <w:rFonts w:ascii="Arial" w:cs="Arial" w:eastAsia="Arial" w:hAnsi="Arial"/>
          <w:sz w:val="16"/>
          <w:szCs w:val="16"/>
          <w:color w:val="auto"/>
        </w:rPr>
        <w:t>Civeo prohibits directors, officers and other employees from trading Civeo’s securities on the basis of or in the possession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non-public information or “tipping” others who may so trade on such information. In addition, the policy prohibits directors, officers and designated managers from trading in Civeo’s securities without obtaining prior approval from Civeo’s Vice President, Controller and Corporate Secretary. Executive officers and directors are prohibited from trading options, pledging, or entering into any hedging transactions related to Civeo shares.</w:t>
      </w:r>
    </w:p>
    <w:p>
      <w:pPr>
        <w:spacing w:after="0" w:line="154"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i w:val="1"/>
          <w:iCs w:val="1"/>
          <w:color w:val="auto"/>
        </w:rPr>
        <w:t xml:space="preserve">Clawback Policy. </w:t>
      </w:r>
      <w:r>
        <w:rPr>
          <w:rFonts w:ascii="Arial" w:cs="Arial" w:eastAsia="Arial" w:hAnsi="Arial"/>
          <w:sz w:val="17"/>
          <w:szCs w:val="17"/>
          <w:color w:val="auto"/>
        </w:rPr>
        <w:t>Civeo’s clawback policy allows Civeo to recoup incentive-based compensation from current or former executive officers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of Civeo are materially restated within three years of their initial public release or filing, and the 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their initial public release or filing. The clawback policy would not apply to restatements following a change of control, as defined in the EPP, and the policy does not limit the ability of Civeo to otherwise pursue forfeiture or reclamation of amounts under applicable law.</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Executive Share Ownership Requirements. </w:t>
      </w:r>
      <w:r>
        <w:rPr>
          <w:rFonts w:ascii="Arial" w:cs="Arial" w:eastAsia="Arial" w:hAnsi="Arial"/>
          <w:sz w:val="16"/>
          <w:szCs w:val="16"/>
          <w:color w:val="auto"/>
        </w:rPr>
        <w:t>Civeo has established executive share ownership requirements to further align the interests of key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of its shareholders. Our Executive Share Ownership Guidelines are calculated based on a multiple of the executive’s base salary, as set forth below:</w:t>
      </w:r>
    </w:p>
    <w:p>
      <w:pPr>
        <w:spacing w:after="0" w:line="314" w:lineRule="exact"/>
        <w:rPr>
          <w:sz w:val="20"/>
          <w:szCs w:val="20"/>
          <w:color w:val="auto"/>
        </w:rPr>
      </w:pPr>
    </w:p>
    <w:tbl>
      <w:tblPr>
        <w:tblLayout w:type="fixed"/>
        <w:tblInd w:w="2240" w:type="dxa"/>
        <w:tblCellMar>
          <w:top w:w="0" w:type="dxa"/>
          <w:left w:w="0" w:type="dxa"/>
          <w:bottom w:w="0" w:type="dxa"/>
          <w:right w:w="0" w:type="dxa"/>
        </w:tblCellMar>
      </w:tblP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24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5X</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Named Executive Officers</w:t>
            </w:r>
          </w:p>
        </w:tc>
        <w:tc>
          <w:tcPr>
            <w:tcW w:w="2420" w:type="dxa"/>
            <w:vAlign w:val="bottom"/>
          </w:tcPr>
          <w:p>
            <w:pPr>
              <w:ind w:left="2160"/>
              <w:spacing w:after="0"/>
              <w:rPr>
                <w:sz w:val="20"/>
                <w:szCs w:val="20"/>
                <w:color w:val="auto"/>
              </w:rPr>
            </w:pPr>
            <w:r>
              <w:rPr>
                <w:rFonts w:ascii="Arial" w:cs="Arial" w:eastAsia="Arial" w:hAnsi="Arial"/>
                <w:sz w:val="18"/>
                <w:szCs w:val="18"/>
                <w:color w:val="auto"/>
              </w:rPr>
              <w:t>2X</w:t>
            </w:r>
          </w:p>
        </w:tc>
      </w:tr>
      <w:tr>
        <w:trPr>
          <w:trHeight w:val="27"/>
        </w:trPr>
        <w:tc>
          <w:tcPr>
            <w:tcW w:w="45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Section 16 Officers</w:t>
            </w:r>
          </w:p>
        </w:tc>
        <w:tc>
          <w:tcPr>
            <w:tcW w:w="24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1X</w:t>
            </w:r>
          </w:p>
        </w:tc>
      </w:tr>
      <w:tr>
        <w:trPr>
          <w:trHeight w:val="27"/>
        </w:trPr>
        <w:tc>
          <w:tcPr>
            <w:tcW w:w="45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monitors compliance with these guidelines. As of December 31, 2018, all executive officers were in compliance with the guidelines (or otherwise within the initial five-year period for compliance).</w:t>
      </w:r>
    </w:p>
    <w:p>
      <w:pPr>
        <w:spacing w:after="0" w:line="181"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Mercer, LLC (“Mercer”), an independent compensation consultant, was engaged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reports directly to the Compensation Committee. Their reappointment is reviewed and approved annually by the Compensation Committee.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Long-term incentive awards made to named executive officers are 50% performance based.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Prohibited Practices</w:t>
      </w:r>
      <w:r>
        <w:rPr>
          <w:rFonts w:ascii="Arial" w:cs="Arial" w:eastAsia="Arial" w:hAnsi="Arial"/>
          <w:sz w:val="18"/>
          <w:szCs w:val="18"/>
          <w:color w:val="auto"/>
        </w:rPr>
        <w:t>. We do not allow any of the following:</w:t>
      </w:r>
    </w:p>
    <w:p>
      <w:pPr>
        <w:spacing w:after="0" w:line="131" w:lineRule="exact"/>
        <w:rPr>
          <w:sz w:val="20"/>
          <w:szCs w:val="20"/>
          <w:color w:val="auto"/>
        </w:rPr>
      </w:pPr>
    </w:p>
    <w:p>
      <w:pPr>
        <w:ind w:left="640" w:right="40" w:hanging="321"/>
        <w:spacing w:after="0" w:line="25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Buying or selling puts, calls or options in respect of our securities, or pledging shares (including holding shares in a margin account) by directors and officers;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Excise tax gross-ups in any executive or change of control agreement entered into following our spin-off from Oil States International in May 2014;</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Liberal share recycling in our long-term incentive plan;</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Repricing of stock options or stock appreciation rights without shareholder approval;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Single-trigger vesting of equity awards upon a change of control; 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Unreasonably long terms for options.</w:t>
      </w:r>
    </w:p>
    <w:p>
      <w:pPr>
        <w:spacing w:after="0" w:line="2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640" w:right="120" w:hanging="321"/>
        <w:spacing w:after="0" w:line="258"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11"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To this end, Civeo’s total compensation program uses a blend of base salary, annual performance incentives and long-term equity incentives to achieve the four objectives described above. Broadly speaking, we target median pay levels for all components of executive compensation; however, when warranted in the discretion of the Compensation Committee, awards above or below median levels of our peer group may be considered.</w:t>
      </w:r>
    </w:p>
    <w:p>
      <w:pPr>
        <w:spacing w:after="0" w:line="16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(i) to promote financial, operational and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while giving due consideration to broader enterprise risk management issues and (ii)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In addition, the following specific factors, in particular, reduce the likelihood of excessive risk-taking:</w:t>
      </w:r>
    </w:p>
    <w:p>
      <w:pPr>
        <w:spacing w:after="0" w:line="87" w:lineRule="exact"/>
        <w:rPr>
          <w:sz w:val="20"/>
          <w:szCs w:val="20"/>
          <w:color w:val="auto"/>
        </w:rPr>
      </w:pPr>
    </w:p>
    <w:p>
      <w:pPr>
        <w:ind w:left="640" w:right="520" w:hanging="321"/>
        <w:spacing w:after="0" w:line="258"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overall executive compensation levels are competitive with the market, based on information provided by the Compensation Committee’s independent consultant and reviewed by the Compensation Committee;</w:t>
      </w:r>
    </w:p>
    <w:p>
      <w:pPr>
        <w:spacing w:after="0" w:line="1" w:lineRule="exact"/>
        <w:rPr>
          <w:rFonts w:ascii="Arial" w:cs="Arial" w:eastAsia="Arial" w:hAnsi="Arial"/>
          <w:sz w:val="18"/>
          <w:szCs w:val="18"/>
          <w:color w:val="auto"/>
        </w:rPr>
      </w:pPr>
    </w:p>
    <w:p>
      <w:pPr>
        <w:ind w:left="640" w:right="4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executive compensation mix is balanced among (i) fixed components including salary and benefits, (ii) annual incentives that reward our overall financial and operating performance and (iii) long-term incentives, 50% of which are performance-based for named executive officers, to more closely tie executive compensation to shareholder interests and to provide for a substantial portion of at-risk compensation in relation to share price performance;</w:t>
      </w:r>
    </w:p>
    <w:p>
      <w:pPr>
        <w:spacing w:after="0" w:line="1" w:lineRule="exact"/>
        <w:rPr>
          <w:rFonts w:ascii="Arial" w:cs="Arial" w:eastAsia="Arial" w:hAnsi="Arial"/>
          <w:sz w:val="18"/>
          <w:szCs w:val="18"/>
          <w:color w:val="auto"/>
        </w:rPr>
      </w:pPr>
    </w:p>
    <w:p>
      <w:pPr>
        <w:ind w:left="640" w:right="340" w:hanging="321"/>
        <w:spacing w:after="0" w:line="265"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established maximum award levels to cap any performance incentives in place.</w:t>
      </w:r>
    </w:p>
    <w:p>
      <w:pPr>
        <w:spacing w:after="0" w:line="211" w:lineRule="exact"/>
        <w:rPr>
          <w:sz w:val="20"/>
          <w:szCs w:val="20"/>
          <w:color w:val="auto"/>
        </w:rPr>
      </w:pPr>
    </w:p>
    <w:p>
      <w:pPr>
        <w:ind w:right="760" w:firstLine="432"/>
        <w:spacing w:after="0" w:line="258" w:lineRule="auto"/>
        <w:rPr>
          <w:sz w:val="20"/>
          <w:szCs w:val="20"/>
          <w:color w:val="auto"/>
        </w:rPr>
      </w:pPr>
      <w:r>
        <w:rPr>
          <w:rFonts w:ascii="Arial" w:cs="Arial" w:eastAsia="Arial" w:hAnsi="Arial"/>
          <w:sz w:val="18"/>
          <w:szCs w:val="18"/>
          <w:color w:val="auto"/>
        </w:rPr>
        <w:t>In summary, although a portion of the compensation provided to our named executive officers is based on our overall performance or division performance, we believe our compensation programs do not encourage</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excessive or unnecessary risk-taking by our named executive officers (or other employees) because these programs are designed to encourage employees to remain focused on both our short-term and long-term operational and financial goals.</w:t>
      </w:r>
    </w:p>
    <w:p>
      <w:pPr>
        <w:spacing w:after="0" w:line="18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i w:val="1"/>
          <w:iCs w:val="1"/>
          <w:color w:val="auto"/>
        </w:rPr>
        <w:t xml:space="preserve">Executive Retention. </w:t>
      </w:r>
      <w:r>
        <w:rPr>
          <w:rFonts w:ascii="Arial" w:cs="Arial" w:eastAsia="Arial" w:hAnsi="Arial"/>
          <w:sz w:val="18"/>
          <w:szCs w:val="18"/>
          <w:color w:val="auto"/>
        </w:rPr>
        <w:t>The Compensation Committee is sensitive to the critical importance of key employee and executive retention, recognizing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potential impacts and replacement challenges that accompany the loss of talented leadership particularly in a difficult market environment. For 2018 and 2019, executive retention was carefully considered by the Compensation Committee in arriving at its long-term incentive award determinations for our named executive officers, all of which remained consistent with our past practices.</w:t>
      </w:r>
    </w:p>
    <w:p>
      <w:pPr>
        <w:spacing w:after="0" w:line="187"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executive compensation decisions for named executive officers are made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Civeo solely by the Compensation Committee. Where appropriate, the Compensation Committee engages Mercer to research and make recommendations on issues considered important to executive compensation, as well to provide the Compensation Committee with insights on evolving compensation trends in relevant industry sectors.</w:t>
      </w:r>
    </w:p>
    <w:p>
      <w:pPr>
        <w:spacing w:after="0" w:line="18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Role of Executive Officers</w:t>
      </w:r>
      <w:r>
        <w:rPr>
          <w:rFonts w:ascii="Arial" w:cs="Arial" w:eastAsia="Arial" w:hAnsi="Arial"/>
          <w:sz w:val="17"/>
          <w:szCs w:val="17"/>
          <w:color w:val="auto"/>
        </w:rPr>
        <w:t>. The Compensation Committee consults our Chief Executive Officer in its determination of compensation matters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179"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i w:val="1"/>
          <w:iCs w:val="1"/>
          <w:color w:val="auto"/>
        </w:rPr>
        <w:t xml:space="preserve">Role of Compensation Consultant. </w:t>
      </w:r>
      <w:r>
        <w:rPr>
          <w:rFonts w:ascii="Arial" w:cs="Arial" w:eastAsia="Arial" w:hAnsi="Arial"/>
          <w:sz w:val="17"/>
          <w:szCs w:val="17"/>
          <w:color w:val="auto"/>
        </w:rPr>
        <w:t>The Compensation Committee engages Mercer as its independent compensation consultant. Subsequent to its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engagement of Mercer, the Compensation Committee has reviewed and confirmed its selection of Mercer on an annual basis.</w:t>
      </w:r>
    </w:p>
    <w:p>
      <w:pPr>
        <w:spacing w:after="0" w:line="147"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2018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2018: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Mercer did not provide any services to Civeo or management other than services requested by or with the approval of the Compensation Committee;</w:t>
      </w:r>
    </w:p>
    <w:p>
      <w:pPr>
        <w:spacing w:after="0" w:line="46" w:lineRule="exact"/>
        <w:rPr>
          <w:rFonts w:ascii="Arial" w:cs="Arial" w:eastAsia="Arial" w:hAnsi="Arial"/>
          <w:sz w:val="16"/>
          <w:szCs w:val="16"/>
          <w:color w:val="auto"/>
        </w:rPr>
      </w:pPr>
    </w:p>
    <w:p>
      <w:pPr>
        <w:ind w:left="640" w:right="18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paid to Mercer by Civeo during 2018 were less than 1% of Mercer’s total revenue;</w:t>
      </w:r>
    </w:p>
    <w:p>
      <w:pPr>
        <w:spacing w:after="0" w:line="9" w:lineRule="exact"/>
        <w:rPr>
          <w:rFonts w:ascii="Arial" w:cs="Arial" w:eastAsia="Arial" w:hAnsi="Arial"/>
          <w:sz w:val="18"/>
          <w:szCs w:val="18"/>
          <w:color w:val="auto"/>
        </w:rPr>
      </w:pPr>
    </w:p>
    <w:p>
      <w:pPr>
        <w:ind w:left="64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ind w:left="640" w:right="12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21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Since 2015, the Compensation Committee also approved the engagement of Mercer to provide benefits consulting services to Civeo. During 2018, fees paid to Mercer in the form of commissions by our Canadian insurer and retirement plan fund manager totaled $32,881 and $18,936, respectively, for benefits consulting services provided to our Canadian operations. During 2018, fees paid to Mercer in the form of commission by our U.S. insurers and retirement plan administrator totaled $134,520 and $26,600, respectively, for consulting services provided to our U.S. operations. In the opinion of the Compensation Committee, the scale of these fees does not compromise Mercer’s independence with regards executive and director compensation advisory services it provides directly to the Compensation Committee. This independence is and will continue to be monitored on an ongoing basis. Fees paid to Mercer for compensation consulting services to the Compensation Committee totaled $54,805 in 2018.</w:t>
      </w:r>
    </w:p>
    <w:p>
      <w:pPr>
        <w:spacing w:after="0" w:line="178"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i w:val="1"/>
          <w:iCs w:val="1"/>
          <w:color w:val="auto"/>
        </w:rPr>
        <w:t xml:space="preserve">Peer Group and Benchmarking. </w:t>
      </w:r>
      <w:r>
        <w:rPr>
          <w:rFonts w:ascii="Arial" w:cs="Arial" w:eastAsia="Arial" w:hAnsi="Arial"/>
          <w:sz w:val="16"/>
          <w:szCs w:val="16"/>
          <w:color w:val="auto"/>
        </w:rPr>
        <w:t>In their 2018 review process, Mercer evaluated companies in the diversified support services, oil and gas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sectors whose business results are influenced by similar industry and commodity factors as Civeo. As a consequence of this review, Savanna Energy Services Corp. was removed from the peer group and the recommendation was made to add five additional companies to the peer group including Exterran Corp., Willbros Group Corp., Unit Corp., STEP Energy Services Ltd. and Source Energy Services Ltd. The addition of these companies to the peer group was approved by Compensation Committee. The primary review and selection criteria for the peer group remained unchanged and included the following: revenue size, market value, enterprise value, number of employees, business/operational characteristics and geographic footprint.</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Parker Drilling Co.</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3460"/>
        <w:spacing w:after="0"/>
        <w:rPr>
          <w:sz w:val="20"/>
          <w:szCs w:val="20"/>
          <w:color w:val="auto"/>
        </w:rPr>
      </w:pPr>
      <w:r>
        <w:rPr>
          <w:rFonts w:ascii="Arial" w:cs="Arial" w:eastAsia="Arial" w:hAnsi="Arial"/>
          <w:sz w:val="16"/>
          <w:szCs w:val="16"/>
          <w:color w:val="auto"/>
        </w:rPr>
        <w:t>Pioneer Energy Services Corp.</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Exterran Corp.</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Precision Drilling Corp.</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3620"/>
        <w:spacing w:after="0"/>
        <w:rPr>
          <w:sz w:val="20"/>
          <w:szCs w:val="20"/>
          <w:color w:val="auto"/>
        </w:rPr>
      </w:pPr>
      <w:r>
        <w:rPr>
          <w:rFonts w:ascii="Arial" w:cs="Arial" w:eastAsia="Arial" w:hAnsi="Arial"/>
          <w:sz w:val="16"/>
          <w:szCs w:val="16"/>
          <w:color w:val="auto"/>
        </w:rPr>
        <w:t>Source Energy Services Ltd.</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700"/>
        <w:spacing w:after="0"/>
        <w:rPr>
          <w:sz w:val="20"/>
          <w:szCs w:val="20"/>
          <w:color w:val="auto"/>
        </w:rPr>
      </w:pPr>
      <w:r>
        <w:rPr>
          <w:rFonts w:ascii="Arial" w:cs="Arial" w:eastAsia="Arial" w:hAnsi="Arial"/>
          <w:sz w:val="16"/>
          <w:szCs w:val="16"/>
          <w:color w:val="auto"/>
        </w:rPr>
        <w:t>STEP Energy Services Ltd.</w:t>
      </w:r>
    </w:p>
    <w:p>
      <w:pPr>
        <w:spacing w:after="0" w:line="211"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Matrix Service Co.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TETRA Technologies Inc.</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Newalta Corp.</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4800"/>
        <w:spacing w:after="0"/>
        <w:rPr>
          <w:sz w:val="20"/>
          <w:szCs w:val="20"/>
          <w:color w:val="auto"/>
        </w:rPr>
      </w:pPr>
      <w:r>
        <w:rPr>
          <w:rFonts w:ascii="Arial" w:cs="Arial" w:eastAsia="Arial" w:hAnsi="Arial"/>
          <w:sz w:val="16"/>
          <w:szCs w:val="16"/>
          <w:color w:val="auto"/>
        </w:rPr>
        <w:t>Tesco Corp.</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Newpark Resources Inc.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Unit Corp.</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Oil States International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4100"/>
        <w:spacing w:after="0"/>
        <w:rPr>
          <w:sz w:val="20"/>
          <w:szCs w:val="20"/>
          <w:color w:val="auto"/>
        </w:rPr>
      </w:pPr>
      <w:r>
        <w:rPr>
          <w:rFonts w:ascii="Arial" w:cs="Arial" w:eastAsia="Arial" w:hAnsi="Arial"/>
          <w:sz w:val="16"/>
          <w:szCs w:val="16"/>
          <w:color w:val="auto"/>
        </w:rPr>
        <w:t>Willbros Group Corp.</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75"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For the 2018 Performance Share Awards, the Compensation Committee determined that the same peer group would also be used as peers for relative total shareholder return (“TSR”) purposes, based on their customer and asset bases, service offerings or levels of exposure to the natural resources sectors where earnings can be impacted by commodity prices.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late 2018, Mercer reviewed Civeo’s peer group of companies used for benchmarking purposes to assess the competitiveness and suitability of Civeo’s compensation programs and practices. Following that review, Mercer recommended that Newalta Corp., Willbros Group Corp. and Tesco Corp. be removed as they had been acquired in 2018 and Parker Drilling Co. be removed as it had filed for bankruptcy protection under Chapter 11 in December 2018. Further, Mercer recommended that Nine Energy Service, Inc., Select Energy Services, Inc., and Total Energy Services Inc. be added to the peer group based on their comparability with other companies in the peer group. The Compensation Committee approved these changes to the peer group and it was determined that, unless otherwise determined in subsequent peer group evaluations, this new peer group is intended to be used by the Compensation Committee for compensation evaluation purposes for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This section outlines each of the components of our compensation program. Compensation decisions specific to our named executive officers for 2018 for each of these components are discussed in greater detail immediately following this section. Overall compensation consists of base salary, annual performance incentive awards and long-term incentive awards.</w:t>
      </w:r>
    </w:p>
    <w:p>
      <w:pPr>
        <w:spacing w:after="0" w:line="18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8"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i w:val="1"/>
          <w:iCs w:val="1"/>
          <w:color w:val="auto"/>
        </w:rPr>
        <w:t xml:space="preserve">Short-Term Incentive Plan. </w:t>
      </w:r>
      <w:r>
        <w:rPr>
          <w:rFonts w:ascii="Arial" w:cs="Arial" w:eastAsia="Arial" w:hAnsi="Arial"/>
          <w:sz w:val="16"/>
          <w:szCs w:val="16"/>
          <w:color w:val="auto"/>
        </w:rPr>
        <w:t>The key objective of Civeo’s Annual Incentive Compensation Plan (“AICP”) is to reward the achievement of defined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and financial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spacing w:after="0" w:line="147"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2018, achieving results which exceeded a minimum, or threshold, level of performance triggered an AICP payout. Performance results at or below threshold (</w:t>
      </w:r>
      <w:r>
        <w:rPr>
          <w:rFonts w:ascii="Arial" w:cs="Arial" w:eastAsia="Arial" w:hAnsi="Arial"/>
          <w:sz w:val="16"/>
          <w:szCs w:val="16"/>
          <w:i w:val="1"/>
          <w:iCs w:val="1"/>
          <w:color w:val="auto"/>
        </w:rPr>
        <w:t>i.e.</w:t>
      </w:r>
      <w:r>
        <w:rPr>
          <w:rFonts w:ascii="Arial" w:cs="Arial" w:eastAsia="Arial" w:hAnsi="Arial"/>
          <w:sz w:val="16"/>
          <w:szCs w:val="16"/>
          <w:color w:val="auto"/>
        </w:rPr>
        <w:t>, typically achieving a percentage less than 85% of the related AICP performance objective) results in no AICP award. Targeted performance is earned when an executive achieves 100% of his or her budgeted safety and financial performance objectives. Overachievement is earned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overachievement level, 100-200% of the target amount is paid out proportionately.</w:t>
      </w:r>
    </w:p>
    <w:p>
      <w:pPr>
        <w:spacing w:after="0" w:line="16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performance metrics for our AICP consist of financial metrics, typically budgeted earnings before interest, taxes, depreciation and amortization (“EBITDA”), as adjusted where deemed appropriate by the Compensation Committee, and safety performance.</w:t>
      </w:r>
    </w:p>
    <w:p>
      <w:pPr>
        <w:spacing w:after="0" w:line="170"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to mitigate the potential for excessive risk taking.</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executive officer and, in aggregate, to other AICP participants. In its sole discretion, the Compensation Committee interprets all provisions of the AICP and has authority to make positive or negative adjustments in individual, business unit or Civeo's consolidated results.</w:t>
      </w:r>
    </w:p>
    <w:p>
      <w:pPr>
        <w:spacing w:after="0" w:line="188"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i w:val="1"/>
          <w:iCs w:val="1"/>
          <w:color w:val="auto"/>
        </w:rPr>
        <w:t>Long-Term Incentive Plan</w:t>
      </w:r>
      <w:r>
        <w:rPr>
          <w:rFonts w:ascii="Arial" w:cs="Arial" w:eastAsia="Arial" w:hAnsi="Arial"/>
          <w:sz w:val="17"/>
          <w:szCs w:val="17"/>
          <w:color w:val="auto"/>
        </w:rPr>
        <w:t>. Civeo’s long-term incentive plan (“LTIP”), established under the EPP, is designed to provide an additional incentive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our U.S. named executive officers, we award performance shares, restricted stock awards and/or phantom units. For our Canadian named executive officer, we award performance shares, restricted share units and/or phantom units, and for our Australian named executive officer, we grant performance shares, deferred share awards and/or phantom units. All long-term incentive awards made to employees are generally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79" w:lineRule="exact"/>
        <w:rPr>
          <w:sz w:val="20"/>
          <w:szCs w:val="20"/>
          <w:color w:val="auto"/>
        </w:rPr>
      </w:pPr>
    </w:p>
    <w:p>
      <w:pPr>
        <w:jc w:val="both"/>
        <w:ind w:right="340" w:firstLine="432"/>
        <w:spacing w:after="0" w:line="312"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As a general rule, long-term incentive award values increase with position responsibility and are intended to comprise a larger component of an executive’s total direct compensation as his or her responsibility increases.</w:t>
      </w:r>
    </w:p>
    <w:p>
      <w:pPr>
        <w:spacing w:after="0" w:line="14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In 2016, the Compensation Committee introduced a Performance Share Award Program under the EPP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promote the linkage between shareholder and executive management interests. Our Performance Share Award Program is comprised of the following key elements:</w:t>
      </w:r>
    </w:p>
    <w:p>
      <w:pPr>
        <w:sectPr>
          <w:pgSz w:w="11900" w:h="16838" w:orient="portrait"/>
          <w:cols w:equalWidth="0" w:num="1">
            <w:col w:w="11380"/>
          </w:cols>
          <w:pgMar w:left="240" w:top="125" w:right="279" w:bottom="1440" w:gutter="0" w:footer="0" w:header="0"/>
        </w:sect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Relative TSR (compared against our defined peer group as described above)</w:t>
      </w:r>
    </w:p>
    <w:p>
      <w:pPr>
        <w:spacing w:after="0" w:line="200" w:lineRule="exact"/>
        <w:rPr>
          <w:sz w:val="20"/>
          <w:szCs w:val="20"/>
          <w:color w:val="auto"/>
        </w:rPr>
      </w:pPr>
    </w:p>
    <w:p>
      <w:pPr>
        <w:sectPr>
          <w:pgSz w:w="11900" w:h="16838" w:orient="portrait"/>
          <w:cols w:equalWidth="0" w:num="2">
            <w:col w:w="1600" w:space="720"/>
            <w:col w:w="9060"/>
          </w:cols>
          <w:pgMar w:left="240" w:top="125" w:right="27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Three years, commencing from the date of grant</w:t>
      </w:r>
    </w:p>
    <w:p>
      <w:pPr>
        <w:spacing w:after="0" w:line="200" w:lineRule="exact"/>
        <w:rPr>
          <w:sz w:val="20"/>
          <w:szCs w:val="20"/>
          <w:color w:val="auto"/>
        </w:rPr>
      </w:pPr>
    </w:p>
    <w:p>
      <w:pPr>
        <w:sectPr>
          <w:pgSz w:w="11900" w:h="16838" w:orient="portrait"/>
          <w:cols w:equalWidth="0" w:num="2">
            <w:col w:w="1600" w:space="720"/>
            <w:col w:w="9060"/>
          </w:cols>
          <w:pgMar w:left="240" w:top="125" w:right="27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All named executive officers</w:t>
      </w:r>
    </w:p>
    <w:p>
      <w:pPr>
        <w:spacing w:after="0" w:line="200" w:lineRule="exact"/>
        <w:rPr>
          <w:sz w:val="20"/>
          <w:szCs w:val="20"/>
          <w:color w:val="auto"/>
        </w:rPr>
      </w:pPr>
    </w:p>
    <w:p>
      <w:pPr>
        <w:sectPr>
          <w:pgSz w:w="11900" w:h="16838" w:orient="portrait"/>
          <w:cols w:equalWidth="0" w:num="2">
            <w:col w:w="1600" w:space="720"/>
            <w:col w:w="9060"/>
          </w:cols>
          <w:pgMar w:left="240" w:top="125" w:right="27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Cliff vesting following completion of the performance period</w:t>
      </w:r>
    </w:p>
    <w:p>
      <w:pPr>
        <w:spacing w:after="0" w:line="200" w:lineRule="exact"/>
        <w:rPr>
          <w:sz w:val="20"/>
          <w:szCs w:val="20"/>
          <w:color w:val="auto"/>
        </w:rPr>
      </w:pPr>
    </w:p>
    <w:p>
      <w:pPr>
        <w:sectPr>
          <w:pgSz w:w="11900" w:h="16838" w:orient="portrait"/>
          <w:cols w:equalWidth="0" w:num="2">
            <w:col w:w="1600" w:space="720"/>
            <w:col w:w="9060"/>
          </w:cols>
          <w:pgMar w:left="240" w:top="125" w:right="27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Award amount: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Comprises 50% of a named executive officer’s annual long-term incentive award, as determined by the Compensation Committee</w:t>
      </w:r>
    </w:p>
    <w:p>
      <w:pPr>
        <w:spacing w:after="0" w:line="200" w:lineRule="exact"/>
        <w:rPr>
          <w:sz w:val="20"/>
          <w:szCs w:val="20"/>
          <w:color w:val="auto"/>
        </w:rPr>
      </w:pPr>
    </w:p>
    <w:p>
      <w:pPr>
        <w:sectPr>
          <w:pgSz w:w="11900" w:h="16838" w:orient="portrait"/>
          <w:cols w:equalWidth="0" w:num="2">
            <w:col w:w="1600" w:space="720"/>
            <w:col w:w="9060"/>
          </w:cols>
          <w:pgMar w:left="240" w:top="125" w:right="27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Payout: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200" w:lineRule="exact"/>
        <w:rPr>
          <w:sz w:val="20"/>
          <w:szCs w:val="20"/>
          <w:color w:val="auto"/>
        </w:rPr>
      </w:pPr>
    </w:p>
    <w:p>
      <w:pPr>
        <w:sectPr>
          <w:pgSz w:w="11900" w:h="16838" w:orient="portrait"/>
          <w:cols w:equalWidth="0" w:num="2">
            <w:col w:w="1600" w:space="720"/>
            <w:col w:w="9060"/>
          </w:cols>
          <w:pgMar w:left="240" w:top="125" w:right="279" w:bottom="1440" w:gutter="0" w:footer="0" w:header="0"/>
          <w:type w:val="continuous"/>
        </w:sectPr>
      </w:pPr>
    </w:p>
    <w:p>
      <w:pPr>
        <w:spacing w:after="0" w:line="75"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Calculation of our relative TSR will be conducted by a third party designated by the Compensation Committee following completion of the three-year performance cycle. Performance share awards granted in 2018 will be earned in amounts between 0% and 200% of the participant’s target performance share award, based on the payout percentage associated with Civeo’s absolute rank among the peer group as illustrated below:</w:t>
      </w:r>
    </w:p>
    <w:p>
      <w:pPr>
        <w:spacing w:after="0" w:line="200" w:lineRule="exact"/>
        <w:rPr>
          <w:sz w:val="20"/>
          <w:szCs w:val="20"/>
          <w:color w:val="auto"/>
        </w:rPr>
      </w:pP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2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Performance Measures</w:t>
            </w: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Absolute Rank</w:t>
            </w:r>
          </w:p>
        </w:tc>
        <w:tc>
          <w:tcPr>
            <w:tcW w:w="120" w:type="dxa"/>
            <w:vAlign w:val="bottom"/>
            <w:vMerge w:val="restart"/>
          </w:tcPr>
          <w:p>
            <w:pPr>
              <w:spacing w:after="0"/>
              <w:rPr>
                <w:sz w:val="13"/>
                <w:szCs w:val="13"/>
                <w:color w:val="auto"/>
              </w:rPr>
            </w:pPr>
          </w:p>
        </w:tc>
        <w:tc>
          <w:tcPr>
            <w:tcW w:w="1920" w:type="dxa"/>
            <w:vAlign w:val="bottom"/>
          </w:tcPr>
          <w:p>
            <w:pPr>
              <w:jc w:val="center"/>
              <w:ind w:left="134"/>
              <w:spacing w:after="0" w:line="153" w:lineRule="exact"/>
              <w:rPr>
                <w:sz w:val="20"/>
                <w:szCs w:val="20"/>
                <w:color w:val="auto"/>
              </w:rPr>
            </w:pPr>
            <w:r>
              <w:rPr>
                <w:rFonts w:ascii="Arial" w:cs="Arial" w:eastAsia="Arial" w:hAnsi="Arial"/>
                <w:sz w:val="14"/>
                <w:szCs w:val="14"/>
                <w:b w:val="1"/>
                <w:bCs w:val="1"/>
                <w:color w:val="auto"/>
                <w:w w:val="95"/>
              </w:rPr>
              <w:t>Approximate</w:t>
            </w:r>
          </w:p>
        </w:tc>
        <w:tc>
          <w:tcPr>
            <w:tcW w:w="240" w:type="dxa"/>
            <w:vAlign w:val="bottom"/>
          </w:tcPr>
          <w:p>
            <w:pPr>
              <w:spacing w:after="0"/>
              <w:rPr>
                <w:sz w:val="13"/>
                <w:szCs w:val="13"/>
                <w:color w:val="auto"/>
              </w:rPr>
            </w:pPr>
          </w:p>
        </w:tc>
        <w:tc>
          <w:tcPr>
            <w:tcW w:w="2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Implied</w:t>
            </w:r>
          </w:p>
        </w:tc>
        <w:tc>
          <w:tcPr>
            <w:tcW w:w="21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Payout Percentage</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w w:val="92"/>
              </w:rPr>
              <w:t>Decile</w:t>
            </w: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Percentile Rank</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16"/>
                <w:szCs w:val="16"/>
                <w:color w:val="auto"/>
              </w:rPr>
              <w:t>st</w:t>
            </w:r>
            <w:r>
              <w:rPr>
                <w:rFonts w:ascii="Arial" w:cs="Arial" w:eastAsia="Arial" w:hAnsi="Arial"/>
                <w:sz w:val="18"/>
                <w:szCs w:val="18"/>
                <w:color w:val="auto"/>
              </w:rPr>
              <w:t xml:space="preserve"> or 2</w:t>
            </w:r>
            <w:r>
              <w:rPr>
                <w:rFonts w:ascii="Arial" w:cs="Arial" w:eastAsia="Arial" w:hAnsi="Arial"/>
                <w:sz w:val="16"/>
                <w:szCs w:val="16"/>
                <w:color w:val="auto"/>
              </w:rPr>
              <w:t>nd</w:t>
            </w:r>
          </w:p>
        </w:tc>
        <w:tc>
          <w:tcPr>
            <w:tcW w:w="1920" w:type="dxa"/>
            <w:vAlign w:val="bottom"/>
            <w:tcBorders>
              <w:bottom w:val="single" w:sz="8" w:color="CCEEFF"/>
            </w:tcBorders>
            <w:shd w:val="clear" w:color="auto" w:fill="CCEEFF"/>
          </w:tcPr>
          <w:p>
            <w:pPr>
              <w:jc w:val="center"/>
              <w:ind w:left="154"/>
              <w:spacing w:after="0"/>
              <w:rPr>
                <w:sz w:val="20"/>
                <w:szCs w:val="20"/>
                <w:color w:val="auto"/>
              </w:rPr>
            </w:pPr>
            <w:r>
              <w:rPr>
                <w:rFonts w:ascii="Arial" w:cs="Arial" w:eastAsia="Arial" w:hAnsi="Arial"/>
                <w:sz w:val="18"/>
                <w:szCs w:val="18"/>
                <w:color w:val="auto"/>
                <w:w w:val="88"/>
              </w:rPr>
              <w:t>1</w:t>
            </w:r>
            <w:r>
              <w:rPr>
                <w:rFonts w:ascii="Arial" w:cs="Arial" w:eastAsia="Arial" w:hAnsi="Arial"/>
                <w:sz w:val="16"/>
                <w:szCs w:val="16"/>
                <w:color w:val="auto"/>
                <w:w w:val="88"/>
              </w:rPr>
              <w:t>st</w:t>
            </w:r>
          </w:p>
        </w:tc>
        <w:tc>
          <w:tcPr>
            <w:tcW w:w="252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90%-100%</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3</w:t>
            </w:r>
            <w:r>
              <w:rPr>
                <w:rFonts w:ascii="Arial" w:cs="Arial" w:eastAsia="Arial" w:hAnsi="Arial"/>
                <w:sz w:val="16"/>
                <w:szCs w:val="16"/>
                <w:color w:val="auto"/>
              </w:rPr>
              <w:t>rd</w:t>
            </w:r>
            <w:r>
              <w:rPr>
                <w:rFonts w:ascii="Arial" w:cs="Arial" w:eastAsia="Arial" w:hAnsi="Arial"/>
                <w:sz w:val="18"/>
                <w:szCs w:val="18"/>
                <w:color w:val="auto"/>
              </w:rPr>
              <w:t xml:space="preserve"> or 4</w:t>
            </w:r>
            <w:r>
              <w:rPr>
                <w:rFonts w:ascii="Arial" w:cs="Arial" w:eastAsia="Arial" w:hAnsi="Arial"/>
                <w:sz w:val="16"/>
                <w:szCs w:val="16"/>
                <w:color w:val="auto"/>
              </w:rPr>
              <w:t>th</w:t>
            </w:r>
          </w:p>
        </w:tc>
        <w:tc>
          <w:tcPr>
            <w:tcW w:w="1920" w:type="dxa"/>
            <w:vAlign w:val="bottom"/>
          </w:tcPr>
          <w:p>
            <w:pPr>
              <w:jc w:val="center"/>
              <w:ind w:left="134"/>
              <w:spacing w:after="0"/>
              <w:rPr>
                <w:sz w:val="20"/>
                <w:szCs w:val="20"/>
                <w:color w:val="auto"/>
              </w:rPr>
            </w:pPr>
            <w:r>
              <w:rPr>
                <w:rFonts w:ascii="Arial" w:cs="Arial" w:eastAsia="Arial" w:hAnsi="Arial"/>
                <w:sz w:val="18"/>
                <w:szCs w:val="18"/>
                <w:color w:val="auto"/>
                <w:w w:val="93"/>
              </w:rPr>
              <w:t>2</w:t>
            </w:r>
            <w:r>
              <w:rPr>
                <w:rFonts w:ascii="Arial" w:cs="Arial" w:eastAsia="Arial" w:hAnsi="Arial"/>
                <w:sz w:val="16"/>
                <w:szCs w:val="16"/>
                <w:color w:val="auto"/>
                <w:w w:val="93"/>
              </w:rPr>
              <w:t>nd</w:t>
            </w:r>
          </w:p>
        </w:tc>
        <w:tc>
          <w:tcPr>
            <w:tcW w:w="252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80%-89.9%</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w:t>
            </w:r>
            <w:r>
              <w:rPr>
                <w:rFonts w:ascii="Arial" w:cs="Arial" w:eastAsia="Arial" w:hAnsi="Arial"/>
                <w:sz w:val="16"/>
                <w:szCs w:val="16"/>
                <w:color w:val="auto"/>
              </w:rPr>
              <w:t>th or 6th</w:t>
            </w:r>
          </w:p>
        </w:tc>
        <w:tc>
          <w:tcPr>
            <w:tcW w:w="192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0"/>
              </w:rPr>
              <w:t>3</w:t>
            </w:r>
            <w:r>
              <w:rPr>
                <w:rFonts w:ascii="Arial" w:cs="Arial" w:eastAsia="Arial" w:hAnsi="Arial"/>
                <w:sz w:val="16"/>
                <w:szCs w:val="16"/>
                <w:color w:val="auto"/>
                <w:w w:val="90"/>
              </w:rPr>
              <w:t>rd</w:t>
            </w:r>
          </w:p>
        </w:tc>
        <w:tc>
          <w:tcPr>
            <w:tcW w:w="252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70%-79.9%</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7th or 8th</w:t>
            </w:r>
          </w:p>
        </w:tc>
        <w:tc>
          <w:tcPr>
            <w:tcW w:w="1920" w:type="dxa"/>
            <w:vAlign w:val="bottom"/>
          </w:tcPr>
          <w:p>
            <w:pPr>
              <w:jc w:val="center"/>
              <w:ind w:left="134"/>
              <w:spacing w:after="0"/>
              <w:rPr>
                <w:sz w:val="20"/>
                <w:szCs w:val="20"/>
                <w:color w:val="auto"/>
              </w:rPr>
            </w:pPr>
            <w:r>
              <w:rPr>
                <w:rFonts w:ascii="Arial" w:cs="Arial" w:eastAsia="Arial" w:hAnsi="Arial"/>
                <w:sz w:val="18"/>
                <w:szCs w:val="18"/>
                <w:color w:val="auto"/>
                <w:w w:val="93"/>
              </w:rPr>
              <w:t>4</w:t>
            </w:r>
            <w:r>
              <w:rPr>
                <w:rFonts w:ascii="Arial" w:cs="Arial" w:eastAsia="Arial" w:hAnsi="Arial"/>
                <w:sz w:val="16"/>
                <w:szCs w:val="16"/>
                <w:color w:val="auto"/>
                <w:w w:val="93"/>
              </w:rPr>
              <w:t>th</w:t>
            </w:r>
          </w:p>
        </w:tc>
        <w:tc>
          <w:tcPr>
            <w:tcW w:w="252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60%-69.9%</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9th or 10th</w:t>
            </w:r>
          </w:p>
        </w:tc>
        <w:tc>
          <w:tcPr>
            <w:tcW w:w="192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3"/>
              </w:rPr>
              <w:t>5</w:t>
            </w:r>
            <w:r>
              <w:rPr>
                <w:rFonts w:ascii="Arial" w:cs="Arial" w:eastAsia="Arial" w:hAnsi="Arial"/>
                <w:sz w:val="16"/>
                <w:szCs w:val="16"/>
                <w:color w:val="auto"/>
                <w:w w:val="93"/>
              </w:rPr>
              <w:t>th</w:t>
            </w:r>
          </w:p>
        </w:tc>
        <w:tc>
          <w:tcPr>
            <w:tcW w:w="252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50%-59.9%</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11th or 12th</w:t>
            </w:r>
          </w:p>
        </w:tc>
        <w:tc>
          <w:tcPr>
            <w:tcW w:w="1920" w:type="dxa"/>
            <w:vAlign w:val="bottom"/>
          </w:tcPr>
          <w:p>
            <w:pPr>
              <w:jc w:val="center"/>
              <w:ind w:left="134"/>
              <w:spacing w:after="0"/>
              <w:rPr>
                <w:sz w:val="20"/>
                <w:szCs w:val="20"/>
                <w:color w:val="auto"/>
              </w:rPr>
            </w:pPr>
            <w:r>
              <w:rPr>
                <w:rFonts w:ascii="Arial" w:cs="Arial" w:eastAsia="Arial" w:hAnsi="Arial"/>
                <w:sz w:val="18"/>
                <w:szCs w:val="18"/>
                <w:color w:val="auto"/>
                <w:w w:val="93"/>
              </w:rPr>
              <w:t>6</w:t>
            </w:r>
            <w:r>
              <w:rPr>
                <w:rFonts w:ascii="Arial" w:cs="Arial" w:eastAsia="Arial" w:hAnsi="Arial"/>
                <w:sz w:val="16"/>
                <w:szCs w:val="16"/>
                <w:color w:val="auto"/>
                <w:w w:val="93"/>
              </w:rPr>
              <w:t>th</w:t>
            </w:r>
          </w:p>
        </w:tc>
        <w:tc>
          <w:tcPr>
            <w:tcW w:w="252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40%-49.9%</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13th or 14th</w:t>
            </w:r>
          </w:p>
        </w:tc>
        <w:tc>
          <w:tcPr>
            <w:tcW w:w="192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3"/>
              </w:rPr>
              <w:t>7</w:t>
            </w:r>
            <w:r>
              <w:rPr>
                <w:rFonts w:ascii="Arial" w:cs="Arial" w:eastAsia="Arial" w:hAnsi="Arial"/>
                <w:sz w:val="16"/>
                <w:szCs w:val="16"/>
                <w:color w:val="auto"/>
                <w:w w:val="93"/>
              </w:rPr>
              <w:t>th</w:t>
            </w:r>
          </w:p>
        </w:tc>
        <w:tc>
          <w:tcPr>
            <w:tcW w:w="252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30%-39.9%</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15th or 16th</w:t>
            </w:r>
          </w:p>
        </w:tc>
        <w:tc>
          <w:tcPr>
            <w:tcW w:w="1920" w:type="dxa"/>
            <w:vAlign w:val="bottom"/>
          </w:tcPr>
          <w:p>
            <w:pPr>
              <w:jc w:val="center"/>
              <w:ind w:left="134"/>
              <w:spacing w:after="0"/>
              <w:rPr>
                <w:sz w:val="20"/>
                <w:szCs w:val="20"/>
                <w:color w:val="auto"/>
              </w:rPr>
            </w:pPr>
            <w:r>
              <w:rPr>
                <w:rFonts w:ascii="Arial" w:cs="Arial" w:eastAsia="Arial" w:hAnsi="Arial"/>
                <w:sz w:val="18"/>
                <w:szCs w:val="18"/>
                <w:color w:val="auto"/>
                <w:w w:val="93"/>
              </w:rPr>
              <w:t>8</w:t>
            </w:r>
            <w:r>
              <w:rPr>
                <w:rFonts w:ascii="Arial" w:cs="Arial" w:eastAsia="Arial" w:hAnsi="Arial"/>
                <w:sz w:val="16"/>
                <w:szCs w:val="16"/>
                <w:color w:val="auto"/>
                <w:w w:val="93"/>
              </w:rPr>
              <w:t>th</w:t>
            </w:r>
          </w:p>
        </w:tc>
        <w:tc>
          <w:tcPr>
            <w:tcW w:w="252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20%-29.9%</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17th - 19th</w:t>
            </w:r>
          </w:p>
        </w:tc>
        <w:tc>
          <w:tcPr>
            <w:tcW w:w="1920" w:type="dxa"/>
            <w:vAlign w:val="bottom"/>
            <w:tcBorders>
              <w:bottom w:val="single" w:sz="8" w:color="BFE4FF"/>
            </w:tcBorders>
            <w:shd w:val="clear" w:color="auto" w:fill="BFE4FF"/>
          </w:tcPr>
          <w:p>
            <w:pPr>
              <w:jc w:val="center"/>
              <w:ind w:left="134"/>
              <w:spacing w:after="0"/>
              <w:rPr>
                <w:sz w:val="20"/>
                <w:szCs w:val="20"/>
                <w:color w:val="auto"/>
              </w:rPr>
            </w:pPr>
            <w:r>
              <w:rPr>
                <w:rFonts w:ascii="Arial" w:cs="Arial" w:eastAsia="Arial" w:hAnsi="Arial"/>
                <w:sz w:val="18"/>
                <w:szCs w:val="18"/>
                <w:color w:val="auto"/>
                <w:w w:val="91"/>
              </w:rPr>
              <w:t>9</w:t>
            </w:r>
            <w:r>
              <w:rPr>
                <w:rFonts w:ascii="Arial" w:cs="Arial" w:eastAsia="Arial" w:hAnsi="Arial"/>
                <w:sz w:val="16"/>
                <w:szCs w:val="16"/>
                <w:color w:val="auto"/>
                <w:w w:val="91"/>
              </w:rPr>
              <w:t>th</w:t>
            </w:r>
            <w:r>
              <w:rPr>
                <w:rFonts w:ascii="Arial" w:cs="Arial" w:eastAsia="Arial" w:hAnsi="Arial"/>
                <w:sz w:val="18"/>
                <w:szCs w:val="18"/>
                <w:color w:val="auto"/>
                <w:w w:val="91"/>
              </w:rPr>
              <w:t xml:space="preserve"> – 10</w:t>
            </w:r>
            <w:r>
              <w:rPr>
                <w:rFonts w:ascii="Arial" w:cs="Arial" w:eastAsia="Arial" w:hAnsi="Arial"/>
                <w:sz w:val="16"/>
                <w:szCs w:val="16"/>
                <w:color w:val="auto"/>
                <w:w w:val="91"/>
              </w:rPr>
              <w:t>th</w:t>
            </w:r>
          </w:p>
        </w:tc>
        <w:tc>
          <w:tcPr>
            <w:tcW w:w="240" w:type="dxa"/>
            <w:vAlign w:val="bottom"/>
            <w:tcBorders>
              <w:bottom w:val="single" w:sz="8" w:color="BFE4FF"/>
            </w:tcBorders>
            <w:shd w:val="clear" w:color="auto" w:fill="BFE4FF"/>
          </w:tcPr>
          <w:p>
            <w:pPr>
              <w:spacing w:after="0"/>
              <w:rPr>
                <w:sz w:val="21"/>
                <w:szCs w:val="21"/>
                <w:color w:val="auto"/>
              </w:rPr>
            </w:pPr>
          </w:p>
        </w:tc>
        <w:tc>
          <w:tcPr>
            <w:tcW w:w="228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8"/>
                <w:szCs w:val="18"/>
                <w:color w:val="auto"/>
                <w:w w:val="93"/>
              </w:rPr>
              <w:t>0%-19.9%</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5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gridSpan w:val="2"/>
          </w:tcPr>
          <w:p>
            <w:pPr>
              <w:jc w:val="right"/>
              <w:ind w:right="210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the performance metric yields a payout percentage of 0%, participants will not earn any performance shares for the applicable three-year performance period. Calculation of relative TSR includes all dividends paid over the performance cycle.</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is the last day of the performance period. In determining the payout percentage, the performance metric to be applied will be the absolute rank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performance share awards have been approved by the Compensation Committee.</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All long-term incentive awards under the EPP are expensed in a manner to comply with Financial Accounting Standards Board, Accounting Standards codification, Topic 718, Compensation-Stock Compensation (“FASB ASC Topic 718—Stock Compensation”). Except in special circumstances, long-term incentive awards are made to participants in these plans annually, in conjunction with approval of annual year-end audited financial statements by the board of directors.</w:t>
      </w:r>
    </w:p>
    <w:p>
      <w:pPr>
        <w:spacing w:after="0" w:line="18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i w:val="1"/>
          <w:iCs w:val="1"/>
          <w:color w:val="auto"/>
        </w:rPr>
        <w:t xml:space="preserve">Free Cash Flow Incentive Plan. </w:t>
      </w:r>
      <w:r>
        <w:rPr>
          <w:rFonts w:ascii="Arial" w:cs="Arial" w:eastAsia="Arial" w:hAnsi="Arial"/>
          <w:sz w:val="18"/>
          <w:szCs w:val="18"/>
          <w:color w:val="auto"/>
        </w:rPr>
        <w:t>Our Free Cash Flow Incentive Plan is designed to promote the interests of Civeo and its shareholders by incentivizing</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employees to identify and implement actions that generate incremental free cash flow. For 2018, actual free cash flow did not meet the budgeted target. Accordingly, no free cash flow awards were made attributable to the 2018 plan year. The Compensation Committee determines, in its sole discretion, those employees who are eligible to participate in the Free Cash Flow program, which may include, in exceptional circumstances, our named executive officers and the award amount allocated to each eligible employee. Eligible employees must be in continuous employment with Civeo through the date the award payment is made.</w:t>
      </w:r>
    </w:p>
    <w:p>
      <w:pPr>
        <w:spacing w:after="0" w:line="19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i w:val="1"/>
          <w:iCs w:val="1"/>
          <w:color w:val="auto"/>
        </w:rPr>
        <w:t>Other Perquisites and Personal Benefits</w:t>
      </w:r>
      <w:r>
        <w:rPr>
          <w:rFonts w:ascii="Arial" w:cs="Arial" w:eastAsia="Arial" w:hAnsi="Arial"/>
          <w:sz w:val="18"/>
          <w:szCs w:val="18"/>
          <w:color w:val="auto"/>
        </w:rPr>
        <w:t>. In general, Civeo does not offer perquisites or other personal benefits to any executive with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value over $10,000. Some executives are provided paid club memberships, which are used for business purposes.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Dual employment contract provisions for Messrs. Dodson, Steininger and Schoening provide for income tax preparation services to satisfy their annual filing obligations and for tax equalization for Messrs. Dodson and Steininger for pro rata compensation earned in Canada.</w:t>
      </w:r>
    </w:p>
    <w:p>
      <w:pPr>
        <w:spacing w:after="0" w:line="17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 talented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8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Civeo’s health and welfare benefits are provided to all North American employees, including U.S. or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w:t>
      </w:r>
    </w:p>
    <w:p>
      <w:pPr>
        <w:spacing w:after="0" w:line="17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Civeo offers a defined contribution 401(k) retirement plan to all of its U.S. employees, including its U.S.-based executives.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9.5% of base salary (to an annual capped limit established by the Australia Taxation Office) to a superannuation fund administered by the Government. This contribution is paid for by Civeo.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Executive Compensation</w:t>
      </w:r>
    </w:p>
    <w:p>
      <w:pPr>
        <w:spacing w:after="0" w:line="117"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All executive compensation decisions, as well as decisions including aggregate AICP and long-term incentive awards to non-executive plan participants, were made by our Compensation Committee in conjunction with the approval of our audited 2018 year-end financials by the board of directors.</w:t>
      </w:r>
    </w:p>
    <w:p>
      <w:pPr>
        <w:spacing w:after="0" w:line="12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Base salaries and target AICP</w:t>
      </w:r>
      <w:r>
        <w:rPr>
          <w:rFonts w:ascii="Arial" w:cs="Arial" w:eastAsia="Arial" w:hAnsi="Arial"/>
          <w:sz w:val="16"/>
          <w:szCs w:val="16"/>
          <w:color w:val="auto"/>
        </w:rPr>
        <w:t>. Salary adjustments were made in 2018 for designated executives. Mr. Dodson received an increase in base salary to</w:t>
      </w:r>
      <w:r>
        <w:rPr>
          <w:rFonts w:ascii="Arial" w:cs="Arial" w:eastAsia="Arial" w:hAnsi="Arial"/>
          <w:sz w:val="16"/>
          <w:szCs w:val="16"/>
          <w:i w:val="1"/>
          <w:iCs w:val="1"/>
          <w:color w:val="auto"/>
        </w:rPr>
        <w:t xml:space="preserve"> </w:t>
      </w:r>
      <w:r>
        <w:rPr>
          <w:rFonts w:ascii="Arial" w:cs="Arial" w:eastAsia="Arial" w:hAnsi="Arial"/>
          <w:sz w:val="16"/>
          <w:szCs w:val="16"/>
          <w:color w:val="auto"/>
        </w:rPr>
        <w:t>$600,000 in March, 2018 to reflect a more competitive salary as compared to other CEO’s of companies in our peer group. Mr. Steininger received an increase in base salary to $450,000 per year accompanying his promotion to Executive Vice President in March, 2018. Mr. Schoening’s salary was adjusted to CAD $400,000 in March, 2018 and then again in November, 2018 to CAD $475,000 accompanying his promotion to Senior Vice President, Canada.</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2018, based on peer group compensation data presented by Mercer, the Compensation Committee approved an increase in AICP targets for Messrs. Steininger and Schoening to 70% and 60%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Annualized base salaries, as in effect on December 31, 2018, and target AICP levels for 2018 are set forth below for each named executive officer.</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560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Position (December 31, 2018)</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Base Salary</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(USD)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AICP</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Frank C. Steininger</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314,160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366,653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2018 AICP Awards</w:t>
      </w:r>
      <w:r>
        <w:rPr>
          <w:rFonts w:ascii="Arial" w:cs="Arial" w:eastAsia="Arial" w:hAnsi="Arial"/>
          <w:sz w:val="18"/>
          <w:szCs w:val="18"/>
          <w:color w:val="auto"/>
        </w:rPr>
        <w:t>. The following performance metrics formed the basis for annual incentive award determinations for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for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3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 xml:space="preserve">Financial Performance </w:t>
            </w:r>
            <w:r>
              <w:rPr>
                <w:rFonts w:ascii="Arial" w:cs="Arial" w:eastAsia="Arial" w:hAnsi="Arial"/>
                <w:sz w:val="8"/>
                <w:szCs w:val="8"/>
                <w:b w:val="1"/>
                <w:bCs w:val="1"/>
                <w:color w:val="auto"/>
              </w:rPr>
              <w:t>(1)</w:t>
            </w:r>
          </w:p>
        </w:tc>
        <w:tc>
          <w:tcPr>
            <w:tcW w:w="180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0"/>
              </w:rPr>
              <w:t>Safety</w:t>
            </w:r>
          </w:p>
        </w:tc>
        <w:tc>
          <w:tcPr>
            <w:tcW w:w="0" w:type="dxa"/>
            <w:vAlign w:val="bottom"/>
          </w:tcPr>
          <w:p>
            <w:pPr>
              <w:spacing w:after="0"/>
              <w:rPr>
                <w:sz w:val="1"/>
                <w:szCs w:val="1"/>
                <w:color w:val="auto"/>
              </w:rPr>
            </w:pPr>
          </w:p>
        </w:tc>
      </w:tr>
      <w:tr>
        <w:trPr>
          <w:trHeight w:val="71"/>
        </w:trPr>
        <w:tc>
          <w:tcPr>
            <w:tcW w:w="17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46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Position (December 31, 2018)</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Corporate</w:t>
            </w: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Division</w:t>
            </w: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20" w:type="dxa"/>
            <w:vAlign w:val="bottom"/>
            <w:vMerge w:val="continue"/>
          </w:tcPr>
          <w:p>
            <w:pPr>
              <w:spacing w:after="0"/>
              <w:rPr>
                <w:sz w:val="16"/>
                <w:szCs w:val="16"/>
                <w:color w:val="auto"/>
              </w:rPr>
            </w:pPr>
          </w:p>
        </w:tc>
        <w:tc>
          <w:tcPr>
            <w:tcW w:w="460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50"/>
        </w:trPr>
        <w:tc>
          <w:tcPr>
            <w:tcW w:w="1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4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President and Chief Executive Officer</w:t>
            </w: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800" w:type="dxa"/>
            <w:vAlign w:val="bottom"/>
            <w:tcBorders>
              <w:top w:val="single" w:sz="8" w:color="CCEEFF"/>
              <w:bottom w:val="single" w:sz="8" w:color="CCEEFF"/>
            </w:tcBorders>
            <w:shd w:val="clear" w:color="auto" w:fill="CCEEFF"/>
          </w:tcPr>
          <w:p>
            <w:pPr>
              <w:jc w:val="center"/>
              <w:ind w:left="16"/>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Frank C. Steininger</w:t>
            </w:r>
          </w:p>
        </w:tc>
        <w:tc>
          <w:tcPr>
            <w:tcW w:w="4600" w:type="dxa"/>
            <w:vAlign w:val="bottom"/>
          </w:tcPr>
          <w:p>
            <w:pPr>
              <w:ind w:left="280"/>
              <w:spacing w:after="0"/>
              <w:rPr>
                <w:sz w:val="20"/>
                <w:szCs w:val="20"/>
                <w:color w:val="auto"/>
              </w:rPr>
            </w:pPr>
            <w:r>
              <w:rPr>
                <w:rFonts w:ascii="Arial" w:cs="Arial" w:eastAsia="Arial" w:hAnsi="Arial"/>
                <w:sz w:val="18"/>
                <w:szCs w:val="18"/>
                <w:color w:val="auto"/>
              </w:rPr>
              <w:t>Executive Vice President, Chief Financial Officer and</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0" w:type="dxa"/>
            <w:vAlign w:val="bottom"/>
          </w:tcPr>
          <w:p>
            <w:pPr>
              <w:jc w:val="center"/>
              <w:ind w:left="16"/>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Treasurer</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Vice President, Australia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800" w:type="dxa"/>
            <w:vAlign w:val="bottom"/>
            <w:tcBorders>
              <w:bottom w:val="single" w:sz="8" w:color="CCEEFF"/>
            </w:tcBorders>
            <w:shd w:val="clear" w:color="auto" w:fill="CCEEFF"/>
          </w:tcPr>
          <w:p>
            <w:pPr>
              <w:jc w:val="center"/>
              <w:ind w:left="16"/>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Allan D. Schoening</w:t>
            </w:r>
          </w:p>
        </w:tc>
        <w:tc>
          <w:tcPr>
            <w:tcW w:w="4600" w:type="dxa"/>
            <w:vAlign w:val="bottom"/>
          </w:tcPr>
          <w:p>
            <w:pPr>
              <w:ind w:left="280"/>
              <w:spacing w:after="0"/>
              <w:rPr>
                <w:sz w:val="20"/>
                <w:szCs w:val="20"/>
                <w:color w:val="auto"/>
              </w:rPr>
            </w:pPr>
            <w:r>
              <w:rPr>
                <w:rFonts w:ascii="Arial" w:cs="Arial" w:eastAsia="Arial" w:hAnsi="Arial"/>
                <w:sz w:val="18"/>
                <w:szCs w:val="18"/>
                <w:color w:val="auto"/>
              </w:rPr>
              <w:t>Senior Vice President, Canada</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0" w:type="dxa"/>
            <w:vAlign w:val="bottom"/>
          </w:tcPr>
          <w:p>
            <w:pPr>
              <w:jc w:val="center"/>
              <w:ind w:left="16"/>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Mr. Schoening's AICP changes to 40% Corporate, 40% Division and 20% Safety, effective January 1, 2019 in conjunction with his promotion to Senior Vice President, Canada.</w:t>
      </w:r>
    </w:p>
    <w:p>
      <w:pPr>
        <w:spacing w:after="0" w:line="22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sole metric for evaluating financial performance for AICP purposes in 2018 was Adjusted EBITDA. EBITDA is widely recognized as a primary valuation and comparison metric used in the industry and, for this reason, was selected as the most suitable metric for 2018. EBITDA is a non-GAAP financial measure that is defined as net income plus interest, taxes, depreciation and amortization. Adjusted EBITDA is a non-GAAP financial measure that is defined as EBITDA adjusted to exclude impairment charges, certain costs associated with Civeo's acquisition of Noralta Lodge Ltd. (“Noralta”) and certain other costs.</w:t>
      </w:r>
    </w:p>
    <w:p>
      <w:pPr>
        <w:spacing w:after="0" w:line="188"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Adjustments to EBITDA under the AICP for 2018 reflected one-time, unanticipated financial events incurred following approval of the 2018 budget. For 2018, specific adjustments included impairment expenses, expenses related to unbudgeted variability in stock-based compensation expense, changes in foreign exchange rates, transaction related costs and certain other costs. All adjustments to EBITDA for AICP purposes were reviewed and approved by the Compensation Committee.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2018, the following performance results under the AICP were considered for award determination purposes:</w:t>
      </w:r>
    </w:p>
    <w:p>
      <w:pPr>
        <w:spacing w:after="0" w:line="131" w:lineRule="exact"/>
        <w:rPr>
          <w:sz w:val="20"/>
          <w:szCs w:val="20"/>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Adjusted EBITDA of $85.1 million versus a budget of $102.0 million (83.4% of budget);</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for our Canadian division of 79.5% of budget;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for our Australian division of 105.4% of budget;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Improvements in total recordable incident rate (“TRIR”) safety performance of 24% and 27% in Canada and Australia, respectively.</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Based on these results, the following AICP payouts were approved by the Compensation Committee. These payouts are stated in U.S. dollars. Mr. McCann’s bonus, which is paid out in Australian dollars, has been converted to U.S. dollars below at an exchange rate of $0.7480 U.S. dollar per Australian dollar, the average exchange rate for 2018. Mr. Schoening’s bonus, which is paid out in Canadian dollars, has been converted to U.S. dollars below at an exchange rate of $0.7719 U.S. dollar per Canadian dollar, the average exchange rate for 2018.</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Business Performance</w:t>
            </w: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Total AICP Payout</w:t>
            </w: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35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Financial</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Safety</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of Target</w:t>
            </w:r>
          </w:p>
        </w:tc>
      </w:tr>
      <w:tr>
        <w:trPr>
          <w:trHeight w:val="228"/>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J.</w:t>
            </w: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$214,338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$214,338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r>
      <w:tr>
        <w:trPr>
          <w:trHeight w:val="237"/>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Dodson</w:t>
            </w:r>
          </w:p>
        </w:tc>
        <w:tc>
          <w:tcPr>
            <w:tcW w:w="3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9"/>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Frank C.</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Chief Financial</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$112,004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$112,004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36%</w:t>
            </w:r>
          </w:p>
        </w:tc>
      </w:tr>
      <w:tr>
        <w:trPr>
          <w:trHeight w:val="23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Steininger</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Officer and Treasurer</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Vice President, Australia</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$86,080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$81,682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$167,762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w:t>
            </w:r>
          </w:p>
        </w:tc>
      </w:tr>
      <w:tr>
        <w:trPr>
          <w:trHeight w:val="229"/>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Allan D.</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Senior Vice President, Canada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$56,859</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$56,859</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36%</w:t>
            </w:r>
          </w:p>
        </w:tc>
      </w:tr>
      <w:tr>
        <w:trPr>
          <w:trHeight w:val="23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Schoening</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2018 Long-Term Incentive Awards</w:t>
      </w:r>
      <w:r>
        <w:rPr>
          <w:rFonts w:ascii="Arial" w:cs="Arial" w:eastAsia="Arial" w:hAnsi="Arial"/>
          <w:sz w:val="18"/>
          <w:szCs w:val="18"/>
          <w:color w:val="auto"/>
        </w:rPr>
        <w:t>. For 2018, Civeo incorporated a combination of performance share awards, restricted stock awards,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units and deferred share awards as long-term incentives to its named executive officers and other key employees. The type and value of award made to individuals in this group took into consideration the following factors:</w:t>
      </w:r>
    </w:p>
    <w:p>
      <w:pPr>
        <w:spacing w:after="0" w:line="87"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LTIP awards approved by the Compensation Committee were made at levels generally consistent with past practice.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9"/>
              </w:rPr>
              <w:t>LTIP Award (#)</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Restricted</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Restricted</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Deferred</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Performance</w:t>
            </w:r>
          </w:p>
        </w:tc>
        <w:tc>
          <w:tcPr>
            <w:tcW w:w="10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Stock price at</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5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Position</w:t>
            </w:r>
          </w:p>
        </w:tc>
        <w:tc>
          <w:tcPr>
            <w:tcW w:w="140" w:type="dxa"/>
            <w:vAlign w:val="bottom"/>
            <w:vMerge w:val="restart"/>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vMerge w:val="continue"/>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Date of Grant</w:t>
            </w:r>
          </w:p>
        </w:tc>
        <w:tc>
          <w:tcPr>
            <w:tcW w:w="10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Valuation (1)</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Share Awards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300,898</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300,899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$2,599,764</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Frank C. Steininger</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w:t>
            </w: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288,420</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134,731</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$1,726,578</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Financial Officer and Treasurer</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62,010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$535,766</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71,856</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71,857</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$620,841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60" w:right="120" w:hanging="330"/>
        <w:spacing w:after="0" w:line="247"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This column shows the full grant date fair value of restricted stock awards, restricted share units, deferred share awards and performance share awards as computed under FASB ASC Topic 718—Stock Compensation and granted to the named executive officers during 2018. Generally, the grant date fair value is the amount that Civeo would expense in its financial statements over the vesting schedule of the awards. For purposes of all awards, other than performance share awards, the value in this column is based upon the stock price on date of grant. For purposes of the performance share awards, the per share grant date fair value was $5.30, which was calculated using a Monte Carlo simulation pricing model. See Note 19 to Civeo’s consolidated financial statements included in its Annual Report on Form 10-K for the year ended December 31, 2018 for additional detail regarding assumptions underlying the value of these awards.</w:t>
      </w:r>
    </w:p>
    <w:p>
      <w:pPr>
        <w:spacing w:after="0" w:line="19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At its January 25, 2018 meeting, the Compensation Committee approved the promotion of Mr. Steininger to Executive Vice President, Chief Financial Officer and Treasurer, effective March 1, 2018. Accompanying this promotion, the Compensation Committee approved a special promotional restricted stock award of 153,689 shares valued at $562,502 that vests in full two years following the date of grant. This special equity award is included in restricted stock awards reported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above. All LTIP awards, other than the performance share awards and Mr. Steininger's special promotional equity award, vest ratably over a 3-year period.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2018, several important corporate initiatives were advanced under Mr. Dodson’s leadership. On the corporate development front, two accretive acquisitions were completed, these being Noralta Lodge in Canada and Lakeland LLC in the United States. Financially, several key objectives were accomplished during the year including free cash flow remaining positive, continued progress made in the pay down of debt and additional amendments to our revolving credit facility were secured. From an operational perspective, strong results were achieved in the areas of cost control and safety performance. In evaluating Mr. Dodson’s performance for the year, the Compensation Committee considered the following specific accomplishments:</w:t>
      </w:r>
    </w:p>
    <w:p>
      <w:pPr>
        <w:spacing w:after="0" w:line="158" w:lineRule="exact"/>
        <w:rPr>
          <w:sz w:val="20"/>
          <w:szCs w:val="20"/>
          <w:color w:val="auto"/>
        </w:rPr>
      </w:pPr>
    </w:p>
    <w:p>
      <w:pPr>
        <w:ind w:left="620" w:hanging="315"/>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Adjusted EBITDA grew by 28%, year-over-year;</w:t>
      </w:r>
    </w:p>
    <w:p>
      <w:pPr>
        <w:spacing w:after="0" w:line="23" w:lineRule="exact"/>
        <w:rPr>
          <w:rFonts w:ascii="Arial" w:cs="Arial" w:eastAsia="Arial" w:hAnsi="Arial"/>
          <w:sz w:val="18"/>
          <w:szCs w:val="18"/>
          <w:color w:val="auto"/>
        </w:rPr>
      </w:pPr>
    </w:p>
    <w:p>
      <w:pPr>
        <w:ind w:left="620" w:hanging="315"/>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Integration of the Noralta acquisition was successfully completed with synergies exceeding plan;</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 over year EBITDA improvement of over $10 million generated by our US businesses;</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payments of $47 million were made during the year; and</w:t>
      </w:r>
    </w:p>
    <w:p>
      <w:pPr>
        <w:spacing w:after="0" w:line="9" w:lineRule="exact"/>
        <w:rPr>
          <w:rFonts w:ascii="Arial" w:cs="Arial" w:eastAsia="Arial" w:hAnsi="Arial"/>
          <w:sz w:val="18"/>
          <w:szCs w:val="18"/>
          <w:color w:val="auto"/>
        </w:rPr>
      </w:pPr>
    </w:p>
    <w:p>
      <w:pPr>
        <w:ind w:left="620" w:right="20" w:hanging="315"/>
        <w:spacing w:after="0" w:line="261"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improvements in safety performance in our Canadian and Australian operations, with total recordable incident rates declining by 24% and 27% respectively, in relation to prior year end incident rates.</w:t>
      </w:r>
    </w:p>
    <w:p>
      <w:pPr>
        <w:spacing w:after="0" w:line="184"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i w:val="1"/>
          <w:iCs w:val="1"/>
          <w:color w:val="auto"/>
        </w:rPr>
        <w:t xml:space="preserve">2018 Compensation. </w:t>
      </w:r>
      <w:r>
        <w:rPr>
          <w:rFonts w:ascii="Arial" w:cs="Arial" w:eastAsia="Arial" w:hAnsi="Arial"/>
          <w:sz w:val="16"/>
          <w:szCs w:val="16"/>
          <w:color w:val="auto"/>
        </w:rPr>
        <w:t>In March 2018, Mr. Dodson’s base salary was adjusted from $575,000 to $600,000 to more closely align with CEO salary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peer group. For 2018, Mr. Dodson’s total direct compensation remained between the 25</w:t>
      </w:r>
      <w:r>
        <w:rPr>
          <w:rFonts w:ascii="Arial" w:cs="Arial" w:eastAsia="Arial" w:hAnsi="Arial"/>
          <w:sz w:val="14"/>
          <w:szCs w:val="14"/>
          <w:color w:val="auto"/>
        </w:rPr>
        <w:t>th</w:t>
      </w:r>
      <w:r>
        <w:rPr>
          <w:rFonts w:ascii="Arial" w:cs="Arial" w:eastAsia="Arial" w:hAnsi="Arial"/>
          <w:sz w:val="16"/>
          <w:szCs w:val="16"/>
          <w:color w:val="auto"/>
        </w:rPr>
        <w:t xml:space="preserve"> and 50</w:t>
      </w:r>
      <w:r>
        <w:rPr>
          <w:rFonts w:ascii="Arial" w:cs="Arial" w:eastAsia="Arial" w:hAnsi="Arial"/>
          <w:sz w:val="14"/>
          <w:szCs w:val="14"/>
          <w:color w:val="auto"/>
        </w:rPr>
        <w:t>th</w:t>
      </w:r>
      <w:r>
        <w:rPr>
          <w:rFonts w:ascii="Arial" w:cs="Arial" w:eastAsia="Arial" w:hAnsi="Arial"/>
          <w:sz w:val="16"/>
          <w:szCs w:val="16"/>
          <w:color w:val="auto"/>
        </w:rPr>
        <w:t xml:space="preserve"> percentile of other CEO’s in our peer group.</w:t>
      </w:r>
    </w:p>
    <w:p>
      <w:pPr>
        <w:spacing w:after="0" w:line="124"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In consideration of 2018 performance results, the Compensation Committee approved an AICP payment of $214,338 for Mr. Dodson reflecting over-target performance for safety results. No AICP payment was made for consolidated financial performance. This payment was approved at the Compensation Committee’s meeting on February 25, 2019 in conjunction with approval of Civeo’s 2018 audited year-end financial results.</w:t>
      </w:r>
    </w:p>
    <w:p>
      <w:pPr>
        <w:spacing w:after="0" w:line="166" w:lineRule="exact"/>
        <w:rPr>
          <w:sz w:val="20"/>
          <w:szCs w:val="20"/>
          <w:color w:val="auto"/>
        </w:rPr>
      </w:pPr>
    </w:p>
    <w:p>
      <w:pPr>
        <w:jc w:val="both"/>
        <w:ind w:right="200" w:firstLine="432"/>
        <w:spacing w:after="0" w:line="288" w:lineRule="auto"/>
        <w:rPr>
          <w:sz w:val="20"/>
          <w:szCs w:val="20"/>
          <w:color w:val="auto"/>
        </w:rPr>
      </w:pPr>
      <w:r>
        <w:rPr>
          <w:rFonts w:ascii="Arial" w:cs="Arial" w:eastAsia="Arial" w:hAnsi="Arial"/>
          <w:sz w:val="16"/>
          <w:szCs w:val="16"/>
          <w:color w:val="auto"/>
        </w:rPr>
        <w:t>Recognizing that Mr. Dodson’s total direct compensation has remained low relative to his peers for the past four years, the Compensation Committee approved an increase in his 2018 long-term incentive award target to $2,010,000 to more equitably position him against other CEO’s in Civeo’s peer group. This award was comprised of performance share and restricted share awards with the target award value split evenly between those two types of awards.</w:t>
      </w:r>
    </w:p>
    <w:p>
      <w:pPr>
        <w:ind w:right="560"/>
        <w:spacing w:after="0" w:line="261" w:lineRule="auto"/>
        <w:rPr>
          <w:sz w:val="20"/>
          <w:szCs w:val="20"/>
          <w:color w:val="auto"/>
        </w:rPr>
      </w:pPr>
      <w:r>
        <w:rPr>
          <w:rFonts w:ascii="Arial" w:cs="Arial" w:eastAsia="Arial" w:hAnsi="Arial"/>
          <w:sz w:val="18"/>
          <w:szCs w:val="18"/>
          <w:color w:val="auto"/>
        </w:rPr>
        <w:t>Performance share awards granted Mr. Dodson vest on the third anniversary of date of grant and are subject to specific performance criteria more fully described above. Time vested awards granted to Mr. Dodson vest equally over three years from the date of grant.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graph describes the composition of Mr. Dodson’s compensation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14605</wp:posOffset>
            </wp:positionV>
            <wp:extent cx="2847340" cy="1663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734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Civeo maintains Executive Agreements with Messrs. Dodson, Steininger and McCann and a Change of Control Agreement with Mr. Schoening. These agreements are not considered long-term employment agreements and as such, U.S. executives are employed “at will” by Civeo. The agreements for Messrs. Dodson, Steininger and McCann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Executive Agreement) of Civeo. Mr. Schoening’s Change of Control Agreement provides protection only following a termination other than for “Cause” during a specified period of time following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81" w:lineRule="exact"/>
        <w:rPr>
          <w:sz w:val="20"/>
          <w:szCs w:val="20"/>
          <w:color w:val="auto"/>
        </w:rPr>
      </w:pPr>
    </w:p>
    <w:p>
      <w:pPr>
        <w:ind w:right="80" w:firstLine="432"/>
        <w:spacing w:after="0" w:line="283" w:lineRule="auto"/>
        <w:rPr>
          <w:sz w:val="20"/>
          <w:szCs w:val="20"/>
          <w:color w:val="auto"/>
        </w:rPr>
      </w:pPr>
      <w:r>
        <w:rPr>
          <w:rFonts w:ascii="Arial" w:cs="Arial" w:eastAsia="Arial" w:hAnsi="Arial"/>
          <w:sz w:val="16"/>
          <w:szCs w:val="16"/>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w:t>
      </w:r>
      <w:r>
        <w:rPr>
          <w:rFonts w:ascii="Arial" w:cs="Arial" w:eastAsia="Arial" w:hAnsi="Arial"/>
          <w:sz w:val="16"/>
          <w:szCs w:val="16"/>
          <w:i w:val="1"/>
          <w:iCs w:val="1"/>
          <w:color w:val="auto"/>
        </w:rPr>
        <w:t>i.e.</w:t>
      </w:r>
      <w:r>
        <w:rPr>
          <w:rFonts w:ascii="Arial" w:cs="Arial" w:eastAsia="Arial" w:hAnsi="Arial"/>
          <w:sz w:val="16"/>
          <w:szCs w:val="16"/>
          <w:color w:val="auto"/>
        </w:rPr>
        <w:t>, a change of control along with a qualifying loss of employment). Where a qualified termination occurs during the protection period following a Change of Control, the agreements provide for a lump-sum payment to the executive officer based on his base salary and target annual incentive amount in place on the date of termination. Under the terms of their Executive Agreements, Messrs. Dodson, Steininger and McCann are each entitled to receive a lump-sum payment equal to two times their base salary and target annual incentive amount if a qualified termination occurs during the protection period following a Change of Control. Where a qualified termination occurs beyond the protection period following a Change of Control, Messrs. Dodson, Steininger and McCann will be entitled to receive a lump-sum payment equal to one year’s base salary and target annual bonus amount as well as other benefits described below. Under the terms of his Change of Control Agreement,</w:t>
      </w:r>
    </w:p>
    <w:p>
      <w:pPr>
        <w:spacing w:after="0" w:line="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Mr. Schoening is entitled to receive a lump-sum payment equal to 1.75 times his base salary and target annual incentive amount if a qualified termination occurs during the 18-month period following a Change of Control. This multiple was increased to 2 times his annual salary and target annual incentive amount accompanying his promotion in November 2018.</w:t>
      </w:r>
    </w:p>
    <w:p>
      <w:pPr>
        <w:spacing w:after="0" w:line="19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In addition, the agreements provide that all restricted stock awards, restricted share units, performance shares, deferred shares, phantom units and options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Steininger, and Schoening, health benefits until the earlier of (i) 36 months (in the case of Mr. Dodson, 24 months (in the case of Mr. Steininger) or 12 months (in the case of Mr. Schoening)) and (ii) the date the executive began receiving comparable benefits from a subsequent employer, (B) in the case of Messrs. Dodson, Steininger, and Schoening, vesting of all employer contributions to our 401(k)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while employed by Oil States International Inc. entitled Mr. Dodson to be made whole for any excise taxes incurred with respect to severance payments that were in excess of the limits set forth under the Internal Revenue Code. No excise tax gross-up protection is available to Mr. Steininger, Mr. McCann or Mr. Schoening. See “Potential Payments Under Termination or Change of Control” in this proxy statement for additional disclosures of severance and Change of Control payments for named executive officers.</w:t>
      </w:r>
    </w:p>
    <w:p>
      <w:pPr>
        <w:spacing w:after="0" w:line="1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Civeo’s Executive Agreements have a term of three years, Mr. Schoening’s Change of Control Agreement has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of the date notice was given. To receive benefits under the Executive Agreement or Change of Control Agreement, the executive officer is required to execute a release of all claims against Civeo.</w:t>
      </w:r>
    </w:p>
    <w:p>
      <w:pPr>
        <w:spacing w:after="0" w:line="18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17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 xml:space="preserve">Dual Employment Contracts. </w:t>
      </w:r>
      <w:r>
        <w:rPr>
          <w:rFonts w:ascii="Arial" w:cs="Arial" w:eastAsia="Arial" w:hAnsi="Arial"/>
          <w:sz w:val="17"/>
          <w:szCs w:val="17"/>
          <w:color w:val="auto"/>
        </w:rPr>
        <w:t>Messrs. Dodson, Steininger and Schoening are all parties to dual employment contracts with Canadian and U.S. legal</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of Civeo. These contracts are in place to permit each such executive to execute contracts and other legal agreements on behalf of entities in either jurisdiction and to work and perform cross-border services on an uninterrupted basis. The terms of these contracts allocate a portion of each such executive’s time to services performed in the United States and Canada and in the case of Messrs. Dodson and Steininger, provide for tax equalization payments intended to put the executive in the same position as if his or her employment income were all earned in the State of Texas.</w:t>
      </w:r>
    </w:p>
    <w:p>
      <w:pPr>
        <w:spacing w:after="0" w:line="17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i w:val="1"/>
          <w:iCs w:val="1"/>
          <w:color w:val="auto"/>
        </w:rPr>
        <w:t xml:space="preserve">Accounting and Tax Considerations. </w:t>
      </w:r>
      <w:r>
        <w:rPr>
          <w:rFonts w:ascii="Arial" w:cs="Arial" w:eastAsia="Arial" w:hAnsi="Arial"/>
          <w:sz w:val="17"/>
          <w:szCs w:val="17"/>
          <w:color w:val="auto"/>
        </w:rPr>
        <w:t>Under Section 162(m) of the Code, a limitation exists on tax deductions of any publicly-held corporation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compensation to certain “covered employees” of such corporation exceeding $1,000,000 in any taxable year. For taxable years beginning after December 31, 2017, the previously existing exemption from Section 162(m)’s deduction limit for certain “performance-based” compensation was repealed for all but certain grandfathered compensation arrangements that were in effect as of November 2, 2017. However, the rules and regulations promulgated under Section 162(m) are complicated and subject to change and the scope of relief for grandfathered arrangements is currently uncertain. As such, there can be no assurance that any compensation awarded will be fully tax deductible.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an executive is entitled to nonqualified deferred compensation benefits that are subject to Section 409A of the Code, and such compensation does not comply with Section 409A, then the benefits are taxable in the first year they are not subject to a substantial risk of forfeiture and are subject to certain additional adverse tax consequences. We intend to design such arrangements to comply with (or be exempt from) Section 409A to the extent that the design is also appropriate for our business goals with respect to those arrangements.</w:t>
      </w:r>
    </w:p>
    <w:p>
      <w:pPr>
        <w:spacing w:after="0" w:line="18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Response to Say-on-Pay Vote</w:t>
      </w:r>
      <w:r>
        <w:rPr>
          <w:rFonts w:ascii="Arial" w:cs="Arial" w:eastAsia="Arial" w:hAnsi="Arial"/>
          <w:sz w:val="18"/>
          <w:szCs w:val="18"/>
          <w:color w:val="auto"/>
        </w:rPr>
        <w:t>. At our 2018 annual meeting, we obtained a 98.5% approval by our shareholders casting votes on our Say on Pay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Our Compensation Committee considered that approval level in making its compensation-related decisions in 2018, but did not make any specific changes to its compensation program as a result of such vote.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Martin A. Lambert,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Constance B. Moore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information regarding compensation paid in respect of specified periods to our named executive officers.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Salary ($)</w:t>
            </w:r>
          </w:p>
        </w:tc>
        <w:tc>
          <w:tcPr>
            <w:tcW w:w="120" w:type="dxa"/>
            <w:vAlign w:val="bottom"/>
            <w:vMerge w:val="restart"/>
          </w:tcPr>
          <w:p>
            <w:pPr>
              <w:spacing w:after="0"/>
              <w:rPr>
                <w:sz w:val="12"/>
                <w:szCs w:val="12"/>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 ($)</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Compensation ($)</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Awards ($)</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Awards ($)</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9"/>
                <w:szCs w:val="9"/>
                <w:b w:val="1"/>
                <w:bCs w:val="1"/>
                <w:color w:val="auto"/>
              </w:rPr>
              <w:t>(5)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8"/>
                <w:szCs w:val="8"/>
                <w:b w:val="1"/>
                <w:bCs w:val="1"/>
                <w:color w:val="auto"/>
                <w:w w:val="96"/>
              </w:rPr>
              <w:t>(6)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Bradley J. Dodson</w:t>
            </w:r>
            <w:r>
              <w:rPr>
                <w:rFonts w:ascii="Arial" w:cs="Arial" w:eastAsia="Arial" w:hAnsi="Arial"/>
                <w:sz w:val="8"/>
                <w:szCs w:val="8"/>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595,385</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2,599,764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214,338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3,433,865</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President and Chief Executive</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575,000</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2,047,890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851,644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38,638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3,513,172</w:t>
            </w:r>
          </w:p>
        </w:tc>
        <w:tc>
          <w:tcPr>
            <w:tcW w:w="0" w:type="dxa"/>
            <w:vAlign w:val="bottom"/>
          </w:tcPr>
          <w:p>
            <w:pPr>
              <w:spacing w:after="0"/>
              <w:rPr>
                <w:sz w:val="1"/>
                <w:szCs w:val="1"/>
                <w:color w:val="auto"/>
              </w:rPr>
            </w:pPr>
          </w:p>
        </w:tc>
      </w:tr>
      <w:tr>
        <w:trPr>
          <w:trHeight w:val="101"/>
        </w:trPr>
        <w:tc>
          <w:tcPr>
            <w:tcW w:w="230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auto"/>
              </w:rPr>
              <w:t>Officer</w:t>
            </w: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520,192</w:t>
            </w:r>
          </w:p>
        </w:tc>
        <w:tc>
          <w:tcPr>
            <w:tcW w:w="120" w:type="dxa"/>
            <w:vAlign w:val="bottom"/>
            <w:shd w:val="clear" w:color="auto" w:fill="CCEEFF"/>
          </w:tcPr>
          <w:p>
            <w:pPr>
              <w:spacing w:after="0"/>
              <w:rPr>
                <w:sz w:val="7"/>
                <w:szCs w:val="7"/>
                <w:color w:val="auto"/>
              </w:rPr>
            </w:pPr>
          </w:p>
        </w:tc>
        <w:tc>
          <w:tcPr>
            <w:tcW w:w="1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2,266,668</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93,635</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126,973</w:t>
            </w: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3,007,468</w:t>
            </w: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2300" w:type="dxa"/>
            <w:vAlign w:val="bottom"/>
          </w:tcPr>
          <w:p>
            <w:pPr>
              <w:ind w:left="40"/>
              <w:spacing w:after="0"/>
              <w:rPr>
                <w:sz w:val="20"/>
                <w:szCs w:val="20"/>
                <w:color w:val="auto"/>
              </w:rPr>
            </w:pPr>
            <w:r>
              <w:rPr>
                <w:rFonts w:ascii="Arial" w:cs="Arial" w:eastAsia="Arial" w:hAnsi="Arial"/>
                <w:sz w:val="14"/>
                <w:szCs w:val="14"/>
                <w:color w:val="auto"/>
              </w:rPr>
              <w:t>Frank C. Steininger</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444,462</w:t>
            </w:r>
          </w:p>
        </w:tc>
        <w:tc>
          <w:tcPr>
            <w:tcW w:w="120" w:type="dxa"/>
            <w:vAlign w:val="bottom"/>
          </w:tcPr>
          <w:p>
            <w:pPr>
              <w:spacing w:after="0"/>
              <w:rPr>
                <w:sz w:val="24"/>
                <w:szCs w:val="2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1,726,578</w:t>
            </w:r>
          </w:p>
        </w:tc>
        <w:tc>
          <w:tcPr>
            <w:tcW w:w="12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112,004</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29,158</w:t>
            </w:r>
          </w:p>
        </w:tc>
        <w:tc>
          <w:tcPr>
            <w:tcW w:w="100" w:type="dxa"/>
            <w:vAlign w:val="bottom"/>
          </w:tcPr>
          <w:p>
            <w:pPr>
              <w:spacing w:after="0"/>
              <w:rPr>
                <w:sz w:val="24"/>
                <w:szCs w:val="2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2,312,202</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00" w:type="dxa"/>
            <w:vAlign w:val="bottom"/>
          </w:tcPr>
          <w:p>
            <w:pPr>
              <w:ind w:left="180"/>
              <w:spacing w:after="0"/>
              <w:rPr>
                <w:sz w:val="20"/>
                <w:szCs w:val="20"/>
                <w:color w:val="auto"/>
              </w:rPr>
            </w:pPr>
            <w:r>
              <w:rPr>
                <w:rFonts w:ascii="Arial" w:cs="Arial" w:eastAsia="Arial" w:hAnsi="Arial"/>
                <w:sz w:val="14"/>
                <w:szCs w:val="14"/>
                <w:i w:val="1"/>
                <w:iCs w:val="1"/>
                <w:color w:val="auto"/>
              </w:rPr>
              <w:t>Executive Vice President, Chief</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416,846</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1,087,892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370,440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31,971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1,907,149</w:t>
            </w:r>
          </w:p>
        </w:tc>
        <w:tc>
          <w:tcPr>
            <w:tcW w:w="0" w:type="dxa"/>
            <w:vAlign w:val="bottom"/>
          </w:tcPr>
          <w:p>
            <w:pPr>
              <w:spacing w:after="0"/>
              <w:rPr>
                <w:sz w:val="1"/>
                <w:szCs w:val="1"/>
                <w:color w:val="auto"/>
              </w:rPr>
            </w:pPr>
          </w:p>
        </w:tc>
      </w:tr>
      <w:tr>
        <w:trPr>
          <w:trHeight w:val="101"/>
        </w:trPr>
        <w:tc>
          <w:tcPr>
            <w:tcW w:w="230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Financial Officer and Treasurer</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1,586,667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48,000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41,107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2,075,774</w:t>
            </w:r>
          </w:p>
        </w:tc>
        <w:tc>
          <w:tcPr>
            <w:tcW w:w="0" w:type="dxa"/>
            <w:vAlign w:val="bottom"/>
          </w:tcPr>
          <w:p>
            <w:pPr>
              <w:spacing w:after="0"/>
              <w:rPr>
                <w:sz w:val="1"/>
                <w:szCs w:val="1"/>
                <w:color w:val="auto"/>
              </w:rPr>
            </w:pPr>
          </w:p>
        </w:tc>
      </w:tr>
      <w:tr>
        <w:trPr>
          <w:trHeight w:val="296"/>
        </w:trPr>
        <w:tc>
          <w:tcPr>
            <w:tcW w:w="230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L. McCann</w:t>
            </w:r>
            <w:r>
              <w:rPr>
                <w:rFonts w:ascii="Arial" w:cs="Arial" w:eastAsia="Arial" w:hAnsi="Arial"/>
                <w:sz w:val="8"/>
                <w:szCs w:val="8"/>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314,160</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535,766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167,762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1,034,325</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Senior Vice President, Australia</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322,098</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522,322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336,718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1,204,344</w:t>
            </w:r>
          </w:p>
        </w:tc>
        <w:tc>
          <w:tcPr>
            <w:tcW w:w="0" w:type="dxa"/>
            <w:vAlign w:val="bottom"/>
          </w:tcPr>
          <w:p>
            <w:pPr>
              <w:spacing w:after="0"/>
              <w:rPr>
                <w:sz w:val="1"/>
                <w:szCs w:val="1"/>
                <w:color w:val="auto"/>
              </w:rPr>
            </w:pPr>
          </w:p>
        </w:tc>
      </w:tr>
      <w:tr>
        <w:trPr>
          <w:trHeight w:val="68"/>
        </w:trPr>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312,438</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946,288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160,369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1,443,343</w:t>
            </w:r>
          </w:p>
        </w:tc>
        <w:tc>
          <w:tcPr>
            <w:tcW w:w="0" w:type="dxa"/>
            <w:vAlign w:val="bottom"/>
          </w:tcPr>
          <w:p>
            <w:pPr>
              <w:spacing w:after="0"/>
              <w:rPr>
                <w:sz w:val="1"/>
                <w:szCs w:val="1"/>
                <w:color w:val="auto"/>
              </w:rPr>
            </w:pPr>
          </w:p>
        </w:tc>
      </w:tr>
      <w:tr>
        <w:trPr>
          <w:trHeight w:val="542"/>
        </w:trPr>
        <w:tc>
          <w:tcPr>
            <w:tcW w:w="2300" w:type="dxa"/>
            <w:vAlign w:val="bottom"/>
          </w:tcPr>
          <w:p>
            <w:pPr>
              <w:ind w:left="40"/>
              <w:spacing w:after="0"/>
              <w:rPr>
                <w:sz w:val="20"/>
                <w:szCs w:val="20"/>
                <w:color w:val="auto"/>
              </w:rPr>
            </w:pPr>
            <w:r>
              <w:rPr>
                <w:rFonts w:ascii="Arial" w:cs="Arial" w:eastAsia="Arial" w:hAnsi="Arial"/>
                <w:sz w:val="14"/>
                <w:szCs w:val="14"/>
                <w:color w:val="auto"/>
              </w:rPr>
              <w:t>Allan D. Schoening</w:t>
            </w:r>
            <w:r>
              <w:rPr>
                <w:rFonts w:ascii="Arial" w:cs="Arial" w:eastAsia="Arial" w:hAnsi="Arial"/>
                <w:sz w:val="8"/>
                <w:szCs w:val="8"/>
                <w:color w:val="auto"/>
              </w:rPr>
              <w:t>(4)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309,552</w:t>
            </w: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620,841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56,859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102,086</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1,089,338</w:t>
            </w: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rPr>
                <w:sz w:val="20"/>
                <w:szCs w:val="20"/>
                <w:color w:val="auto"/>
              </w:rPr>
            </w:pPr>
            <w:r>
              <w:rPr>
                <w:rFonts w:ascii="Arial" w:cs="Arial" w:eastAsia="Arial" w:hAnsi="Arial"/>
                <w:sz w:val="14"/>
                <w:szCs w:val="14"/>
                <w:i w:val="1"/>
                <w:iCs w:val="1"/>
                <w:color w:val="auto"/>
              </w:rPr>
              <w:t>Senior Vice President, Canada</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273,757</w:t>
            </w:r>
          </w:p>
        </w:tc>
        <w:tc>
          <w:tcPr>
            <w:tcW w:w="120" w:type="dxa"/>
            <w:vAlign w:val="bottom"/>
          </w:tcPr>
          <w:p>
            <w:pPr>
              <w:spacing w:after="0"/>
              <w:rPr>
                <w:sz w:val="17"/>
                <w:szCs w:val="17"/>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532,351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202,733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58,242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1,067,083</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245,408</w:t>
            </w:r>
          </w:p>
        </w:tc>
        <w:tc>
          <w:tcPr>
            <w:tcW w:w="120" w:type="dxa"/>
            <w:vAlign w:val="bottom"/>
          </w:tcPr>
          <w:p>
            <w:pPr>
              <w:spacing w:after="0"/>
              <w:rPr>
                <w:sz w:val="23"/>
                <w:szCs w:val="2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60,394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1,205,802</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60" w:right="80" w:hanging="330"/>
        <w:spacing w:after="0" w:line="262"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column represents the dollar amounts, for years shown, of the aggregate grant date fair value of performance share, restricted stock award, restricted share unit, deferred share, and phantom unit awards,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upon the probable outcome of the applicable performance conditions. If the maximum performance level were achieved for the performance shares included in this column, the following amounts would have been included for Messrs. Dodson, Steininger, McCann and Schoening, respectively, $3,189,529, $1,428,149, $657,306 and $761,684.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19 to Civeo’s consolidated financial statements included in its Annual Report on Form 10-K for the year ended December 31, 2018 for additional detail regarding assumptions underlying the value of these awards.</w:t>
      </w:r>
    </w:p>
    <w:p>
      <w:pPr>
        <w:spacing w:after="0" w:line="2" w:lineRule="exact"/>
        <w:rPr>
          <w:rFonts w:ascii="Arial" w:cs="Arial" w:eastAsia="Arial" w:hAnsi="Arial"/>
          <w:sz w:val="13"/>
          <w:szCs w:val="13"/>
          <w:color w:val="auto"/>
        </w:rPr>
      </w:pPr>
    </w:p>
    <w:p>
      <w:pPr>
        <w:ind w:left="460" w:hanging="330"/>
        <w:spacing w:after="0"/>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annual salary reported for Mr. Dodson was adjusted down to $500,000 during 2015, increased to $575,000 during 2016 and to $600,000 during 2018.</w:t>
      </w:r>
    </w:p>
    <w:p>
      <w:pPr>
        <w:spacing w:after="0" w:line="1" w:lineRule="exact"/>
        <w:rPr>
          <w:rFonts w:ascii="Arial" w:cs="Arial" w:eastAsia="Arial" w:hAnsi="Arial"/>
          <w:sz w:val="14"/>
          <w:szCs w:val="14"/>
          <w:color w:val="auto"/>
        </w:rPr>
      </w:pPr>
    </w:p>
    <w:p>
      <w:pPr>
        <w:ind w:left="460" w:right="180" w:hanging="330"/>
        <w:spacing w:after="0" w:line="241"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2018, 2017, and 2016 was $0.7480, $0.7669, and $0.7439 respectively.</w:t>
      </w:r>
    </w:p>
    <w:p>
      <w:pPr>
        <w:ind w:left="460" w:right="120" w:hanging="330"/>
        <w:spacing w:after="0" w:line="241"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2018, 2017 and 2016 was $0.7719, $0.7712 and $0.7551 respectively.</w:t>
      </w:r>
    </w:p>
    <w:p>
      <w:pPr>
        <w:ind w:left="460" w:right="620" w:hanging="330"/>
        <w:spacing w:after="0" w:line="260"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Amounts for “Non-Equity Incentive Plan Compensation” paid to each of the named executive officers were made pursuant to Civeo’s AICP and were paid in 2017, 2018 and 2019, respectively. For a description of Civeo’s plan, see “Compensation Discussion and Analysis—Compensation Program Components—Short-Term Incentive Plan.”</w:t>
      </w:r>
    </w:p>
    <w:p>
      <w:pPr>
        <w:ind w:left="460" w:hanging="330"/>
        <w:spacing w:after="0"/>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shown in the “All Other Compensation” column reflect the following for each Named Executive Officer: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Non-Registered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Savings Plan</w:t>
            </w:r>
          </w:p>
        </w:tc>
        <w:tc>
          <w:tcPr>
            <w:tcW w:w="13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Dividends ($)</w:t>
            </w:r>
            <w:r>
              <w:rPr>
                <w:rFonts w:ascii="Arial" w:cs="Arial" w:eastAsia="Arial" w:hAnsi="Arial"/>
                <w:sz w:val="8"/>
                <w:szCs w:val="8"/>
                <w:b w:val="1"/>
                <w:bCs w:val="1"/>
                <w:color w:val="auto"/>
              </w:rPr>
              <w:t>(b)</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Other ($)</w:t>
            </w:r>
            <w:r>
              <w:rPr>
                <w:rFonts w:ascii="Arial" w:cs="Arial" w:eastAsia="Arial" w:hAnsi="Arial"/>
                <w:sz w:val="8"/>
                <w:szCs w:val="8"/>
                <w:b w:val="1"/>
                <w:bCs w:val="1"/>
                <w:color w:val="auto"/>
              </w:rPr>
              <w:t>(c)</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9"/>
              </w:rPr>
              <w:t>Plan Match ($)</w:t>
            </w:r>
            <w:r>
              <w:rPr>
                <w:rFonts w:ascii="Arial" w:cs="Arial" w:eastAsia="Arial" w:hAnsi="Arial"/>
                <w:sz w:val="8"/>
                <w:szCs w:val="8"/>
                <w:b w:val="1"/>
                <w:bCs w:val="1"/>
                <w:color w:val="auto"/>
                <w:w w:val="99"/>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Match ($)(a)</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Bradley J. Dodson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12/31/2018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13,750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24,378</w:t>
            </w:r>
          </w:p>
        </w:tc>
        <w:tc>
          <w:tcPr>
            <w:tcW w:w="0" w:type="dxa"/>
            <w:vAlign w:val="bottom"/>
          </w:tcPr>
          <w:p>
            <w:pPr>
              <w:spacing w:after="0"/>
              <w:rPr>
                <w:sz w:val="1"/>
                <w:szCs w:val="1"/>
                <w:color w:val="auto"/>
              </w:rPr>
            </w:pPr>
          </w:p>
        </w:tc>
      </w:tr>
      <w:tr>
        <w:trPr>
          <w:trHeight w:val="23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Frank C. Steininger</w:t>
            </w:r>
          </w:p>
        </w:tc>
        <w:tc>
          <w:tcPr>
            <w:tcW w:w="1380" w:type="dxa"/>
            <w:vAlign w:val="bottom"/>
          </w:tcPr>
          <w:p>
            <w:pPr>
              <w:jc w:val="right"/>
              <w:spacing w:after="0"/>
              <w:rPr>
                <w:sz w:val="20"/>
                <w:szCs w:val="20"/>
                <w:color w:val="auto"/>
              </w:rPr>
            </w:pPr>
            <w:r>
              <w:rPr>
                <w:rFonts w:ascii="Arial" w:cs="Arial" w:eastAsia="Arial" w:hAnsi="Arial"/>
                <w:sz w:val="16"/>
                <w:szCs w:val="16"/>
                <w:color w:val="auto"/>
              </w:rPr>
              <w:t>12/31/2018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13,750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15,408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29,158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Peter L. McCann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12/31/2018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15,177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16,637</w:t>
            </w:r>
          </w:p>
        </w:tc>
        <w:tc>
          <w:tcPr>
            <w:tcW w:w="0" w:type="dxa"/>
            <w:vAlign w:val="bottom"/>
          </w:tcPr>
          <w:p>
            <w:pPr>
              <w:spacing w:after="0"/>
              <w:rPr>
                <w:sz w:val="1"/>
                <w:szCs w:val="1"/>
                <w:color w:val="auto"/>
              </w:rPr>
            </w:pPr>
          </w:p>
        </w:tc>
      </w:tr>
      <w:tr>
        <w:trPr>
          <w:trHeight w:val="23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Allan D. Schoening</w:t>
            </w:r>
          </w:p>
        </w:tc>
        <w:tc>
          <w:tcPr>
            <w:tcW w:w="1380" w:type="dxa"/>
            <w:vAlign w:val="bottom"/>
          </w:tcPr>
          <w:p>
            <w:pPr>
              <w:jc w:val="right"/>
              <w:spacing w:after="0"/>
              <w:rPr>
                <w:sz w:val="20"/>
                <w:szCs w:val="20"/>
                <w:color w:val="auto"/>
              </w:rPr>
            </w:pPr>
            <w:r>
              <w:rPr>
                <w:rFonts w:ascii="Arial" w:cs="Arial" w:eastAsia="Arial" w:hAnsi="Arial"/>
                <w:sz w:val="16"/>
                <w:szCs w:val="16"/>
                <w:color w:val="auto"/>
              </w:rPr>
              <w:t>12/31/2018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10,228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15,340</w:t>
            </w:r>
          </w:p>
        </w:tc>
        <w:tc>
          <w:tcPr>
            <w:tcW w:w="120" w:type="dxa"/>
            <w:vAlign w:val="bottom"/>
          </w:tcPr>
          <w:p>
            <w:pPr>
              <w:spacing w:after="0"/>
              <w:rPr>
                <w:sz w:val="20"/>
                <w:szCs w:val="20"/>
                <w:color w:val="auto"/>
              </w:rPr>
            </w:pP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76,517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102,085</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60" w:hanging="330"/>
        <w:spacing w:after="0" w:line="264"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matching contributions allocated by Civeo, as applicable, to Messrs. Dodson, Steininger and Schoening pursuant to the 401(k) Retirement Plan and Canadian Retirement Plan, as more fully described in “Compensation Discussion and Analysis Compensation Program 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2" w:lineRule="exact"/>
        <w:rPr>
          <w:rFonts w:ascii="Arial" w:cs="Arial" w:eastAsia="Arial" w:hAnsi="Arial"/>
          <w:sz w:val="13"/>
          <w:szCs w:val="13"/>
          <w:color w:val="auto"/>
        </w:rPr>
      </w:pPr>
    </w:p>
    <w:p>
      <w:pPr>
        <w:ind w:left="460" w:hanging="330"/>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 dividends were paid in 2018 on any long-term incentive awards.</w:t>
      </w:r>
    </w:p>
    <w:p>
      <w:pPr>
        <w:spacing w:after="0" w:line="1" w:lineRule="exact"/>
        <w:rPr>
          <w:rFonts w:ascii="Arial" w:cs="Arial" w:eastAsia="Arial" w:hAnsi="Arial"/>
          <w:sz w:val="14"/>
          <w:szCs w:val="14"/>
          <w:color w:val="auto"/>
        </w:rPr>
      </w:pPr>
    </w:p>
    <w:p>
      <w:pPr>
        <w:ind w:left="460" w:right="60" w:hanging="330"/>
        <w:spacing w:after="0" w:line="255"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shown in the “Other” column for Mr. Dodson include $1,856 in imputed income attributable to life insurance benefits and $8,772 in Canadian taxes paid by Civeo in relation to his Dual Employment contract. The amounts in the “Other” column for Mr. Steininger include $4,200 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460"/>
        <w:spacing w:after="0" w:line="398" w:lineRule="auto"/>
        <w:rPr>
          <w:sz w:val="20"/>
          <w:szCs w:val="20"/>
          <w:color w:val="auto"/>
        </w:rPr>
      </w:pPr>
      <w:r>
        <w:rPr>
          <w:rFonts w:ascii="Arial" w:cs="Arial" w:eastAsia="Arial" w:hAnsi="Arial"/>
          <w:sz w:val="14"/>
          <w:szCs w:val="14"/>
          <w:color w:val="auto"/>
        </w:rPr>
        <w:t>imputed income attributable to life insurance benefits and $11,208 in Canadian taxes paid by Civeo on his behalf in relation to his Dual Employment contract. The amounts in “Other” for Mr. Schoening and Mr. McCann are attributable payments made under the Company’s Free Cash Flow Incentive Plan for 2017, which were paid in 2018. Also included for Mr. Schoening is a one-time transaction related bonus.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 FOR 2018</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equity and non-equity awards granted to our named executive officers in 2018.</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jc w:val="center"/>
              <w:ind w:left="39"/>
              <w:spacing w:after="0"/>
              <w:rPr>
                <w:sz w:val="20"/>
                <w:szCs w:val="20"/>
                <w:color w:val="auto"/>
              </w:rPr>
            </w:pPr>
            <w:r>
              <w:rPr>
                <w:rFonts w:ascii="Arial" w:cs="Arial" w:eastAsia="Arial" w:hAnsi="Arial"/>
                <w:sz w:val="13"/>
                <w:szCs w:val="13"/>
                <w:b w:val="1"/>
                <w:bCs w:val="1"/>
                <w:color w:val="auto"/>
                <w:w w:val="90"/>
              </w:rPr>
              <w:t>All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7"/>
            <w:vMerge w:val="restart"/>
          </w:tcPr>
          <w:p>
            <w:pPr>
              <w:jc w:val="center"/>
              <w:ind w:left="377"/>
              <w:spacing w:after="0"/>
              <w:rPr>
                <w:sz w:val="20"/>
                <w:szCs w:val="20"/>
                <w:color w:val="auto"/>
              </w:rPr>
            </w:pPr>
            <w:r>
              <w:rPr>
                <w:rFonts w:ascii="Arial" w:cs="Arial" w:eastAsia="Arial" w:hAnsi="Arial"/>
                <w:sz w:val="13"/>
                <w:szCs w:val="13"/>
                <w:b w:val="1"/>
                <w:bCs w:val="1"/>
                <w:color w:val="auto"/>
                <w:w w:val="87"/>
              </w:rPr>
              <w:t>Estimated Future Payouts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104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auto"/>
                <w:w w:val="84"/>
              </w:rPr>
              <w:t>Stock</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7"/>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60" w:type="dxa"/>
            <w:vAlign w:val="bottom"/>
            <w:gridSpan w:val="5"/>
            <w:vMerge w:val="continue"/>
          </w:tcPr>
          <w:p>
            <w:pPr>
              <w:spacing w:after="0"/>
              <w:rPr>
                <w:sz w:val="4"/>
                <w:szCs w:val="4"/>
                <w:color w:val="auto"/>
              </w:rPr>
            </w:pPr>
          </w:p>
        </w:tc>
        <w:tc>
          <w:tcPr>
            <w:tcW w:w="1040" w:type="dxa"/>
            <w:vAlign w:val="bottom"/>
            <w:vMerge w:val="restart"/>
          </w:tcPr>
          <w:p>
            <w:pPr>
              <w:jc w:val="center"/>
              <w:ind w:left="39"/>
              <w:spacing w:after="0" w:line="135" w:lineRule="exact"/>
              <w:rPr>
                <w:sz w:val="20"/>
                <w:szCs w:val="20"/>
                <w:color w:val="auto"/>
              </w:rPr>
            </w:pPr>
            <w:r>
              <w:rPr>
                <w:rFonts w:ascii="Arial" w:cs="Arial" w:eastAsia="Arial" w:hAnsi="Arial"/>
                <w:sz w:val="13"/>
                <w:szCs w:val="13"/>
                <w:b w:val="1"/>
                <w:bCs w:val="1"/>
                <w:color w:val="auto"/>
                <w:w w:val="89"/>
              </w:rPr>
              <w:t>Awards:</w:t>
            </w: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40" w:type="dxa"/>
            <w:vAlign w:val="bottom"/>
            <w:gridSpan w:val="7"/>
            <w:vMerge w:val="restart"/>
          </w:tcPr>
          <w:p>
            <w:pPr>
              <w:ind w:left="480"/>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60" w:type="dxa"/>
            <w:vAlign w:val="bottom"/>
            <w:gridSpan w:val="5"/>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 Plan</w:t>
            </w: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gridSpan w:val="7"/>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60" w:type="dxa"/>
            <w:vAlign w:val="bottom"/>
            <w:gridSpan w:val="5"/>
            <w:vMerge w:val="continue"/>
          </w:tcPr>
          <w:p>
            <w:pPr>
              <w:spacing w:after="0"/>
              <w:rPr>
                <w:sz w:val="4"/>
                <w:szCs w:val="4"/>
                <w:color w:val="auto"/>
              </w:rPr>
            </w:pPr>
          </w:p>
        </w:tc>
        <w:tc>
          <w:tcPr>
            <w:tcW w:w="1040" w:type="dxa"/>
            <w:vAlign w:val="bottom"/>
            <w:vMerge w:val="restart"/>
          </w:tcPr>
          <w:p>
            <w:pPr>
              <w:jc w:val="center"/>
              <w:ind w:left="39"/>
              <w:spacing w:after="0"/>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4"/>
                <w:szCs w:val="4"/>
                <w:color w:val="auto"/>
              </w:rPr>
            </w:pPr>
          </w:p>
        </w:tc>
        <w:tc>
          <w:tcPr>
            <w:tcW w:w="78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8"/>
                <w:szCs w:val="8"/>
                <w:b w:val="1"/>
                <w:bCs w:val="1"/>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8"/>
                <w:szCs w:val="8"/>
                <w:b w:val="1"/>
                <w:bCs w:val="1"/>
                <w:color w:val="auto"/>
                <w:w w:val="91"/>
              </w:rPr>
              <w:t>(2)</w:t>
            </w:r>
          </w:p>
        </w:tc>
        <w:tc>
          <w:tcPr>
            <w:tcW w:w="7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40" w:type="dxa"/>
            <w:vAlign w:val="bottom"/>
          </w:tcPr>
          <w:p>
            <w:pPr>
              <w:jc w:val="center"/>
              <w:ind w:left="39"/>
              <w:spacing w:after="0" w:line="70" w:lineRule="exact"/>
              <w:rPr>
                <w:sz w:val="20"/>
                <w:szCs w:val="20"/>
                <w:color w:val="auto"/>
              </w:rPr>
            </w:pPr>
            <w:r>
              <w:rPr>
                <w:rFonts w:ascii="Arial" w:cs="Arial" w:eastAsia="Arial" w:hAnsi="Arial"/>
                <w:sz w:val="8"/>
                <w:szCs w:val="8"/>
                <w:b w:val="1"/>
                <w:bCs w:val="1"/>
                <w:color w:val="auto"/>
              </w:rPr>
              <w:t>Shares of</w:t>
            </w:r>
          </w:p>
        </w:tc>
        <w:tc>
          <w:tcPr>
            <w:tcW w:w="200" w:type="dxa"/>
            <w:vAlign w:val="bottom"/>
          </w:tcPr>
          <w:p>
            <w:pPr>
              <w:spacing w:after="0"/>
              <w:rPr>
                <w:sz w:val="6"/>
                <w:szCs w:val="6"/>
                <w:color w:val="auto"/>
              </w:rPr>
            </w:pPr>
          </w:p>
        </w:tc>
        <w:tc>
          <w:tcPr>
            <w:tcW w:w="780" w:type="dxa"/>
            <w:vAlign w:val="bottom"/>
          </w:tcPr>
          <w:p>
            <w:pPr>
              <w:jc w:val="center"/>
              <w:ind w:right="38"/>
              <w:spacing w:after="0" w:line="70"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auto"/>
                <w:w w:val="88"/>
              </w:rPr>
              <w:t>Stock or</w:t>
            </w:r>
          </w:p>
        </w:tc>
        <w:tc>
          <w:tcPr>
            <w:tcW w:w="200" w:type="dxa"/>
            <w:vAlign w:val="bottom"/>
          </w:tcPr>
          <w:p>
            <w:pPr>
              <w:spacing w:after="0"/>
              <w:rPr>
                <w:sz w:val="11"/>
                <w:szCs w:val="11"/>
                <w:color w:val="auto"/>
              </w:rPr>
            </w:pPr>
          </w:p>
        </w:tc>
        <w:tc>
          <w:tcPr>
            <w:tcW w:w="7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Target</w:t>
            </w: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Maximum</w:t>
            </w:r>
          </w:p>
        </w:tc>
        <w:tc>
          <w:tcPr>
            <w:tcW w:w="9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Threshold</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Target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Maximum</w:t>
            </w:r>
          </w:p>
        </w:tc>
        <w:tc>
          <w:tcPr>
            <w:tcW w:w="104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auto"/>
                <w:w w:val="92"/>
              </w:rPr>
              <w:t>Units</w:t>
            </w:r>
          </w:p>
        </w:tc>
        <w:tc>
          <w:tcPr>
            <w:tcW w:w="200" w:type="dxa"/>
            <w:vAlign w:val="bottom"/>
          </w:tcPr>
          <w:p>
            <w:pPr>
              <w:spacing w:after="0"/>
              <w:rPr>
                <w:sz w:val="11"/>
                <w:szCs w:val="11"/>
                <w:color w:val="auto"/>
              </w:rPr>
            </w:pPr>
          </w:p>
        </w:tc>
        <w:tc>
          <w:tcPr>
            <w:tcW w:w="78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Award Type</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Grant Date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CCEEFF"/>
            </w:tcBorders>
          </w:tcPr>
          <w:p>
            <w:pPr>
              <w:jc w:val="center"/>
              <w:ind w:left="39"/>
              <w:spacing w:after="0" w:line="180" w:lineRule="exact"/>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b w:val="1"/>
                <w:bCs w:val="1"/>
                <w:color w:val="auto"/>
                <w:w w:val="87"/>
                <w:vertAlign w:val="superscript"/>
              </w:rPr>
              <w:t>(3)</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center"/>
              <w:ind w:right="58"/>
              <w:spacing w:after="0" w:line="180" w:lineRule="exact"/>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b w:val="1"/>
                <w:bCs w:val="1"/>
                <w:color w:val="auto"/>
                <w:w w:val="87"/>
                <w:vertAlign w:val="superscript"/>
              </w:rPr>
              <w:t>(4)</w:t>
            </w: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Bradley J. Dodson</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AICP</w:t>
            </w:r>
          </w:p>
        </w:tc>
        <w:tc>
          <w:tcPr>
            <w:tcW w:w="11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600,000</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6"/>
              </w:rPr>
              <w:t>1,200,000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160" w:type="dxa"/>
            <w:vAlign w:val="bottom"/>
            <w:gridSpan w:val="3"/>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300,898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1,004,999</w:t>
            </w:r>
          </w:p>
        </w:tc>
        <w:tc>
          <w:tcPr>
            <w:tcW w:w="0" w:type="dxa"/>
            <w:vAlign w:val="bottom"/>
          </w:tcPr>
          <w:p>
            <w:pPr>
              <w:spacing w:after="0"/>
              <w:rPr>
                <w:sz w:val="1"/>
                <w:szCs w:val="1"/>
                <w:color w:val="auto"/>
              </w:rPr>
            </w:pPr>
          </w:p>
        </w:tc>
      </w:tr>
      <w:tr>
        <w:trPr>
          <w:trHeight w:val="286"/>
        </w:trPr>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Performance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300,899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601,798</w:t>
            </w: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1,594,765</w:t>
            </w:r>
          </w:p>
        </w:tc>
        <w:tc>
          <w:tcPr>
            <w:tcW w:w="0" w:type="dxa"/>
            <w:vAlign w:val="bottom"/>
          </w:tcPr>
          <w:p>
            <w:pPr>
              <w:spacing w:after="0"/>
              <w:rPr>
                <w:sz w:val="1"/>
                <w:szCs w:val="1"/>
                <w:color w:val="auto"/>
              </w:rPr>
            </w:pPr>
          </w:p>
        </w:tc>
      </w:tr>
      <w:tr>
        <w:trPr>
          <w:trHeight w:val="173"/>
        </w:trPr>
        <w:tc>
          <w:tcPr>
            <w:tcW w:w="1620" w:type="dxa"/>
            <w:vAlign w:val="bottom"/>
          </w:tcPr>
          <w:p>
            <w:pPr>
              <w:ind w:left="40"/>
              <w:spacing w:after="0"/>
              <w:rPr>
                <w:sz w:val="20"/>
                <w:szCs w:val="20"/>
                <w:color w:val="auto"/>
              </w:rPr>
            </w:pPr>
            <w:r>
              <w:rPr>
                <w:rFonts w:ascii="Arial" w:cs="Arial" w:eastAsia="Arial" w:hAnsi="Arial"/>
                <w:sz w:val="13"/>
                <w:szCs w:val="13"/>
                <w:color w:val="auto"/>
              </w:rPr>
              <w:t>Frank C. Steininger</w:t>
            </w:r>
          </w:p>
        </w:tc>
        <w:tc>
          <w:tcPr>
            <w:tcW w:w="120" w:type="dxa"/>
            <w:vAlign w:val="bottom"/>
          </w:tcPr>
          <w:p>
            <w:pPr>
              <w:spacing w:after="0"/>
              <w:rPr>
                <w:sz w:val="15"/>
                <w:szCs w:val="15"/>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AICP</w:t>
            </w: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315,000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5"/>
                <w:szCs w:val="15"/>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630,000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Restricted Stock</w:t>
            </w:r>
          </w:p>
        </w:tc>
        <w:tc>
          <w:tcPr>
            <w:tcW w:w="920" w:type="dxa"/>
            <w:vAlign w:val="bottom"/>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134,731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450,002</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Restricted Stock</w:t>
            </w:r>
          </w:p>
        </w:tc>
        <w:tc>
          <w:tcPr>
            <w:tcW w:w="920" w:type="dxa"/>
            <w:vAlign w:val="bottom"/>
          </w:tcPr>
          <w:p>
            <w:pPr>
              <w:jc w:val="right"/>
              <w:spacing w:after="0"/>
              <w:rPr>
                <w:sz w:val="20"/>
                <w:szCs w:val="20"/>
                <w:color w:val="auto"/>
              </w:rPr>
            </w:pPr>
            <w:r>
              <w:rPr>
                <w:rFonts w:ascii="Arial" w:cs="Arial" w:eastAsia="Arial" w:hAnsi="Arial"/>
                <w:sz w:val="13"/>
                <w:szCs w:val="13"/>
                <w:color w:val="auto"/>
              </w:rPr>
              <w:t>3/1/2018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153,689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562,502</w:t>
            </w:r>
          </w:p>
        </w:tc>
        <w:tc>
          <w:tcPr>
            <w:tcW w:w="0" w:type="dxa"/>
            <w:vAlign w:val="bottom"/>
          </w:tcPr>
          <w:p>
            <w:pPr>
              <w:spacing w:after="0"/>
              <w:rPr>
                <w:sz w:val="1"/>
                <w:szCs w:val="1"/>
                <w:color w:val="auto"/>
              </w:rPr>
            </w:pPr>
          </w:p>
        </w:tc>
      </w:tr>
      <w:tr>
        <w:trPr>
          <w:trHeight w:val="278"/>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Performance Shares</w:t>
            </w:r>
          </w:p>
        </w:tc>
        <w:tc>
          <w:tcPr>
            <w:tcW w:w="920" w:type="dxa"/>
            <w:vAlign w:val="bottom"/>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134,731</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269,462</w:t>
            </w:r>
          </w:p>
        </w:tc>
        <w:tc>
          <w:tcPr>
            <w:tcW w:w="10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714,074</w:t>
            </w:r>
          </w:p>
        </w:tc>
        <w:tc>
          <w:tcPr>
            <w:tcW w:w="0" w:type="dxa"/>
            <w:vAlign w:val="bottom"/>
          </w:tcPr>
          <w:p>
            <w:pPr>
              <w:spacing w:after="0"/>
              <w:rPr>
                <w:sz w:val="1"/>
                <w:szCs w:val="1"/>
                <w:color w:val="auto"/>
              </w:rPr>
            </w:pPr>
          </w:p>
        </w:tc>
      </w:tr>
      <w:tr>
        <w:trPr>
          <w:trHeight w:val="26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Peter L. McCann</w:t>
            </w:r>
            <w:r>
              <w:rPr>
                <w:rFonts w:ascii="Arial" w:cs="Arial" w:eastAsia="Arial" w:hAnsi="Arial"/>
                <w:sz w:val="8"/>
                <w:szCs w:val="8"/>
                <w:color w:val="auto"/>
              </w:rPr>
              <w:t>(5)</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AICP</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204,204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5"/>
              </w:rPr>
              <w:t>408,408</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62,010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207,113</w:t>
            </w:r>
          </w:p>
        </w:tc>
        <w:tc>
          <w:tcPr>
            <w:tcW w:w="0" w:type="dxa"/>
            <w:vAlign w:val="bottom"/>
          </w:tcPr>
          <w:p>
            <w:pPr>
              <w:spacing w:after="0"/>
              <w:rPr>
                <w:sz w:val="1"/>
                <w:szCs w:val="1"/>
                <w:color w:val="auto"/>
              </w:rPr>
            </w:pPr>
          </w:p>
        </w:tc>
      </w:tr>
      <w:tr>
        <w:trPr>
          <w:trHeight w:val="286"/>
        </w:trPr>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Performance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62,010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124,020</w:t>
            </w: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328,653</w:t>
            </w:r>
          </w:p>
        </w:tc>
        <w:tc>
          <w:tcPr>
            <w:tcW w:w="0" w:type="dxa"/>
            <w:vAlign w:val="bottom"/>
          </w:tcPr>
          <w:p>
            <w:pPr>
              <w:spacing w:after="0"/>
              <w:rPr>
                <w:sz w:val="1"/>
                <w:szCs w:val="1"/>
                <w:color w:val="auto"/>
              </w:rPr>
            </w:pPr>
          </w:p>
        </w:tc>
      </w:tr>
      <w:tr>
        <w:trPr>
          <w:trHeight w:val="254"/>
        </w:trPr>
        <w:tc>
          <w:tcPr>
            <w:tcW w:w="1620" w:type="dxa"/>
            <w:vAlign w:val="bottom"/>
          </w:tcPr>
          <w:p>
            <w:pPr>
              <w:ind w:left="40"/>
              <w:spacing w:after="0"/>
              <w:rPr>
                <w:sz w:val="20"/>
                <w:szCs w:val="20"/>
                <w:color w:val="auto"/>
              </w:rPr>
            </w:pPr>
            <w:r>
              <w:rPr>
                <w:rFonts w:ascii="Arial" w:cs="Arial" w:eastAsia="Arial" w:hAnsi="Arial"/>
                <w:sz w:val="13"/>
                <w:szCs w:val="13"/>
                <w:color w:val="auto"/>
              </w:rPr>
              <w:t>Allan D. Schoening</w:t>
            </w:r>
            <w:r>
              <w:rPr>
                <w:rFonts w:ascii="Arial" w:cs="Arial" w:eastAsia="Arial" w:hAnsi="Arial"/>
                <w:sz w:val="8"/>
                <w:szCs w:val="8"/>
                <w:color w:val="auto"/>
              </w:rPr>
              <w:t>(6)</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AICP</w:t>
            </w:r>
          </w:p>
        </w:tc>
        <w:tc>
          <w:tcPr>
            <w:tcW w:w="1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154,380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85"/>
              </w:rPr>
              <w:t>308,760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Restricted Stock</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Units</w:t>
            </w:r>
          </w:p>
        </w:tc>
        <w:tc>
          <w:tcPr>
            <w:tcW w:w="920" w:type="dxa"/>
            <w:vAlign w:val="bottom"/>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71,856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239,999</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Performance Shares</w:t>
            </w:r>
          </w:p>
        </w:tc>
        <w:tc>
          <w:tcPr>
            <w:tcW w:w="920" w:type="dxa"/>
            <w:vAlign w:val="bottom"/>
          </w:tcPr>
          <w:p>
            <w:pPr>
              <w:jc w:val="right"/>
              <w:spacing w:after="0"/>
              <w:rPr>
                <w:sz w:val="20"/>
                <w:szCs w:val="20"/>
                <w:color w:val="auto"/>
              </w:rPr>
            </w:pPr>
            <w:r>
              <w:rPr>
                <w:rFonts w:ascii="Arial" w:cs="Arial" w:eastAsia="Arial" w:hAnsi="Arial"/>
                <w:sz w:val="13"/>
                <w:szCs w:val="13"/>
                <w:color w:val="auto"/>
              </w:rPr>
              <w:t>2/20/2018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71,857</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143,714</w:t>
            </w:r>
          </w:p>
        </w:tc>
        <w:tc>
          <w:tcPr>
            <w:tcW w:w="10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380,842</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60" w:right="120" w:hanging="330"/>
        <w:spacing w:after="0" w:line="245"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shown in the columns “Threshold”, “Target” and “Maximum” reflect the threshold, target and overachievement levels of bonus payable under the AICP (see discussion in “Compensation Discussion and Analysis—Compensation Program Components—Short-Term Incentive Plan”), which is based on an executive’s base salary paid during the year multiplied by the executive’s applicable bonus percentage for that level. The base salary used in this table is the base salary in effect as of December 31, 2018;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ind w:left="460" w:right="20" w:hanging="330"/>
        <w:spacing w:after="0" w:line="241"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potential number of shares that may be earned under 2018 grants under our Performance Share Awards Program based on our relative TSR over the applicable three-year performance period (see discussion in “Compensation Discussion and Analysis- Compensation Program Components-Performance Share Award Program”). Earned shares will vest in full on the third anniversary of the grant date.</w:t>
      </w:r>
    </w:p>
    <w:p>
      <w:pPr>
        <w:spacing w:after="0" w:line="1" w:lineRule="exact"/>
        <w:rPr>
          <w:rFonts w:ascii="Arial" w:cs="Arial" w:eastAsia="Arial" w:hAnsi="Arial"/>
          <w:sz w:val="14"/>
          <w:szCs w:val="14"/>
          <w:color w:val="auto"/>
        </w:rPr>
      </w:pPr>
    </w:p>
    <w:p>
      <w:pPr>
        <w:ind w:left="460" w:hanging="330"/>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following tables summarizes the awards included in the “All Other Stock Awards” column: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Award</w:t>
            </w:r>
          </w:p>
        </w:tc>
        <w:tc>
          <w:tcPr>
            <w:tcW w:w="120" w:type="dxa"/>
            <w:vAlign w:val="bottom"/>
            <w:vMerge w:val="restart"/>
          </w:tcPr>
          <w:p>
            <w:pPr>
              <w:spacing w:after="0"/>
              <w:rPr>
                <w:sz w:val="14"/>
                <w:szCs w:val="14"/>
                <w:color w:val="auto"/>
              </w:rPr>
            </w:pPr>
          </w:p>
        </w:tc>
        <w:tc>
          <w:tcPr>
            <w:tcW w:w="26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Vesting Details</w:t>
            </w:r>
          </w:p>
        </w:tc>
        <w:tc>
          <w:tcPr>
            <w:tcW w:w="120" w:type="dxa"/>
            <w:vAlign w:val="bottom"/>
            <w:vMerge w:val="restart"/>
          </w:tcPr>
          <w:p>
            <w:pPr>
              <w:spacing w:after="0"/>
              <w:rPr>
                <w:sz w:val="14"/>
                <w:szCs w:val="14"/>
                <w:color w:val="auto"/>
              </w:rPr>
            </w:pPr>
          </w:p>
        </w:tc>
        <w:tc>
          <w:tcPr>
            <w:tcW w:w="1740" w:type="dxa"/>
            <w:vAlign w:val="bottom"/>
            <w:gridSpan w:val="2"/>
          </w:tcPr>
          <w:p>
            <w:pPr>
              <w:ind w:left="480"/>
              <w:spacing w:after="0"/>
              <w:rPr>
                <w:sz w:val="20"/>
                <w:szCs w:val="20"/>
                <w:color w:val="auto"/>
              </w:rPr>
            </w:pPr>
            <w:r>
              <w:rPr>
                <w:rFonts w:ascii="Arial" w:cs="Arial" w:eastAsia="Arial" w:hAnsi="Arial"/>
                <w:sz w:val="14"/>
                <w:szCs w:val="14"/>
                <w:b w:val="1"/>
                <w:bCs w:val="1"/>
                <w:color w:val="auto"/>
              </w:rPr>
              <w:t>Bradley J.</w:t>
            </w:r>
          </w:p>
        </w:tc>
        <w:tc>
          <w:tcPr>
            <w:tcW w:w="1700" w:type="dxa"/>
            <w:vAlign w:val="bottom"/>
            <w:gridSpan w:val="2"/>
          </w:tcPr>
          <w:p>
            <w:pPr>
              <w:ind w:left="500"/>
              <w:spacing w:after="0"/>
              <w:rPr>
                <w:sz w:val="20"/>
                <w:szCs w:val="20"/>
                <w:color w:val="auto"/>
              </w:rPr>
            </w:pPr>
            <w:r>
              <w:rPr>
                <w:rFonts w:ascii="Arial" w:cs="Arial" w:eastAsia="Arial" w:hAnsi="Arial"/>
                <w:sz w:val="14"/>
                <w:szCs w:val="14"/>
                <w:b w:val="1"/>
                <w:bCs w:val="1"/>
                <w:color w:val="auto"/>
              </w:rPr>
              <w:t>Frank C.</w:t>
            </w: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Peter L.</w:t>
            </w: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Allan D.</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Dodson</w:t>
            </w:r>
          </w:p>
        </w:tc>
        <w:tc>
          <w:tcPr>
            <w:tcW w:w="1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Steininger</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McCann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Schoening</w:t>
            </w:r>
          </w:p>
        </w:tc>
        <w:tc>
          <w:tcPr>
            <w:tcW w:w="0" w:type="dxa"/>
            <w:vAlign w:val="bottom"/>
          </w:tcPr>
          <w:p>
            <w:pPr>
              <w:spacing w:after="0"/>
              <w:rPr>
                <w:sz w:val="1"/>
                <w:szCs w:val="1"/>
                <w:color w:val="auto"/>
              </w:rPr>
            </w:pPr>
          </w:p>
        </w:tc>
      </w:tr>
      <w:tr>
        <w:trPr>
          <w:trHeight w:val="156"/>
        </w:trPr>
        <w:tc>
          <w:tcPr>
            <w:tcW w:w="19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Restricted Stock Award</w:t>
            </w:r>
          </w:p>
        </w:tc>
        <w:tc>
          <w:tcPr>
            <w:tcW w:w="27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Vest annually at a rate of one-third per year</w:t>
            </w:r>
          </w:p>
        </w:tc>
        <w:tc>
          <w:tcPr>
            <w:tcW w:w="16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300,898</w:t>
            </w:r>
          </w:p>
        </w:tc>
        <w:tc>
          <w:tcPr>
            <w:tcW w:w="14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288,420</w:t>
            </w: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on each of the first three anniversaries of the</w:t>
            </w:r>
          </w:p>
        </w:tc>
        <w:tc>
          <w:tcPr>
            <w:tcW w:w="1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grant date</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Deferred Share Award</w:t>
            </w:r>
          </w:p>
        </w:tc>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Vest annually at a rate of one-third per year</w:t>
            </w:r>
          </w:p>
        </w:tc>
        <w:tc>
          <w:tcPr>
            <w:tcW w:w="17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62,010</w:t>
            </w:r>
          </w:p>
        </w:tc>
        <w:tc>
          <w:tcPr>
            <w:tcW w:w="100" w:type="dxa"/>
            <w:vAlign w:val="bottom"/>
          </w:tcPr>
          <w:p>
            <w:pPr>
              <w:spacing w:after="0"/>
              <w:rPr>
                <w:sz w:val="13"/>
                <w:szCs w:val="13"/>
                <w:color w:val="auto"/>
              </w:rPr>
            </w:pPr>
          </w:p>
        </w:tc>
        <w:tc>
          <w:tcPr>
            <w:tcW w:w="15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7"/>
              </w:rPr>
              <w:t>on each of the first three anniversaries of the</w:t>
            </w: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2"/>
          </w:tcPr>
          <w:p>
            <w:pPr>
              <w:ind w:left="40"/>
              <w:spacing w:after="0"/>
              <w:rPr>
                <w:sz w:val="20"/>
                <w:szCs w:val="20"/>
                <w:color w:val="auto"/>
              </w:rPr>
            </w:pPr>
            <w:r>
              <w:rPr>
                <w:rFonts w:ascii="Arial" w:cs="Arial" w:eastAsia="Arial" w:hAnsi="Arial"/>
                <w:sz w:val="14"/>
                <w:szCs w:val="14"/>
                <w:color w:val="auto"/>
              </w:rPr>
              <w:t>grant date</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Stock Unit</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Vest annually at a rate of one-third per year</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71,856</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on each of the first three anniversaries of the</w:t>
            </w:r>
          </w:p>
        </w:tc>
        <w:tc>
          <w:tcPr>
            <w:tcW w:w="1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grant date</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right="80" w:hanging="330"/>
        <w:spacing w:after="0" w:line="286" w:lineRule="auto"/>
        <w:tabs>
          <w:tab w:leader="none" w:pos="4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This column shows the full grant date fair value of performance share awards (at target performance, which was the probable outcome of the performance conditions as of the grant date), restricted stock awards, restricted share units, phantom unit awards and deferred share awards computed under FASB ASC Topic 718—Stock Compensation and granted to the named executive officers during 2018. Generally, the full grant date fair value is the amount that Civeo would expense in its financial statements over the vesting schedule of the awards. For purposes of the performance share awards, the per share fair value of the awards of $5.30 was calculated using a Monte Carlo simulation pricing model. See Note 19 to Civeo’s consolidated financial statements included in its Annual Report on Form 10-K for the year ended December 31, 2018 for additional detail regarding assumptions underlying the value of these awards.</w:t>
      </w:r>
    </w:p>
    <w:p>
      <w:pPr>
        <w:ind w:left="460" w:right="580" w:hanging="330"/>
        <w:spacing w:after="0" w:line="241"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McCann’s AICP award amounts were paid in Australian dollars and are reflected in this table in U.S. dollars using an average exchange rate for 2018 of $0.7480 U.S. dollar per Australian dollar.</w:t>
      </w:r>
    </w:p>
    <w:p>
      <w:pPr>
        <w:ind w:left="460" w:right="520" w:hanging="330"/>
        <w:spacing w:after="0" w:line="255"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Schoening’s AICP award amounts were paid in Canadian dollars and are reflected in this table in U.S. dollars using an average exchange rate for 2018 of $0.7719 U.S. dollar per Canadian dollar.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229"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2018. The market value of the share awards is based on the closing market price of Civeo’s common shares as of December 28, 2018, which was $1.43.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Share Awards</w:t>
            </w:r>
          </w:p>
        </w:tc>
        <w:tc>
          <w:tcPr>
            <w:tcW w:w="1020" w:type="dxa"/>
            <w:vAlign w:val="bottom"/>
            <w:tcBorders>
              <w:bottom w:val="single" w:sz="8" w:color="auto"/>
            </w:tcBorders>
          </w:tcPr>
          <w:p>
            <w:pPr>
              <w:spacing w:after="0"/>
              <w:rPr>
                <w:sz w:val="15"/>
                <w:szCs w:val="15"/>
                <w:color w:val="auto"/>
              </w:rPr>
            </w:pPr>
          </w:p>
        </w:tc>
      </w:tr>
      <w:tr>
        <w:trPr>
          <w:trHeight w:val="144"/>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5"/>
              </w:rPr>
              <w:t>Equity</w:t>
            </w: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Equity</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8"/>
              </w:rPr>
              <w:t>Incentive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4"/>
              </w:rPr>
              <w:t>Plan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Awards: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Market</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Value of</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Unearned</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3"/>
              </w:rPr>
              <w:t>Shares or</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Shares or</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3"/>
              </w:rPr>
              <w:t>Shares or</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Unearned</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Units 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Units of</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Units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Shares or</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4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Stock that</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Stock that</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Stock that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4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5"/>
              </w:rPr>
              <w:t>Exercise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8"/>
              </w:rPr>
              <w:t>Have Not</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Have Not</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5"/>
              </w:rPr>
              <w:t>Have Not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Stock that</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4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79"/>
              </w:rPr>
              <w:t>Vested</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Vested</w:t>
            </w:r>
          </w:p>
        </w:tc>
        <w:tc>
          <w:tcPr>
            <w:tcW w:w="13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79"/>
              </w:rPr>
              <w:t>Vested</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r>
      <w:tr>
        <w:trPr>
          <w:trHeight w:val="174"/>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4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Bradley J. Dodson</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13,777</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w w:val="90"/>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2/17/2021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22,961</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w w:val="90"/>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2/16/2022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18,369</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w w:val="90"/>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18,369</w:t>
            </w: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w w:val="90"/>
              </w:rPr>
              <w:t>(4)</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9"/>
                <w:szCs w:val="9"/>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2118360" cy="2409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8360" cy="2409825"/>
                    </a:xfrm>
                    <a:prstGeom prst="rect">
                      <a:avLst/>
                    </a:prstGeom>
                    <a:noFill/>
                  </pic:spPr>
                </pic:pic>
              </a:graphicData>
            </a:graphic>
          </wp:anchor>
        </w:drawing>
      </w:r>
    </w:p>
    <w:tbl>
      <w:tblPr>
        <w:tblLayout w:type="fixed"/>
        <w:tblInd w:w="3340" w:type="dxa"/>
        <w:tblCellMar>
          <w:top w:w="0" w:type="dxa"/>
          <w:left w:w="0" w:type="dxa"/>
          <w:bottom w:w="0" w:type="dxa"/>
          <w:right w:w="0" w:type="dxa"/>
        </w:tblCellMar>
      </w:tblPr>
      <w:tr>
        <w:trPr>
          <w:trHeight w:val="238"/>
        </w:trPr>
        <w:tc>
          <w:tcPr>
            <w:tcW w:w="4380" w:type="dxa"/>
            <w:vAlign w:val="bottom"/>
            <w:shd w:val="clear" w:color="auto" w:fill="CCEEFF"/>
          </w:tcPr>
          <w:p>
            <w:pPr>
              <w:jc w:val="center"/>
              <w:ind w:left="3388"/>
              <w:spacing w:after="0"/>
              <w:rPr>
                <w:sz w:val="20"/>
                <w:szCs w:val="20"/>
                <w:color w:val="auto"/>
              </w:rPr>
            </w:pPr>
            <w:r>
              <w:rPr>
                <w:rFonts w:ascii="Arial" w:cs="Arial" w:eastAsia="Arial" w:hAnsi="Arial"/>
                <w:sz w:val="14"/>
                <w:szCs w:val="14"/>
                <w:color w:val="auto"/>
                <w:w w:val="93"/>
              </w:rPr>
              <w:t>39,820</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56,943</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70"/>
        </w:trPr>
        <w:tc>
          <w:tcPr>
            <w:tcW w:w="4380" w:type="dxa"/>
            <w:vAlign w:val="bottom"/>
            <w:shd w:val="clear" w:color="auto" w:fill="CCEEFF"/>
          </w:tcPr>
          <w:p>
            <w:pPr>
              <w:jc w:val="center"/>
              <w:ind w:left="3388"/>
              <w:spacing w:after="0"/>
              <w:rPr>
                <w:sz w:val="20"/>
                <w:szCs w:val="20"/>
                <w:color w:val="auto"/>
              </w:rPr>
            </w:pPr>
            <w:r>
              <w:rPr>
                <w:rFonts w:ascii="Arial" w:cs="Arial" w:eastAsia="Arial" w:hAnsi="Arial"/>
                <w:sz w:val="14"/>
                <w:szCs w:val="14"/>
                <w:color w:val="auto"/>
                <w:w w:val="93"/>
              </w:rPr>
              <w:t>39,820</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(6)</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56,943</w:t>
            </w: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4380" w:type="dxa"/>
            <w:vAlign w:val="bottom"/>
            <w:shd w:val="clear" w:color="auto" w:fill="CCEEFF"/>
          </w:tcPr>
          <w:p>
            <w:pPr>
              <w:jc w:val="center"/>
              <w:ind w:left="3388"/>
              <w:spacing w:after="0"/>
              <w:rPr>
                <w:sz w:val="20"/>
                <w:szCs w:val="20"/>
                <w:color w:val="auto"/>
              </w:rPr>
            </w:pPr>
            <w:r>
              <w:rPr>
                <w:rFonts w:ascii="Arial" w:cs="Arial" w:eastAsia="Arial" w:hAnsi="Arial"/>
                <w:sz w:val="14"/>
                <w:szCs w:val="14"/>
                <w:color w:val="auto"/>
                <w:w w:val="93"/>
              </w:rPr>
              <w:t>92,593</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98"/>
              </w:rPr>
              <w:t>132,408</w:t>
            </w: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4380" w:type="dxa"/>
            <w:vAlign w:val="bottom"/>
            <w:shd w:val="clear" w:color="auto" w:fill="CCEEFF"/>
          </w:tcPr>
          <w:p>
            <w:pPr>
              <w:jc w:val="center"/>
              <w:ind w:left="3388"/>
              <w:spacing w:after="0"/>
              <w:rPr>
                <w:sz w:val="20"/>
                <w:szCs w:val="20"/>
                <w:color w:val="auto"/>
              </w:rPr>
            </w:pPr>
            <w:r>
              <w:rPr>
                <w:rFonts w:ascii="Arial" w:cs="Arial" w:eastAsia="Arial" w:hAnsi="Arial"/>
                <w:sz w:val="14"/>
                <w:szCs w:val="14"/>
                <w:color w:val="auto"/>
                <w:w w:val="93"/>
              </w:rPr>
              <w:t>92,593</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98"/>
              </w:rPr>
              <w:t>132,408</w:t>
            </w: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4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555,556</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794,445</w:t>
            </w:r>
          </w:p>
        </w:tc>
      </w:tr>
      <w:tr>
        <w:trPr>
          <w:trHeight w:val="270"/>
        </w:trPr>
        <w:tc>
          <w:tcPr>
            <w:tcW w:w="43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0"/>
              </w:rPr>
              <w:t>120,891</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98"/>
              </w:rPr>
              <w:t>172,874</w:t>
            </w: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4380" w:type="dxa"/>
            <w:vAlign w:val="bottom"/>
            <w:shd w:val="clear" w:color="auto" w:fill="CCEEFF"/>
          </w:tcPr>
          <w:p>
            <w:pPr>
              <w:jc w:val="center"/>
              <w:ind w:left="3388"/>
              <w:spacing w:after="0"/>
              <w:rPr>
                <w:sz w:val="20"/>
                <w:szCs w:val="20"/>
                <w:color w:val="auto"/>
              </w:rPr>
            </w:pPr>
            <w:r>
              <w:rPr>
                <w:rFonts w:ascii="Arial" w:cs="Arial" w:eastAsia="Arial" w:hAnsi="Arial"/>
                <w:sz w:val="14"/>
                <w:szCs w:val="14"/>
                <w:color w:val="auto"/>
                <w:w w:val="93"/>
              </w:rPr>
              <w:t>40,297</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57,625</w:t>
            </w: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4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241,782</w:t>
            </w:r>
          </w:p>
        </w:tc>
        <w:tc>
          <w:tcPr>
            <w:tcW w:w="440" w:type="dxa"/>
            <w:vAlign w:val="bottom"/>
            <w:shd w:val="clear" w:color="auto" w:fill="CCEEFF"/>
          </w:tcPr>
          <w:p>
            <w:pPr>
              <w:ind w:left="120"/>
              <w:spacing w:after="0"/>
              <w:rPr>
                <w:sz w:val="20"/>
                <w:szCs w:val="20"/>
                <w:color w:val="auto"/>
              </w:rPr>
            </w:pPr>
            <w:r>
              <w:rPr>
                <w:rFonts w:ascii="Arial" w:cs="Arial" w:eastAsia="Arial" w:hAnsi="Arial"/>
                <w:sz w:val="9"/>
                <w:szCs w:val="9"/>
                <w:color w:val="auto"/>
              </w:rPr>
              <w:t>(12)</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345,748</w:t>
            </w:r>
          </w:p>
        </w:tc>
      </w:tr>
      <w:tr>
        <w:trPr>
          <w:trHeight w:val="270"/>
        </w:trPr>
        <w:tc>
          <w:tcPr>
            <w:tcW w:w="43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0"/>
              </w:rPr>
              <w:t>300,898</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98"/>
              </w:rPr>
              <w:t>430,284</w:t>
            </w: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82"/>
        </w:trPr>
        <w:tc>
          <w:tcPr>
            <w:tcW w:w="4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300,899</w:t>
            </w:r>
          </w:p>
        </w:tc>
        <w:tc>
          <w:tcPr>
            <w:tcW w:w="440" w:type="dxa"/>
            <w:vAlign w:val="bottom"/>
            <w:shd w:val="clear" w:color="auto" w:fill="CCEEFF"/>
          </w:tcPr>
          <w:p>
            <w:pPr>
              <w:ind w:left="120"/>
              <w:spacing w:after="0"/>
              <w:rPr>
                <w:sz w:val="20"/>
                <w:szCs w:val="20"/>
                <w:color w:val="auto"/>
              </w:rPr>
            </w:pPr>
            <w:r>
              <w:rPr>
                <w:rFonts w:ascii="Arial" w:cs="Arial" w:eastAsia="Arial" w:hAnsi="Arial"/>
                <w:sz w:val="9"/>
                <w:szCs w:val="9"/>
                <w:color w:val="auto"/>
              </w:rPr>
              <w:t>(14)</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430,286</w:t>
            </w: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r>
              <w:rPr>
                <w:rFonts w:ascii="Arial" w:cs="Arial" w:eastAsia="Arial" w:hAnsi="Arial"/>
                <w:sz w:val="16"/>
                <w:szCs w:val="16"/>
                <w:color w:val="auto"/>
              </w:rPr>
              <w:t>Frank C. Steininger</w:t>
            </w:r>
          </w:p>
        </w:tc>
        <w:tc>
          <w:tcPr>
            <w:tcW w:w="3280" w:type="dxa"/>
            <w:vAlign w:val="bottom"/>
          </w:tcPr>
          <w:p>
            <w:pPr>
              <w:jc w:val="right"/>
              <w:spacing w:after="0"/>
              <w:rPr>
                <w:sz w:val="20"/>
                <w:szCs w:val="20"/>
                <w:color w:val="auto"/>
              </w:rPr>
            </w:pPr>
            <w:r>
              <w:rPr>
                <w:rFonts w:ascii="Arial" w:cs="Arial" w:eastAsia="Arial" w:hAnsi="Arial"/>
                <w:sz w:val="14"/>
                <w:szCs w:val="14"/>
                <w:color w:val="auto"/>
              </w:rPr>
              <w:t>24,238</w:t>
            </w:r>
          </w:p>
        </w:tc>
      </w:tr>
      <w:tr>
        <w:trPr>
          <w:trHeight w:val="270"/>
        </w:trPr>
        <w:tc>
          <w:tcPr>
            <w:tcW w:w="414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Arial" w:cs="Arial" w:eastAsia="Arial" w:hAnsi="Arial"/>
                <w:sz w:val="14"/>
                <w:szCs w:val="14"/>
                <w:color w:val="auto"/>
              </w:rPr>
              <w:t>24,239</w:t>
            </w:r>
          </w:p>
        </w:tc>
      </w:tr>
      <w:tr>
        <w:trPr>
          <w:trHeight w:val="270"/>
        </w:trPr>
        <w:tc>
          <w:tcPr>
            <w:tcW w:w="414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Arial" w:cs="Arial" w:eastAsia="Arial" w:hAnsi="Arial"/>
                <w:sz w:val="14"/>
                <w:szCs w:val="14"/>
                <w:color w:val="auto"/>
              </w:rPr>
              <w:t>64,814</w:t>
            </w:r>
          </w:p>
        </w:tc>
      </w:tr>
      <w:tr>
        <w:trPr>
          <w:trHeight w:val="270"/>
        </w:trPr>
        <w:tc>
          <w:tcPr>
            <w:tcW w:w="414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Arial" w:cs="Arial" w:eastAsia="Arial" w:hAnsi="Arial"/>
                <w:sz w:val="14"/>
                <w:szCs w:val="14"/>
                <w:color w:val="auto"/>
              </w:rPr>
              <w:t>64,815</w:t>
            </w:r>
          </w:p>
        </w:tc>
      </w:tr>
    </w:tbl>
    <w:p>
      <w:pPr>
        <w:spacing w:after="0" w:line="358" w:lineRule="exact"/>
        <w:rPr>
          <w:sz w:val="20"/>
          <w:szCs w:val="20"/>
          <w:color w:val="auto"/>
        </w:rPr>
      </w:pPr>
    </w:p>
    <w:p>
      <w:pPr>
        <w:ind w:left="7060"/>
        <w:spacing w:after="0"/>
        <w:rPr>
          <w:sz w:val="20"/>
          <w:szCs w:val="20"/>
          <w:color w:val="auto"/>
        </w:rPr>
      </w:pPr>
      <w:r>
        <w:rPr>
          <w:rFonts w:ascii="Arial" w:cs="Arial" w:eastAsia="Arial" w:hAnsi="Arial"/>
          <w:sz w:val="14"/>
          <w:szCs w:val="14"/>
          <w:color w:val="auto"/>
        </w:rPr>
        <w:t>64,220</w:t>
      </w:r>
    </w:p>
    <w:p>
      <w:pPr>
        <w:spacing w:after="0" w:line="109" w:lineRule="exact"/>
        <w:rPr>
          <w:sz w:val="20"/>
          <w:szCs w:val="20"/>
          <w:color w:val="auto"/>
        </w:rPr>
      </w:pPr>
    </w:p>
    <w:p>
      <w:pPr>
        <w:ind w:left="7060"/>
        <w:spacing w:after="0"/>
        <w:rPr>
          <w:sz w:val="20"/>
          <w:szCs w:val="20"/>
          <w:color w:val="auto"/>
        </w:rPr>
      </w:pPr>
      <w:r>
        <w:rPr>
          <w:rFonts w:ascii="Arial" w:cs="Arial" w:eastAsia="Arial" w:hAnsi="Arial"/>
          <w:sz w:val="14"/>
          <w:szCs w:val="14"/>
          <w:color w:val="auto"/>
        </w:rPr>
        <w:t>21,407</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134,731</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153,689</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460" w:hanging="453"/>
        <w:spacing w:after="0"/>
        <w:tabs>
          <w:tab w:leader="none" w:pos="460" w:val="left"/>
        </w:tabs>
        <w:numPr>
          <w:ilvl w:val="0"/>
          <w:numId w:val="42"/>
        </w:numPr>
        <w:rPr>
          <w:rFonts w:ascii="Arial" w:cs="Arial" w:eastAsia="Arial" w:hAnsi="Arial"/>
          <w:sz w:val="9"/>
          <w:szCs w:val="9"/>
          <w:color w:val="auto"/>
        </w:rPr>
      </w:pPr>
      <w:r>
        <w:rPr>
          <w:rFonts w:ascii="Arial" w:cs="Arial" w:eastAsia="Arial" w:hAnsi="Arial"/>
          <w:sz w:val="14"/>
          <w:szCs w:val="14"/>
          <w:color w:val="auto"/>
        </w:rPr>
        <w:t>$   34,660</w:t>
      </w:r>
    </w:p>
    <w:p>
      <w:pPr>
        <w:spacing w:after="0" w:line="109" w:lineRule="exact"/>
        <w:rPr>
          <w:rFonts w:ascii="Arial" w:cs="Arial" w:eastAsia="Arial" w:hAnsi="Arial"/>
          <w:sz w:val="9"/>
          <w:szCs w:val="9"/>
          <w:color w:val="auto"/>
        </w:rPr>
      </w:pPr>
    </w:p>
    <w:p>
      <w:pPr>
        <w:ind w:left="460" w:hanging="453"/>
        <w:spacing w:after="0"/>
        <w:tabs>
          <w:tab w:leader="none" w:pos="460" w:val="left"/>
        </w:tabs>
        <w:numPr>
          <w:ilvl w:val="0"/>
          <w:numId w:val="42"/>
        </w:numPr>
        <w:rPr>
          <w:rFonts w:ascii="Arial" w:cs="Arial" w:eastAsia="Arial" w:hAnsi="Arial"/>
          <w:sz w:val="9"/>
          <w:szCs w:val="9"/>
          <w:color w:val="auto"/>
        </w:rPr>
      </w:pPr>
      <w:r>
        <w:rPr>
          <w:rFonts w:ascii="Arial" w:cs="Arial" w:eastAsia="Arial" w:hAnsi="Arial"/>
          <w:sz w:val="14"/>
          <w:szCs w:val="14"/>
          <w:color w:val="auto"/>
        </w:rPr>
        <w:t>$   34,662</w:t>
      </w:r>
    </w:p>
    <w:p>
      <w:pPr>
        <w:spacing w:after="0" w:line="109" w:lineRule="exact"/>
        <w:rPr>
          <w:rFonts w:ascii="Arial" w:cs="Arial" w:eastAsia="Arial" w:hAnsi="Arial"/>
          <w:sz w:val="9"/>
          <w:szCs w:val="9"/>
          <w:color w:val="auto"/>
        </w:rPr>
      </w:pPr>
    </w:p>
    <w:p>
      <w:pPr>
        <w:ind w:left="460" w:hanging="453"/>
        <w:spacing w:after="0"/>
        <w:tabs>
          <w:tab w:leader="none" w:pos="460" w:val="left"/>
        </w:tabs>
        <w:numPr>
          <w:ilvl w:val="0"/>
          <w:numId w:val="42"/>
        </w:numPr>
        <w:rPr>
          <w:rFonts w:ascii="Arial" w:cs="Arial" w:eastAsia="Arial" w:hAnsi="Arial"/>
          <w:sz w:val="9"/>
          <w:szCs w:val="9"/>
          <w:color w:val="auto"/>
        </w:rPr>
      </w:pPr>
      <w:r>
        <w:rPr>
          <w:rFonts w:ascii="Arial" w:cs="Arial" w:eastAsia="Arial" w:hAnsi="Arial"/>
          <w:sz w:val="14"/>
          <w:szCs w:val="14"/>
          <w:color w:val="auto"/>
        </w:rPr>
        <w:t>$   92,684</w:t>
      </w:r>
    </w:p>
    <w:p>
      <w:pPr>
        <w:spacing w:after="0" w:line="109" w:lineRule="exact"/>
        <w:rPr>
          <w:rFonts w:ascii="Arial" w:cs="Arial" w:eastAsia="Arial" w:hAnsi="Arial"/>
          <w:sz w:val="9"/>
          <w:szCs w:val="9"/>
          <w:color w:val="auto"/>
        </w:rPr>
      </w:pPr>
    </w:p>
    <w:p>
      <w:pPr>
        <w:ind w:left="460" w:hanging="453"/>
        <w:spacing w:after="0"/>
        <w:tabs>
          <w:tab w:leader="none" w:pos="460" w:val="left"/>
        </w:tabs>
        <w:numPr>
          <w:ilvl w:val="0"/>
          <w:numId w:val="42"/>
        </w:numPr>
        <w:rPr>
          <w:rFonts w:ascii="Arial" w:cs="Arial" w:eastAsia="Arial" w:hAnsi="Arial"/>
          <w:sz w:val="9"/>
          <w:szCs w:val="9"/>
          <w:color w:val="auto"/>
        </w:rPr>
      </w:pPr>
      <w:r>
        <w:rPr>
          <w:rFonts w:ascii="Arial" w:cs="Arial" w:eastAsia="Arial" w:hAnsi="Arial"/>
          <w:sz w:val="14"/>
          <w:szCs w:val="14"/>
          <w:color w:val="auto"/>
        </w:rPr>
        <w:t>$   92,685</w:t>
      </w:r>
    </w:p>
    <w:p>
      <w:pPr>
        <w:spacing w:after="0" w:line="62" w:lineRule="exact"/>
        <w:rPr>
          <w:sz w:val="20"/>
          <w:szCs w:val="20"/>
          <w:color w:val="auto"/>
        </w:rPr>
      </w:pPr>
    </w:p>
    <w:p>
      <w:pPr>
        <w:jc w:val="both"/>
        <w:ind w:left="1540"/>
        <w:spacing w:after="0"/>
        <w:tabs>
          <w:tab w:leader="none" w:pos="2220" w:val="left"/>
          <w:tab w:leader="none" w:pos="2680" w:val="left"/>
          <w:tab w:leader="none" w:pos="3100" w:val="left"/>
        </w:tabs>
        <w:rPr>
          <w:sz w:val="20"/>
          <w:szCs w:val="20"/>
          <w:color w:val="auto"/>
        </w:rPr>
      </w:pPr>
      <w:r>
        <w:rPr>
          <w:rFonts w:ascii="Arial" w:cs="Arial" w:eastAsia="Arial" w:hAnsi="Arial"/>
          <w:sz w:val="14"/>
          <w:szCs w:val="14"/>
          <w:color w:val="auto"/>
        </w:rPr>
        <w:t>388,889</w:t>
      </w:r>
      <w:r>
        <w:rPr>
          <w:sz w:val="20"/>
          <w:szCs w:val="20"/>
          <w:color w:val="auto"/>
        </w:rPr>
        <w:tab/>
      </w:r>
      <w:r>
        <w:rPr>
          <w:rFonts w:ascii="Arial" w:cs="Arial" w:eastAsia="Arial" w:hAnsi="Arial"/>
          <w:sz w:val="9"/>
          <w:szCs w:val="9"/>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556,111</w:t>
      </w:r>
    </w:p>
    <w:p>
      <w:pPr>
        <w:spacing w:after="0" w:line="109" w:lineRule="exact"/>
        <w:rPr>
          <w:sz w:val="20"/>
          <w:szCs w:val="20"/>
          <w:color w:val="auto"/>
        </w:rPr>
      </w:pPr>
    </w:p>
    <w:p>
      <w:pPr>
        <w:ind w:left="460" w:hanging="453"/>
        <w:spacing w:after="0"/>
        <w:tabs>
          <w:tab w:leader="none" w:pos="460" w:val="left"/>
        </w:tabs>
        <w:numPr>
          <w:ilvl w:val="0"/>
          <w:numId w:val="43"/>
        </w:numPr>
        <w:rPr>
          <w:rFonts w:ascii="Arial" w:cs="Arial" w:eastAsia="Arial" w:hAnsi="Arial"/>
          <w:sz w:val="9"/>
          <w:szCs w:val="9"/>
          <w:color w:val="auto"/>
        </w:rPr>
      </w:pPr>
      <w:r>
        <w:rPr>
          <w:rFonts w:ascii="Arial" w:cs="Arial" w:eastAsia="Arial" w:hAnsi="Arial"/>
          <w:sz w:val="14"/>
          <w:szCs w:val="14"/>
          <w:color w:val="auto"/>
        </w:rPr>
        <w:t>$   91,835</w:t>
      </w:r>
    </w:p>
    <w:p>
      <w:pPr>
        <w:spacing w:after="0" w:line="109" w:lineRule="exact"/>
        <w:rPr>
          <w:rFonts w:ascii="Arial" w:cs="Arial" w:eastAsia="Arial" w:hAnsi="Arial"/>
          <w:sz w:val="9"/>
          <w:szCs w:val="9"/>
          <w:color w:val="auto"/>
        </w:rPr>
      </w:pPr>
    </w:p>
    <w:p>
      <w:pPr>
        <w:ind w:left="460" w:hanging="453"/>
        <w:spacing w:after="0"/>
        <w:tabs>
          <w:tab w:leader="none" w:pos="460" w:val="left"/>
        </w:tabs>
        <w:numPr>
          <w:ilvl w:val="0"/>
          <w:numId w:val="43"/>
        </w:numPr>
        <w:rPr>
          <w:rFonts w:ascii="Arial" w:cs="Arial" w:eastAsia="Arial" w:hAnsi="Arial"/>
          <w:sz w:val="9"/>
          <w:szCs w:val="9"/>
          <w:color w:val="auto"/>
        </w:rPr>
      </w:pPr>
      <w:r>
        <w:rPr>
          <w:rFonts w:ascii="Arial" w:cs="Arial" w:eastAsia="Arial" w:hAnsi="Arial"/>
          <w:sz w:val="14"/>
          <w:szCs w:val="14"/>
          <w:color w:val="auto"/>
        </w:rPr>
        <w:t>$   30,612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128,441</w:t>
            </w:r>
          </w:p>
        </w:tc>
        <w:tc>
          <w:tcPr>
            <w:tcW w:w="420" w:type="dxa"/>
            <w:vAlign w:val="bottom"/>
          </w:tcPr>
          <w:p>
            <w:pPr>
              <w:jc w:val="right"/>
              <w:ind w:right="95"/>
              <w:spacing w:after="0"/>
              <w:rPr>
                <w:sz w:val="20"/>
                <w:szCs w:val="20"/>
                <w:color w:val="auto"/>
              </w:rPr>
            </w:pPr>
            <w:r>
              <w:rPr>
                <w:rFonts w:ascii="Arial" w:cs="Arial" w:eastAsia="Arial" w:hAnsi="Arial"/>
                <w:sz w:val="9"/>
                <w:szCs w:val="9"/>
                <w:color w:val="auto"/>
              </w:rPr>
              <w:t>(12)</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183,671</w:t>
            </w:r>
          </w:p>
        </w:tc>
      </w:tr>
      <w:tr>
        <w:trPr>
          <w:trHeight w:val="270"/>
        </w:trPr>
        <w:tc>
          <w:tcPr>
            <w:tcW w:w="300" w:type="dxa"/>
            <w:vAlign w:val="bottom"/>
          </w:tcPr>
          <w:p>
            <w:pPr>
              <w:jc w:val="right"/>
              <w:ind w:right="95"/>
              <w:spacing w:after="0"/>
              <w:rPr>
                <w:sz w:val="20"/>
                <w:szCs w:val="20"/>
                <w:color w:val="auto"/>
              </w:rPr>
            </w:pPr>
            <w:r>
              <w:rPr>
                <w:rFonts w:ascii="Arial" w:cs="Arial" w:eastAsia="Arial" w:hAnsi="Arial"/>
                <w:sz w:val="9"/>
                <w:szCs w:val="9"/>
                <w:color w:val="auto"/>
                <w:w w:val="87"/>
              </w:rPr>
              <w:t>(13)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48"/>
              <w:spacing w:after="0"/>
              <w:rPr>
                <w:sz w:val="20"/>
                <w:szCs w:val="20"/>
                <w:color w:val="auto"/>
              </w:rPr>
            </w:pPr>
            <w:r>
              <w:rPr>
                <w:rFonts w:ascii="Arial" w:cs="Arial" w:eastAsia="Arial" w:hAnsi="Arial"/>
                <w:sz w:val="14"/>
                <w:szCs w:val="14"/>
                <w:color w:val="auto"/>
                <w:w w:val="98"/>
              </w:rPr>
              <w:t>192,665</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134,731</w:t>
            </w:r>
          </w:p>
        </w:tc>
        <w:tc>
          <w:tcPr>
            <w:tcW w:w="420" w:type="dxa"/>
            <w:vAlign w:val="bottom"/>
          </w:tcPr>
          <w:p>
            <w:pPr>
              <w:jc w:val="right"/>
              <w:ind w:right="95"/>
              <w:spacing w:after="0"/>
              <w:rPr>
                <w:sz w:val="20"/>
                <w:szCs w:val="20"/>
                <w:color w:val="auto"/>
              </w:rPr>
            </w:pPr>
            <w:r>
              <w:rPr>
                <w:rFonts w:ascii="Arial" w:cs="Arial" w:eastAsia="Arial" w:hAnsi="Arial"/>
                <w:sz w:val="9"/>
                <w:szCs w:val="9"/>
                <w:color w:val="auto"/>
              </w:rPr>
              <w:t>(14)</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192,665</w:t>
            </w:r>
          </w:p>
        </w:tc>
      </w:tr>
      <w:tr>
        <w:trPr>
          <w:trHeight w:val="270"/>
        </w:trPr>
        <w:tc>
          <w:tcPr>
            <w:tcW w:w="300" w:type="dxa"/>
            <w:vAlign w:val="bottom"/>
          </w:tcPr>
          <w:p>
            <w:pPr>
              <w:jc w:val="right"/>
              <w:ind w:right="95"/>
              <w:spacing w:after="0"/>
              <w:rPr>
                <w:sz w:val="20"/>
                <w:szCs w:val="20"/>
                <w:color w:val="auto"/>
              </w:rPr>
            </w:pPr>
            <w:r>
              <w:rPr>
                <w:rFonts w:ascii="Arial" w:cs="Arial" w:eastAsia="Arial" w:hAnsi="Arial"/>
                <w:sz w:val="9"/>
                <w:szCs w:val="9"/>
                <w:color w:val="auto"/>
                <w:w w:val="87"/>
              </w:rPr>
              <w:t>(15)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48"/>
              <w:spacing w:after="0"/>
              <w:rPr>
                <w:sz w:val="20"/>
                <w:szCs w:val="20"/>
                <w:color w:val="auto"/>
              </w:rPr>
            </w:pPr>
            <w:r>
              <w:rPr>
                <w:rFonts w:ascii="Arial" w:cs="Arial" w:eastAsia="Arial" w:hAnsi="Arial"/>
                <w:sz w:val="14"/>
                <w:szCs w:val="14"/>
                <w:color w:val="auto"/>
                <w:w w:val="98"/>
              </w:rPr>
              <w:t>219,775</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7500" w:space="240"/>
            <w:col w:w="3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Peter L. McCann</w:t>
            </w:r>
          </w:p>
        </w:tc>
        <w:tc>
          <w:tcPr>
            <w:tcW w:w="5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33,012</w:t>
            </w:r>
          </w:p>
        </w:tc>
        <w:tc>
          <w:tcPr>
            <w:tcW w:w="440" w:type="dxa"/>
            <w:vAlign w:val="bottom"/>
            <w:shd w:val="clear" w:color="auto" w:fill="CCEEFF"/>
          </w:tcPr>
          <w:p>
            <w:pPr>
              <w:ind w:left="140"/>
              <w:spacing w:after="0"/>
              <w:rPr>
                <w:sz w:val="20"/>
                <w:szCs w:val="20"/>
                <w:color w:val="auto"/>
              </w:rPr>
            </w:pPr>
            <w:r>
              <w:rPr>
                <w:rFonts w:ascii="Arial" w:cs="Arial" w:eastAsia="Arial" w:hAnsi="Arial"/>
                <w:sz w:val="9"/>
                <w:szCs w:val="9"/>
                <w:color w:val="auto"/>
              </w:rPr>
              <w:t>(5)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47,207</w:t>
            </w:r>
          </w:p>
        </w:tc>
        <w:tc>
          <w:tcPr>
            <w:tcW w:w="4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0"/>
        </w:trPr>
        <w:tc>
          <w:tcPr>
            <w:tcW w:w="1960" w:type="dxa"/>
            <w:vAlign w:val="bottom"/>
            <w:shd w:val="clear" w:color="auto" w:fill="CCEEFF"/>
          </w:tcPr>
          <w:p>
            <w:pPr>
              <w:spacing w:after="0"/>
              <w:rPr>
                <w:sz w:val="23"/>
                <w:szCs w:val="23"/>
                <w:color w:val="auto"/>
              </w:rPr>
            </w:pPr>
          </w:p>
        </w:tc>
        <w:tc>
          <w:tcPr>
            <w:tcW w:w="5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77,312</w:t>
            </w:r>
          </w:p>
        </w:tc>
        <w:tc>
          <w:tcPr>
            <w:tcW w:w="440" w:type="dxa"/>
            <w:vAlign w:val="bottom"/>
            <w:shd w:val="clear" w:color="auto" w:fill="CCEEFF"/>
          </w:tcPr>
          <w:p>
            <w:pPr>
              <w:ind w:left="140"/>
              <w:spacing w:after="0"/>
              <w:rPr>
                <w:sz w:val="20"/>
                <w:szCs w:val="20"/>
                <w:color w:val="auto"/>
              </w:rPr>
            </w:pPr>
            <w:r>
              <w:rPr>
                <w:rFonts w:ascii="Arial" w:cs="Arial" w:eastAsia="Arial" w:hAnsi="Arial"/>
                <w:sz w:val="9"/>
                <w:szCs w:val="9"/>
                <w:color w:val="auto"/>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98"/>
              </w:rPr>
              <w:t>110,556</w:t>
            </w: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56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center"/>
              <w:ind w:left="768"/>
              <w:spacing w:after="0"/>
              <w:rPr>
                <w:sz w:val="20"/>
                <w:szCs w:val="20"/>
                <w:color w:val="auto"/>
              </w:rPr>
            </w:pPr>
            <w:r>
              <w:rPr>
                <w:rFonts w:ascii="Arial" w:cs="Arial" w:eastAsia="Arial" w:hAnsi="Arial"/>
                <w:sz w:val="14"/>
                <w:szCs w:val="14"/>
                <w:color w:val="auto"/>
                <w:w w:val="90"/>
              </w:rPr>
              <w:t>231,933</w:t>
            </w:r>
          </w:p>
        </w:tc>
        <w:tc>
          <w:tcPr>
            <w:tcW w:w="420" w:type="dxa"/>
            <w:vAlign w:val="bottom"/>
            <w:shd w:val="clear" w:color="auto" w:fill="CCEEFF"/>
          </w:tcPr>
          <w:p>
            <w:pPr>
              <w:ind w:left="120"/>
              <w:spacing w:after="0"/>
              <w:rPr>
                <w:sz w:val="20"/>
                <w:szCs w:val="20"/>
                <w:color w:val="auto"/>
              </w:rPr>
            </w:pPr>
            <w:r>
              <w:rPr>
                <w:rFonts w:ascii="Arial" w:cs="Arial" w:eastAsia="Arial" w:hAnsi="Arial"/>
                <w:sz w:val="9"/>
                <w:szCs w:val="9"/>
                <w:color w:val="auto"/>
              </w:rPr>
              <w:t>(9)</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331,664</w:t>
            </w:r>
          </w:p>
        </w:tc>
      </w:tr>
      <w:tr>
        <w:trPr>
          <w:trHeight w:val="270"/>
        </w:trPr>
        <w:tc>
          <w:tcPr>
            <w:tcW w:w="1960" w:type="dxa"/>
            <w:vAlign w:val="bottom"/>
            <w:shd w:val="clear" w:color="auto" w:fill="CCEEFF"/>
          </w:tcPr>
          <w:p>
            <w:pPr>
              <w:spacing w:after="0"/>
              <w:rPr>
                <w:sz w:val="23"/>
                <w:szCs w:val="23"/>
                <w:color w:val="auto"/>
              </w:rPr>
            </w:pPr>
          </w:p>
        </w:tc>
        <w:tc>
          <w:tcPr>
            <w:tcW w:w="5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30,834</w:t>
            </w:r>
          </w:p>
        </w:tc>
        <w:tc>
          <w:tcPr>
            <w:tcW w:w="440" w:type="dxa"/>
            <w:vAlign w:val="bottom"/>
            <w:shd w:val="clear" w:color="auto" w:fill="CCEEFF"/>
          </w:tcPr>
          <w:p>
            <w:pPr>
              <w:ind w:left="140"/>
              <w:spacing w:after="0"/>
              <w:rPr>
                <w:sz w:val="20"/>
                <w:szCs w:val="20"/>
                <w:color w:val="auto"/>
              </w:rPr>
            </w:pPr>
            <w:r>
              <w:rPr>
                <w:rFonts w:ascii="Arial" w:cs="Arial" w:eastAsia="Arial" w:hAnsi="Arial"/>
                <w:sz w:val="9"/>
                <w:szCs w:val="9"/>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44,093</w:t>
            </w: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5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10,278</w:t>
            </w:r>
          </w:p>
        </w:tc>
        <w:tc>
          <w:tcPr>
            <w:tcW w:w="440" w:type="dxa"/>
            <w:vAlign w:val="bottom"/>
            <w:shd w:val="clear" w:color="auto" w:fill="CCEEFF"/>
          </w:tcPr>
          <w:p>
            <w:pPr>
              <w:ind w:left="140"/>
              <w:spacing w:after="0"/>
              <w:rPr>
                <w:sz w:val="20"/>
                <w:szCs w:val="20"/>
                <w:color w:val="auto"/>
              </w:rPr>
            </w:pPr>
            <w:r>
              <w:rPr>
                <w:rFonts w:ascii="Arial" w:cs="Arial" w:eastAsia="Arial" w:hAnsi="Arial"/>
                <w:sz w:val="9"/>
                <w:szCs w:val="9"/>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14,698</w:t>
            </w: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56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center"/>
              <w:ind w:left="768"/>
              <w:spacing w:after="0"/>
              <w:rPr>
                <w:sz w:val="20"/>
                <w:szCs w:val="20"/>
                <w:color w:val="auto"/>
              </w:rPr>
            </w:pPr>
            <w:r>
              <w:rPr>
                <w:rFonts w:ascii="Arial" w:cs="Arial" w:eastAsia="Arial" w:hAnsi="Arial"/>
                <w:sz w:val="14"/>
                <w:szCs w:val="14"/>
                <w:color w:val="auto"/>
                <w:w w:val="88"/>
              </w:rPr>
              <w:t>61,667</w:t>
            </w:r>
          </w:p>
        </w:tc>
        <w:tc>
          <w:tcPr>
            <w:tcW w:w="420" w:type="dxa"/>
            <w:vAlign w:val="bottom"/>
            <w:shd w:val="clear" w:color="auto" w:fill="CCEEFF"/>
          </w:tcPr>
          <w:p>
            <w:pPr>
              <w:ind w:left="120"/>
              <w:spacing w:after="0"/>
              <w:rPr>
                <w:sz w:val="20"/>
                <w:szCs w:val="20"/>
                <w:color w:val="auto"/>
              </w:rPr>
            </w:pPr>
            <w:r>
              <w:rPr>
                <w:rFonts w:ascii="Arial" w:cs="Arial" w:eastAsia="Arial" w:hAnsi="Arial"/>
                <w:sz w:val="9"/>
                <w:szCs w:val="9"/>
                <w:color w:val="auto"/>
              </w:rPr>
              <w:t>(12)</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88,184</w:t>
            </w:r>
          </w:p>
        </w:tc>
      </w:tr>
      <w:tr>
        <w:trPr>
          <w:trHeight w:val="270"/>
        </w:trPr>
        <w:tc>
          <w:tcPr>
            <w:tcW w:w="1960" w:type="dxa"/>
            <w:vAlign w:val="bottom"/>
            <w:shd w:val="clear" w:color="auto" w:fill="CCEEFF"/>
          </w:tcPr>
          <w:p>
            <w:pPr>
              <w:spacing w:after="0"/>
              <w:rPr>
                <w:sz w:val="23"/>
                <w:szCs w:val="23"/>
                <w:color w:val="auto"/>
              </w:rPr>
            </w:pPr>
          </w:p>
        </w:tc>
        <w:tc>
          <w:tcPr>
            <w:tcW w:w="5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62,010</w:t>
            </w:r>
          </w:p>
        </w:tc>
        <w:tc>
          <w:tcPr>
            <w:tcW w:w="440" w:type="dxa"/>
            <w:vAlign w:val="bottom"/>
            <w:shd w:val="clear" w:color="auto" w:fill="CCEEFF"/>
          </w:tcPr>
          <w:p>
            <w:pPr>
              <w:ind w:left="140"/>
              <w:spacing w:after="0"/>
              <w:rPr>
                <w:sz w:val="20"/>
                <w:szCs w:val="20"/>
                <w:color w:val="auto"/>
              </w:rPr>
            </w:pPr>
            <w:r>
              <w:rPr>
                <w:rFonts w:ascii="Arial" w:cs="Arial" w:eastAsia="Arial" w:hAnsi="Arial"/>
                <w:sz w:val="9"/>
                <w:szCs w:val="9"/>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88,674</w:t>
            </w: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82"/>
        </w:trPr>
        <w:tc>
          <w:tcPr>
            <w:tcW w:w="196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center"/>
              <w:ind w:left="768"/>
              <w:spacing w:after="0"/>
              <w:rPr>
                <w:sz w:val="20"/>
                <w:szCs w:val="20"/>
                <w:color w:val="auto"/>
              </w:rPr>
            </w:pPr>
            <w:r>
              <w:rPr>
                <w:rFonts w:ascii="Arial" w:cs="Arial" w:eastAsia="Arial" w:hAnsi="Arial"/>
                <w:sz w:val="14"/>
                <w:szCs w:val="14"/>
                <w:color w:val="auto"/>
                <w:w w:val="88"/>
              </w:rPr>
              <w:t>62,010</w:t>
            </w:r>
          </w:p>
        </w:tc>
        <w:tc>
          <w:tcPr>
            <w:tcW w:w="420" w:type="dxa"/>
            <w:vAlign w:val="bottom"/>
            <w:shd w:val="clear" w:color="auto" w:fill="CCEEFF"/>
          </w:tcPr>
          <w:p>
            <w:pPr>
              <w:ind w:left="120"/>
              <w:spacing w:after="0"/>
              <w:rPr>
                <w:sz w:val="20"/>
                <w:szCs w:val="20"/>
                <w:color w:val="auto"/>
              </w:rPr>
            </w:pPr>
            <w:r>
              <w:rPr>
                <w:rFonts w:ascii="Arial" w:cs="Arial" w:eastAsia="Arial" w:hAnsi="Arial"/>
                <w:sz w:val="9"/>
                <w:szCs w:val="9"/>
                <w:color w:val="auto"/>
              </w:rPr>
              <w:t>(14)</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88,674</w:t>
            </w: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r>
              <w:rPr>
                <w:rFonts w:ascii="Arial" w:cs="Arial" w:eastAsia="Arial" w:hAnsi="Arial"/>
                <w:sz w:val="16"/>
                <w:szCs w:val="16"/>
                <w:color w:val="auto"/>
              </w:rPr>
              <w:t>Allan D. Schoening</w:t>
            </w:r>
          </w:p>
        </w:tc>
        <w:tc>
          <w:tcPr>
            <w:tcW w:w="3260" w:type="dxa"/>
            <w:vAlign w:val="bottom"/>
          </w:tcPr>
          <w:p>
            <w:pPr>
              <w:jc w:val="right"/>
              <w:spacing w:after="0"/>
              <w:rPr>
                <w:sz w:val="20"/>
                <w:szCs w:val="20"/>
                <w:color w:val="auto"/>
              </w:rPr>
            </w:pPr>
            <w:r>
              <w:rPr>
                <w:rFonts w:ascii="Arial" w:cs="Arial" w:eastAsia="Arial" w:hAnsi="Arial"/>
                <w:sz w:val="14"/>
                <w:szCs w:val="14"/>
                <w:color w:val="auto"/>
              </w:rPr>
              <w:t>69,445</w:t>
            </w:r>
          </w:p>
        </w:tc>
      </w:tr>
      <w:tr>
        <w:trPr>
          <w:trHeight w:val="540"/>
        </w:trPr>
        <w:tc>
          <w:tcPr>
            <w:tcW w:w="416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4"/>
                <w:szCs w:val="14"/>
                <w:color w:val="auto"/>
              </w:rPr>
              <w:t>31,426</w:t>
            </w:r>
          </w:p>
        </w:tc>
      </w:tr>
      <w:tr>
        <w:trPr>
          <w:trHeight w:val="270"/>
        </w:trPr>
        <w:tc>
          <w:tcPr>
            <w:tcW w:w="4160" w:type="dxa"/>
            <w:vAlign w:val="bottom"/>
          </w:tcPr>
          <w:p>
            <w:pPr>
              <w:spacing w:after="0"/>
              <w:rPr>
                <w:sz w:val="23"/>
                <w:szCs w:val="23"/>
                <w:color w:val="auto"/>
              </w:rPr>
            </w:pPr>
          </w:p>
        </w:tc>
        <w:tc>
          <w:tcPr>
            <w:tcW w:w="3260" w:type="dxa"/>
            <w:vAlign w:val="bottom"/>
          </w:tcPr>
          <w:p>
            <w:pPr>
              <w:jc w:val="right"/>
              <w:spacing w:after="0"/>
              <w:rPr>
                <w:sz w:val="20"/>
                <w:szCs w:val="20"/>
                <w:color w:val="auto"/>
              </w:rPr>
            </w:pPr>
            <w:r>
              <w:rPr>
                <w:rFonts w:ascii="Arial" w:cs="Arial" w:eastAsia="Arial" w:hAnsi="Arial"/>
                <w:sz w:val="14"/>
                <w:szCs w:val="14"/>
                <w:color w:val="auto"/>
              </w:rPr>
              <w:t>10,476</w:t>
            </w:r>
          </w:p>
        </w:tc>
      </w:tr>
      <w:tr>
        <w:trPr>
          <w:trHeight w:val="540"/>
        </w:trPr>
        <w:tc>
          <w:tcPr>
            <w:tcW w:w="416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4"/>
                <w:szCs w:val="14"/>
                <w:color w:val="auto"/>
              </w:rPr>
              <w:t>71,856</w:t>
            </w: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440" w:val="left"/>
          <w:tab w:leader="none" w:pos="680" w:val="left"/>
        </w:tabs>
        <w:rPr>
          <w:sz w:val="20"/>
          <w:szCs w:val="20"/>
          <w:color w:val="auto"/>
        </w:rPr>
      </w:pPr>
      <w:r>
        <w:rPr>
          <w:rFonts w:ascii="Arial" w:cs="Arial" w:eastAsia="Arial" w:hAnsi="Arial"/>
          <w:sz w:val="9"/>
          <w:szCs w:val="9"/>
          <w:color w:val="auto"/>
        </w:rPr>
        <w:t>(8)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99,306</w:t>
      </w:r>
    </w:p>
    <w:p>
      <w:pPr>
        <w:spacing w:after="0" w:line="62" w:lineRule="exact"/>
        <w:rPr>
          <w:sz w:val="20"/>
          <w:szCs w:val="20"/>
          <w:color w:val="auto"/>
        </w:rPr>
      </w:pPr>
    </w:p>
    <w:p>
      <w:pPr>
        <w:jc w:val="both"/>
        <w:ind w:left="1540"/>
        <w:spacing w:after="0"/>
        <w:tabs>
          <w:tab w:leader="none" w:pos="2220" w:val="left"/>
          <w:tab w:leader="none" w:pos="2680" w:val="left"/>
          <w:tab w:leader="none" w:pos="3080" w:val="left"/>
        </w:tabs>
        <w:rPr>
          <w:sz w:val="20"/>
          <w:szCs w:val="20"/>
          <w:color w:val="auto"/>
        </w:rPr>
      </w:pPr>
      <w:r>
        <w:rPr>
          <w:rFonts w:ascii="Arial" w:cs="Arial" w:eastAsia="Arial" w:hAnsi="Arial"/>
          <w:sz w:val="14"/>
          <w:szCs w:val="14"/>
          <w:color w:val="auto"/>
        </w:rPr>
        <w:t>208,333</w:t>
      </w:r>
      <w:r>
        <w:rPr>
          <w:sz w:val="20"/>
          <w:szCs w:val="20"/>
          <w:color w:val="auto"/>
        </w:rPr>
        <w:tab/>
      </w:r>
      <w:r>
        <w:rPr>
          <w:rFonts w:ascii="Arial" w:cs="Arial" w:eastAsia="Arial" w:hAnsi="Arial"/>
          <w:sz w:val="9"/>
          <w:szCs w:val="9"/>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297,916</w:t>
      </w:r>
    </w:p>
    <w:p>
      <w:pPr>
        <w:spacing w:after="0" w:line="109" w:lineRule="exact"/>
        <w:rPr>
          <w:sz w:val="20"/>
          <w:szCs w:val="20"/>
          <w:color w:val="auto"/>
        </w:rPr>
      </w:pPr>
    </w:p>
    <w:p>
      <w:pPr>
        <w:ind w:left="460" w:hanging="453"/>
        <w:spacing w:after="0"/>
        <w:tabs>
          <w:tab w:leader="none" w:pos="460" w:val="left"/>
        </w:tabs>
        <w:numPr>
          <w:ilvl w:val="0"/>
          <w:numId w:val="44"/>
        </w:numPr>
        <w:rPr>
          <w:rFonts w:ascii="Arial" w:cs="Arial" w:eastAsia="Arial" w:hAnsi="Arial"/>
          <w:sz w:val="9"/>
          <w:szCs w:val="9"/>
          <w:color w:val="auto"/>
        </w:rPr>
      </w:pPr>
      <w:r>
        <w:rPr>
          <w:rFonts w:ascii="Arial" w:cs="Arial" w:eastAsia="Arial" w:hAnsi="Arial"/>
          <w:sz w:val="14"/>
          <w:szCs w:val="14"/>
          <w:color w:val="auto"/>
        </w:rPr>
        <w:t>$   44,939</w:t>
      </w:r>
    </w:p>
    <w:p>
      <w:pPr>
        <w:spacing w:after="0" w:line="109" w:lineRule="exact"/>
        <w:rPr>
          <w:rFonts w:ascii="Arial" w:cs="Arial" w:eastAsia="Arial" w:hAnsi="Arial"/>
          <w:sz w:val="9"/>
          <w:szCs w:val="9"/>
          <w:color w:val="auto"/>
        </w:rPr>
      </w:pPr>
    </w:p>
    <w:p>
      <w:pPr>
        <w:ind w:left="460" w:hanging="453"/>
        <w:spacing w:after="0"/>
        <w:tabs>
          <w:tab w:leader="none" w:pos="460" w:val="left"/>
        </w:tabs>
        <w:numPr>
          <w:ilvl w:val="0"/>
          <w:numId w:val="44"/>
        </w:numPr>
        <w:rPr>
          <w:rFonts w:ascii="Arial" w:cs="Arial" w:eastAsia="Arial" w:hAnsi="Arial"/>
          <w:sz w:val="9"/>
          <w:szCs w:val="9"/>
          <w:color w:val="auto"/>
        </w:rPr>
      </w:pPr>
      <w:r>
        <w:rPr>
          <w:rFonts w:ascii="Arial" w:cs="Arial" w:eastAsia="Arial" w:hAnsi="Arial"/>
          <w:sz w:val="14"/>
          <w:szCs w:val="14"/>
          <w:color w:val="auto"/>
        </w:rPr>
        <w:t>$   14,981</w:t>
      </w:r>
    </w:p>
    <w:p>
      <w:pPr>
        <w:spacing w:after="0" w:line="62" w:lineRule="exact"/>
        <w:rPr>
          <w:sz w:val="20"/>
          <w:szCs w:val="20"/>
          <w:color w:val="auto"/>
        </w:rPr>
      </w:pPr>
    </w:p>
    <w:p>
      <w:pPr>
        <w:jc w:val="both"/>
        <w:ind w:left="1580"/>
        <w:spacing w:after="0"/>
        <w:tabs>
          <w:tab w:leader="none" w:pos="2220" w:val="left"/>
          <w:tab w:leader="none" w:pos="2680" w:val="left"/>
          <w:tab w:leader="none" w:pos="3160" w:val="left"/>
        </w:tabs>
        <w:rPr>
          <w:sz w:val="20"/>
          <w:szCs w:val="20"/>
          <w:color w:val="auto"/>
        </w:rPr>
      </w:pPr>
      <w:r>
        <w:rPr>
          <w:rFonts w:ascii="Arial" w:cs="Arial" w:eastAsia="Arial" w:hAnsi="Arial"/>
          <w:sz w:val="14"/>
          <w:szCs w:val="14"/>
          <w:color w:val="auto"/>
        </w:rPr>
        <w:t>62,851</w:t>
      </w:r>
      <w:r>
        <w:rPr>
          <w:sz w:val="20"/>
          <w:szCs w:val="20"/>
          <w:color w:val="auto"/>
        </w:rPr>
        <w:tab/>
      </w:r>
      <w:r>
        <w:rPr>
          <w:rFonts w:ascii="Arial" w:cs="Arial" w:eastAsia="Arial" w:hAnsi="Arial"/>
          <w:sz w:val="9"/>
          <w:szCs w:val="9"/>
          <w:color w:val="auto"/>
        </w:rPr>
        <w:t>(12)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89,877</w:t>
      </w:r>
    </w:p>
    <w:p>
      <w:pPr>
        <w:spacing w:after="0" w:line="109" w:lineRule="exact"/>
        <w:rPr>
          <w:sz w:val="20"/>
          <w:szCs w:val="20"/>
          <w:color w:val="auto"/>
        </w:rPr>
      </w:pPr>
    </w:p>
    <w:p>
      <w:pPr>
        <w:spacing w:after="0"/>
        <w:tabs>
          <w:tab w:leader="none" w:pos="440" w:val="left"/>
        </w:tabs>
        <w:rPr>
          <w:sz w:val="20"/>
          <w:szCs w:val="20"/>
          <w:color w:val="auto"/>
        </w:rPr>
      </w:pPr>
      <w:r>
        <w:rPr>
          <w:rFonts w:ascii="Arial" w:cs="Arial" w:eastAsia="Arial" w:hAnsi="Arial"/>
          <w:sz w:val="9"/>
          <w:szCs w:val="9"/>
          <w:color w:val="auto"/>
        </w:rPr>
        <w:t>(13)</w:t>
      </w:r>
      <w:r>
        <w:rPr>
          <w:sz w:val="20"/>
          <w:szCs w:val="20"/>
          <w:color w:val="auto"/>
        </w:rPr>
        <w:tab/>
      </w:r>
      <w:r>
        <w:rPr>
          <w:rFonts w:ascii="Arial" w:cs="Arial" w:eastAsia="Arial" w:hAnsi="Arial"/>
          <w:sz w:val="14"/>
          <w:szCs w:val="14"/>
          <w:color w:val="auto"/>
        </w:rPr>
        <w:t>$  102,754</w:t>
      </w:r>
    </w:p>
    <w:p>
      <w:pPr>
        <w:spacing w:after="0" w:line="62" w:lineRule="exact"/>
        <w:rPr>
          <w:sz w:val="20"/>
          <w:szCs w:val="20"/>
          <w:color w:val="auto"/>
        </w:rPr>
      </w:pPr>
    </w:p>
    <w:p>
      <w:pPr>
        <w:jc w:val="both"/>
        <w:ind w:left="1580"/>
        <w:spacing w:after="0"/>
        <w:tabs>
          <w:tab w:leader="none" w:pos="2220" w:val="left"/>
          <w:tab w:leader="none" w:pos="2680" w:val="left"/>
          <w:tab w:leader="none" w:pos="3080" w:val="left"/>
        </w:tabs>
        <w:rPr>
          <w:sz w:val="20"/>
          <w:szCs w:val="20"/>
          <w:color w:val="auto"/>
        </w:rPr>
      </w:pPr>
      <w:r>
        <w:rPr>
          <w:rFonts w:ascii="Arial" w:cs="Arial" w:eastAsia="Arial" w:hAnsi="Arial"/>
          <w:sz w:val="14"/>
          <w:szCs w:val="14"/>
          <w:color w:val="auto"/>
        </w:rPr>
        <w:t>71,857</w:t>
      </w:r>
      <w:r>
        <w:rPr>
          <w:sz w:val="20"/>
          <w:szCs w:val="20"/>
          <w:color w:val="auto"/>
        </w:rPr>
        <w:tab/>
      </w:r>
      <w:r>
        <w:rPr>
          <w:rFonts w:ascii="Arial" w:cs="Arial" w:eastAsia="Arial" w:hAnsi="Arial"/>
          <w:sz w:val="9"/>
          <w:szCs w:val="9"/>
          <w:color w:val="auto"/>
        </w:rPr>
        <w:t>(14)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102,756</w:t>
      </w:r>
    </w:p>
    <w:p>
      <w:pPr>
        <w:spacing w:after="0" w:line="200" w:lineRule="exact"/>
        <w:rPr>
          <w:sz w:val="20"/>
          <w:szCs w:val="20"/>
          <w:color w:val="auto"/>
        </w:rPr>
      </w:pPr>
    </w:p>
    <w:p>
      <w:pPr>
        <w:sectPr>
          <w:pgSz w:w="11900" w:h="16838" w:orient="portrait"/>
          <w:cols w:equalWidth="0" w:num="2">
            <w:col w:w="7460" w:space="280"/>
            <w:col w:w="3680"/>
          </w:cols>
          <w:pgMar w:left="240" w:top="125"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460" w:hanging="330"/>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Option award of February 17, 2011 that was fully vested at December 31, 2018.</w:t>
      </w:r>
    </w:p>
    <w:p>
      <w:pPr>
        <w:spacing w:after="0" w:line="19" w:lineRule="exact"/>
        <w:rPr>
          <w:rFonts w:ascii="Arial" w:cs="Arial" w:eastAsia="Arial" w:hAnsi="Arial"/>
          <w:sz w:val="16"/>
          <w:szCs w:val="16"/>
          <w:color w:val="auto"/>
        </w:rPr>
      </w:pPr>
    </w:p>
    <w:p>
      <w:pPr>
        <w:ind w:left="460" w:hanging="330"/>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Option award of February 16, 2012 that was fully vested at December 31, 2018.</w:t>
      </w:r>
    </w:p>
    <w:p>
      <w:pPr>
        <w:spacing w:after="0" w:line="5" w:lineRule="exact"/>
        <w:rPr>
          <w:rFonts w:ascii="Arial" w:cs="Arial" w:eastAsia="Arial" w:hAnsi="Arial"/>
          <w:sz w:val="16"/>
          <w:szCs w:val="16"/>
          <w:color w:val="auto"/>
        </w:rPr>
      </w:pPr>
    </w:p>
    <w:p>
      <w:pPr>
        <w:ind w:left="460" w:hanging="330"/>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Option award of February 19, 2013 that was fully vested at December 31, 2018.</w:t>
      </w:r>
    </w:p>
    <w:p>
      <w:pPr>
        <w:spacing w:after="0" w:line="5" w:lineRule="exact"/>
        <w:rPr>
          <w:rFonts w:ascii="Arial" w:cs="Arial" w:eastAsia="Arial" w:hAnsi="Arial"/>
          <w:sz w:val="16"/>
          <w:szCs w:val="16"/>
          <w:color w:val="auto"/>
        </w:rPr>
      </w:pPr>
    </w:p>
    <w:p>
      <w:pPr>
        <w:ind w:left="460" w:hanging="330"/>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Option award of February 19, 2014 that was fully vested at December 31, 2018.</w:t>
      </w:r>
    </w:p>
    <w:p>
      <w:pPr>
        <w:spacing w:after="0" w:line="5" w:lineRule="exact"/>
        <w:rPr>
          <w:rFonts w:ascii="Arial" w:cs="Arial" w:eastAsia="Arial" w:hAnsi="Arial"/>
          <w:sz w:val="16"/>
          <w:szCs w:val="16"/>
          <w:color w:val="auto"/>
        </w:rPr>
      </w:pPr>
    </w:p>
    <w:p>
      <w:pPr>
        <w:ind w:left="460" w:right="10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Restricted share award or deferred share award of February 11, 2015 that vests at the rate of 25% per year, with vesting dates of February 11, 2016, February 11, 2017, February 11, 2018 and February 11, 2019.</w:t>
      </w:r>
    </w:p>
    <w:p>
      <w:pPr>
        <w:ind w:left="460" w:right="14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Phantom share units award of February 11, 2015 that vests at the rate of 25% per year, with vesting dates of February 11, 2016, February 11, 2017, February 11, 2018, and February 11, 2019.</w:t>
      </w:r>
    </w:p>
    <w:p>
      <w:pPr>
        <w:ind w:left="46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Restricted share unit award or deferred share award of February 23, 2016 that vests at the rate of 33.33% per year, with vesting dates of February 23, 2017, February 23, 2018, and February 23, 2019.</w:t>
      </w:r>
    </w:p>
    <w:p>
      <w:pPr>
        <w:ind w:left="460" w:right="4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Phantom share units award of February 23, 2016 that vests at the rate of 33.33% per year, with vesting dates of February 23, 2017, February 23, 2018, and February 23, 2019.</w:t>
      </w:r>
    </w:p>
    <w:p>
      <w:pPr>
        <w:ind w:left="460" w:right="16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Performance share award of February 23, 2016 that vests on February 23, 2019, which is reported assuming target level achievement of the relative TSR performance metric.</w:t>
      </w:r>
    </w:p>
    <w:p>
      <w:pPr>
        <w:ind w:left="460" w:right="64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Restricted share award, restricted share unit award or deferred share award of February 21, 2017 that vests at the rate of 33.33% per year, with vesting dates of February 21, 2018, February 21, 2019, and February 21, 2020.</w:t>
      </w:r>
    </w:p>
    <w:p>
      <w:pPr>
        <w:ind w:left="460" w:right="4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Phantom share units award of February 21, 2017 that vests at the rate of 33.33% per year, with vesting dates of February 21, 2018, February 21, 2019, and February 21, 2020.</w:t>
      </w:r>
    </w:p>
    <w:p>
      <w:pPr>
        <w:ind w:left="460" w:right="16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Performance share award of February 21, 2017 that vests on February 21, 2020, which is reported assuming target level achievement of the relative TSR performance metric.</w:t>
      </w:r>
    </w:p>
    <w:p>
      <w:pPr>
        <w:ind w:left="460" w:right="2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Restricted share award, restricted share unit award or deferred share award of February 20, 2018 that vests at the rate of 33.33% per year, with vesting dates of February 20, 2019, February 20, 2020 and February 20, 2021.</w:t>
      </w:r>
    </w:p>
    <w:p>
      <w:pPr>
        <w:ind w:left="460" w:right="160" w:hanging="330"/>
        <w:spacing w:after="0" w:line="24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Performance share award of February 20, 2018 that vests on February 20, 2021, which is reported assuming target level achievement of the relative TSR performance metric.</w:t>
      </w:r>
    </w:p>
    <w:p>
      <w:pPr>
        <w:ind w:left="460" w:hanging="330"/>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Restricted share award of March 1, 2018 that vests on March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following table provides information for our named executive officers for the period from January 1, 2018 to December 31, 2018 regarding the number of our common shares acquired upon the vesting of share awards and the value realized, each before payment of any applicable withholding tax. Reported values for the stock awards were calculated based on the number of share awards vesting multiplied by closing share price on the date of vesting.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32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420" w:type="dxa"/>
            <w:vAlign w:val="bottom"/>
          </w:tcPr>
          <w:p>
            <w:pPr>
              <w:jc w:val="center"/>
              <w:ind w:left="299"/>
              <w:spacing w:after="0" w:line="153" w:lineRule="exact"/>
              <w:rPr>
                <w:sz w:val="20"/>
                <w:szCs w:val="20"/>
                <w:color w:val="auto"/>
              </w:rPr>
            </w:pPr>
            <w:r>
              <w:rPr>
                <w:rFonts w:ascii="Arial" w:cs="Arial" w:eastAsia="Arial" w:hAnsi="Arial"/>
                <w:sz w:val="14"/>
                <w:szCs w:val="14"/>
                <w:b w:val="1"/>
                <w:bCs w:val="1"/>
                <w:color w:val="auto"/>
                <w:w w:val="94"/>
              </w:rPr>
              <w:t>Pre-tax Value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420" w:type="dxa"/>
            <w:vAlign w:val="bottom"/>
          </w:tcPr>
          <w:p>
            <w:pPr>
              <w:spacing w:after="0"/>
              <w:rPr>
                <w:sz w:val="13"/>
                <w:szCs w:val="13"/>
                <w:color w:val="auto"/>
              </w:rPr>
            </w:pPr>
          </w:p>
        </w:tc>
        <w:tc>
          <w:tcPr>
            <w:tcW w:w="1400" w:type="dxa"/>
            <w:vAlign w:val="bottom"/>
          </w:tcPr>
          <w:p>
            <w:pPr>
              <w:jc w:val="center"/>
              <w:ind w:right="379"/>
              <w:spacing w:after="0" w:line="153" w:lineRule="exact"/>
              <w:rPr>
                <w:sz w:val="20"/>
                <w:szCs w:val="20"/>
                <w:color w:val="auto"/>
              </w:rPr>
            </w:pPr>
            <w:r>
              <w:rPr>
                <w:rFonts w:ascii="Arial" w:cs="Arial" w:eastAsia="Arial" w:hAnsi="Arial"/>
                <w:sz w:val="14"/>
                <w:szCs w:val="14"/>
                <w:b w:val="1"/>
                <w:bCs w:val="1"/>
                <w:color w:val="auto"/>
                <w:w w:val="96"/>
              </w:rPr>
              <w:t>Pre-tax</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2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42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on Exercise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420" w:type="dxa"/>
            <w:vAlign w:val="bottom"/>
          </w:tcPr>
          <w:p>
            <w:pPr>
              <w:spacing w:after="0"/>
              <w:rPr>
                <w:sz w:val="12"/>
                <w:szCs w:val="12"/>
                <w:color w:val="auto"/>
              </w:rPr>
            </w:pPr>
          </w:p>
        </w:tc>
        <w:tc>
          <w:tcPr>
            <w:tcW w:w="140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Name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299"/>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358,310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1,256,147</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Frank C. Steininger</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1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229,592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811,864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138,915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488,502</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Allan D. Schoening</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1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125,022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438,417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125" w:right="4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Civeo maintains a non-qualified style of plan in Canada in which Mr. Schoening is a participant. Civeo previously maintained a non-qualified Deferred Compensation Plan that permitted our directors and eligible U.S. employees to elect to defer all or a part of their cash compensation (base and/or incentive pay) from Civeo until the termination of their status as a director or employee or a change of control. This plan was terminated in 2016, and account balances were distributed in 2017 and 2018. Civeo no longer maintains a Deferred Compensation Plan in the United States.</w:t>
      </w:r>
    </w:p>
    <w:p>
      <w:pPr>
        <w:spacing w:after="0" w:line="17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investment alternatives available under the Canadian non-qualified deferred compensation plan during 2018 were the same mutual funds available to all employees under Civeo’s Group RRSP/DPSP Retirement Plan. Selection of these funds are at the discretion of the executive. Payout terms, withdrawals and other distributions are made at the discretion of the executive subject to corresponding plan terms and conditions.</w:t>
      </w:r>
    </w:p>
    <w:p>
      <w:pPr>
        <w:spacing w:after="0" w:line="1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Detailed below is 2018 activity in the Deferred Compensation Plan for Mr. Dodson and the Canadian non-qualified Deferred Compensation Plan for Mr. Schoening. All amounts listed below for Mr. Schoening have been converted to U.S. dollars an exchange rate of $0.7719. Messrs. McCann and Steininger did not participate in either of these plans.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Aggregate</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84"/>
              <w:spacing w:after="0"/>
              <w:rPr>
                <w:sz w:val="20"/>
                <w:szCs w:val="20"/>
                <w:color w:val="auto"/>
              </w:rPr>
            </w:pPr>
            <w:r>
              <w:rPr>
                <w:rFonts w:ascii="Arial" w:cs="Arial" w:eastAsia="Arial" w:hAnsi="Arial"/>
                <w:sz w:val="14"/>
                <w:szCs w:val="14"/>
                <w:color w:val="auto"/>
                <w:w w:val="92"/>
              </w:rPr>
              <w:t>Aggregate</w:t>
            </w:r>
          </w:p>
        </w:tc>
      </w:tr>
      <w:tr>
        <w:trPr>
          <w:trHeight w:val="149"/>
        </w:trPr>
        <w:tc>
          <w:tcPr>
            <w:tcW w:w="1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Executive</w:t>
            </w:r>
          </w:p>
        </w:tc>
        <w:tc>
          <w:tcPr>
            <w:tcW w:w="30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Registrant</w:t>
            </w:r>
          </w:p>
        </w:tc>
        <w:tc>
          <w:tcPr>
            <w:tcW w:w="32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Earnings</w:t>
            </w: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64"/>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1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Contributions</w:t>
            </w:r>
          </w:p>
        </w:tc>
        <w:tc>
          <w:tcPr>
            <w:tcW w:w="30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Contribution</w:t>
            </w:r>
          </w:p>
        </w:tc>
        <w:tc>
          <w:tcPr>
            <w:tcW w:w="32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(Loss)</w:t>
            </w: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Aggregate</w:t>
            </w:r>
          </w:p>
        </w:tc>
        <w:tc>
          <w:tcPr>
            <w:tcW w:w="340" w:type="dxa"/>
            <w:vAlign w:val="bottom"/>
          </w:tcPr>
          <w:p>
            <w:pPr>
              <w:spacing w:after="0"/>
              <w:rPr>
                <w:sz w:val="12"/>
                <w:szCs w:val="12"/>
                <w:color w:val="auto"/>
              </w:rPr>
            </w:pPr>
          </w:p>
        </w:tc>
        <w:tc>
          <w:tcPr>
            <w:tcW w:w="1360" w:type="dxa"/>
            <w:vAlign w:val="bottom"/>
          </w:tcPr>
          <w:p>
            <w:pPr>
              <w:jc w:val="center"/>
              <w:ind w:right="264"/>
              <w:spacing w:after="0" w:line="149" w:lineRule="exact"/>
              <w:rPr>
                <w:sz w:val="20"/>
                <w:szCs w:val="20"/>
                <w:color w:val="auto"/>
              </w:rPr>
            </w:pPr>
            <w:r>
              <w:rPr>
                <w:rFonts w:ascii="Arial" w:cs="Arial" w:eastAsia="Arial" w:hAnsi="Arial"/>
                <w:sz w:val="14"/>
                <w:szCs w:val="14"/>
                <w:color w:val="auto"/>
                <w:w w:val="96"/>
              </w:rPr>
              <w:t>At Last</w:t>
            </w:r>
          </w:p>
        </w:tc>
      </w:tr>
      <w:tr>
        <w:trPr>
          <w:trHeight w:val="149"/>
        </w:trPr>
        <w:tc>
          <w:tcPr>
            <w:tcW w:w="1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in Last</w:t>
            </w: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 Last</w:t>
            </w:r>
          </w:p>
        </w:tc>
        <w:tc>
          <w:tcPr>
            <w:tcW w:w="32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in Last</w:t>
            </w: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Withdrawals/</w:t>
            </w:r>
          </w:p>
        </w:tc>
        <w:tc>
          <w:tcPr>
            <w:tcW w:w="340" w:type="dxa"/>
            <w:vAlign w:val="bottom"/>
          </w:tcPr>
          <w:p>
            <w:pPr>
              <w:spacing w:after="0"/>
              <w:rPr>
                <w:sz w:val="12"/>
                <w:szCs w:val="12"/>
                <w:color w:val="auto"/>
              </w:rPr>
            </w:pPr>
          </w:p>
        </w:tc>
        <w:tc>
          <w:tcPr>
            <w:tcW w:w="1360" w:type="dxa"/>
            <w:vAlign w:val="bottom"/>
          </w:tcPr>
          <w:p>
            <w:pPr>
              <w:jc w:val="center"/>
              <w:ind w:right="264"/>
              <w:spacing w:after="0" w:line="149" w:lineRule="exact"/>
              <w:rPr>
                <w:sz w:val="20"/>
                <w:szCs w:val="20"/>
                <w:color w:val="auto"/>
              </w:rPr>
            </w:pPr>
            <w:r>
              <w:rPr>
                <w:rFonts w:ascii="Arial" w:cs="Arial" w:eastAsia="Arial" w:hAnsi="Arial"/>
                <w:sz w:val="14"/>
                <w:szCs w:val="14"/>
                <w:color w:val="auto"/>
                <w:w w:val="92"/>
              </w:rPr>
              <w:t>Fiscal</w:t>
            </w:r>
          </w:p>
        </w:tc>
      </w:tr>
      <w:tr>
        <w:trPr>
          <w:trHeight w:val="149"/>
        </w:trPr>
        <w:tc>
          <w:tcPr>
            <w:tcW w:w="1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Fiscal Year</w:t>
            </w: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Fiscal Year</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Fiscal Year</w:t>
            </w: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8"/>
              </w:rPr>
              <w:t>Distributions</w:t>
            </w:r>
          </w:p>
        </w:tc>
        <w:tc>
          <w:tcPr>
            <w:tcW w:w="340" w:type="dxa"/>
            <w:vAlign w:val="bottom"/>
          </w:tcPr>
          <w:p>
            <w:pPr>
              <w:spacing w:after="0"/>
              <w:rPr>
                <w:sz w:val="12"/>
                <w:szCs w:val="12"/>
                <w:color w:val="auto"/>
              </w:rPr>
            </w:pPr>
          </w:p>
        </w:tc>
        <w:tc>
          <w:tcPr>
            <w:tcW w:w="1360" w:type="dxa"/>
            <w:vAlign w:val="bottom"/>
          </w:tcPr>
          <w:p>
            <w:pPr>
              <w:jc w:val="center"/>
              <w:ind w:right="264"/>
              <w:spacing w:after="0" w:line="149" w:lineRule="exact"/>
              <w:rPr>
                <w:sz w:val="20"/>
                <w:szCs w:val="20"/>
                <w:color w:val="auto"/>
              </w:rPr>
            </w:pPr>
            <w:r>
              <w:rPr>
                <w:rFonts w:ascii="Arial" w:cs="Arial" w:eastAsia="Arial" w:hAnsi="Arial"/>
                <w:sz w:val="14"/>
                <w:szCs w:val="14"/>
                <w:color w:val="auto"/>
                <w:w w:val="92"/>
              </w:rPr>
              <w:t>Year End</w:t>
            </w:r>
          </w:p>
        </w:tc>
      </w:tr>
      <w:tr>
        <w:trPr>
          <w:trHeight w:val="188"/>
        </w:trPr>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Name</w:t>
            </w: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color w:val="auto"/>
              </w:rPr>
              <w:t>($)</w:t>
            </w:r>
            <w:r>
              <w:rPr>
                <w:rFonts w:ascii="Arial" w:cs="Arial" w:eastAsia="Arial" w:hAnsi="Arial"/>
                <w:sz w:val="8"/>
                <w:szCs w:val="8"/>
                <w:color w:val="auto"/>
              </w:rPr>
              <w:t>(1)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w w:val="96"/>
              </w:rPr>
              <w:t>($)</w:t>
            </w:r>
            <w:r>
              <w:rPr>
                <w:rFonts w:ascii="Arial" w:cs="Arial" w:eastAsia="Arial" w:hAnsi="Arial"/>
                <w:sz w:val="8"/>
                <w:szCs w:val="8"/>
                <w:color w:val="auto"/>
                <w:w w:val="96"/>
              </w:rPr>
              <w:t>(2)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color w:val="auto"/>
                <w:w w:val="96"/>
              </w:rPr>
              <w:t>($)</w:t>
            </w:r>
            <w:r>
              <w:rPr>
                <w:rFonts w:ascii="Arial" w:cs="Arial" w:eastAsia="Arial" w:hAnsi="Arial"/>
                <w:sz w:val="8"/>
                <w:szCs w:val="8"/>
                <w:color w:val="auto"/>
                <w:w w:val="96"/>
              </w:rPr>
              <w:t>(3)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color w:val="auto"/>
              </w:rPr>
              <w:t>($)</w:t>
            </w: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Bradley J. Dodson</w:t>
            </w:r>
            <w:r>
              <w:rPr>
                <w:rFonts w:ascii="Arial" w:cs="Arial" w:eastAsia="Arial" w:hAnsi="Arial"/>
                <w:sz w:val="21"/>
                <w:szCs w:val="21"/>
                <w:color w:val="auto"/>
                <w:vertAlign w:val="superscript"/>
              </w:rPr>
              <w:t>(4)</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9,201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Allan D. Schoening</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3"/>
              <w:spacing w:after="0"/>
              <w:rPr>
                <w:sz w:val="20"/>
                <w:szCs w:val="20"/>
                <w:color w:val="auto"/>
              </w:rPr>
            </w:pPr>
            <w:r>
              <w:rPr>
                <w:rFonts w:ascii="Arial" w:cs="Arial" w:eastAsia="Arial" w:hAnsi="Arial"/>
                <w:sz w:val="18"/>
                <w:szCs w:val="18"/>
                <w:color w:val="auto"/>
              </w:rPr>
              <w:t>20,558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43"/>
              <w:spacing w:after="0"/>
              <w:rPr>
                <w:sz w:val="20"/>
                <w:szCs w:val="20"/>
                <w:color w:val="auto"/>
              </w:rPr>
            </w:pPr>
            <w:r>
              <w:rPr>
                <w:rFonts w:ascii="Arial" w:cs="Arial" w:eastAsia="Arial" w:hAnsi="Arial"/>
                <w:sz w:val="18"/>
                <w:szCs w:val="18"/>
                <w:color w:val="auto"/>
              </w:rPr>
              <w:t>15,340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4"/>
              <w:spacing w:after="0"/>
              <w:rPr>
                <w:sz w:val="20"/>
                <w:szCs w:val="20"/>
                <w:color w:val="auto"/>
              </w:rPr>
            </w:pPr>
            <w:r>
              <w:rPr>
                <w:rFonts w:ascii="Arial" w:cs="Arial" w:eastAsia="Arial" w:hAnsi="Arial"/>
                <w:sz w:val="18"/>
                <w:szCs w:val="18"/>
                <w:color w:val="auto"/>
              </w:rPr>
              <w:t>91,299</w:t>
            </w:r>
          </w:p>
        </w:tc>
      </w:tr>
    </w:tbl>
    <w:p>
      <w:pPr>
        <w:spacing w:after="0" w:line="229" w:lineRule="exact"/>
        <w:rPr>
          <w:sz w:val="20"/>
          <w:szCs w:val="20"/>
          <w:color w:val="auto"/>
        </w:rPr>
      </w:pPr>
    </w:p>
    <w:p>
      <w:pPr>
        <w:ind w:left="540" w:right="20" w:hanging="316"/>
        <w:spacing w:after="0" w:line="25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columns in the Summary Compensation Table for 2018.</w:t>
      </w:r>
    </w:p>
    <w:p>
      <w:pPr>
        <w:spacing w:after="0" w:line="1" w:lineRule="exact"/>
        <w:rPr>
          <w:rFonts w:ascii="Arial" w:cs="Arial" w:eastAsia="Arial" w:hAnsi="Arial"/>
          <w:sz w:val="18"/>
          <w:szCs w:val="18"/>
          <w:color w:val="auto"/>
        </w:rPr>
      </w:pPr>
    </w:p>
    <w:p>
      <w:pPr>
        <w:ind w:left="540" w:right="420" w:hanging="316"/>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$15,340 reported for Mr. Schoening in this column is also included in the “All Other Compensation” column of the Summary Compensation Table for 2018.</w:t>
      </w:r>
    </w:p>
    <w:p>
      <w:pPr>
        <w:ind w:left="540" w:right="140" w:hanging="316"/>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Messrs. Dodson and Schoening for mutual fund investments for 2018 associated with investments held in the Deferred Compensation Plan.</w:t>
      </w:r>
    </w:p>
    <w:p>
      <w:pPr>
        <w:ind w:left="540" w:hanging="31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Dodson received the final distribution in 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table below reflects the amount of compensation that would be payable to Messrs. Dodson, Steininger and McCann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Mr. Schoening in the event of a qualified termination during a specified period time after a “Change of Control” (as defined in his Change of Control Agreement) of Civeo. Mr. Schoening’s Change of Control Agreement does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31, 2018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180"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 of Control” includes (i) any person acquiring beneficial ownership of 35% or more of the combined voting power of our capital stock,</w:t>
      </w:r>
    </w:p>
    <w:p>
      <w:pPr>
        <w:spacing w:after="0" w:line="35" w:lineRule="exact"/>
        <w:rPr>
          <w:sz w:val="20"/>
          <w:szCs w:val="20"/>
          <w:color w:val="auto"/>
        </w:rPr>
      </w:pPr>
    </w:p>
    <w:p>
      <w:pPr>
        <w:ind w:right="160" w:firstLine="8"/>
        <w:spacing w:after="0" w:line="255"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40" w:firstLine="432"/>
        <w:spacing w:after="0" w:line="283" w:lineRule="auto"/>
        <w:rPr>
          <w:sz w:val="20"/>
          <w:szCs w:val="20"/>
          <w:color w:val="auto"/>
        </w:rPr>
      </w:pPr>
      <w:r>
        <w:rPr>
          <w:rFonts w:ascii="Arial" w:cs="Arial" w:eastAsia="Arial" w:hAnsi="Arial"/>
          <w:sz w:val="16"/>
          <w:szCs w:val="16"/>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unit, restricted stock award, phantom unit, and deferred share agreements provide that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granted beginning in 2016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w:t>
      </w:r>
    </w:p>
    <w:p>
      <w:pPr>
        <w:spacing w:after="0" w:line="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Shown in the table below are potential payments upon the assumed (A) involuntary not for Cause termination of Messrs. Dodson, Steininger or McCann by Civeo on December 31, 2018, other than during the 24-month period following a Change of Control, (B) involuntary not for Cause termination or termination by the named executive officer for “Good Reason,” in either case, during the 24-month period (for Mr. Dodson) or (18-month period in the case of Messrs. Steininger, McCann or Schoening) following a Change of Control of Civeo, occurring as of December 31, 2018, or (C) termination as a result of death,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disability, or qualifying retirement on December 31, 2018. None of Mr. Dodson’s potential payments as of December 31, 2018 would trigger a gross-up payment for excise taxes that would be reimbursed under his Executive Agreement.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Bradley J. Dodson</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Frank C. Steininger</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22"/>
                <w:szCs w:val="22"/>
                <w:color w:val="auto"/>
              </w:rPr>
            </w:pP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22"/>
                <w:szCs w:val="22"/>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22"/>
                <w:szCs w:val="22"/>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22"/>
                <w:szCs w:val="22"/>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22"/>
                <w:szCs w:val="22"/>
                <w:color w:val="auto"/>
              </w:rPr>
            </w:pPr>
          </w:p>
        </w:tc>
        <w:tc>
          <w:tcPr>
            <w:tcW w:w="980" w:type="dxa"/>
            <w:vAlign w:val="bottom"/>
          </w:tcPr>
          <w:p>
            <w:pPr>
              <w:jc w:val="right"/>
              <w:ind w:right="473"/>
              <w:spacing w:after="0"/>
              <w:rPr>
                <w:sz w:val="20"/>
                <w:szCs w:val="20"/>
                <w:color w:val="auto"/>
              </w:rPr>
            </w:pPr>
            <w:r>
              <w:rPr>
                <w:rFonts w:ascii="Arial" w:cs="Arial" w:eastAsia="Arial" w:hAnsi="Arial"/>
                <w:sz w:val="14"/>
                <w:szCs w:val="14"/>
                <w:b w:val="1"/>
                <w:bCs w:val="1"/>
                <w:color w:val="auto"/>
              </w:rPr>
              <w:t>C</w:t>
            </w:r>
          </w:p>
        </w:tc>
      </w:tr>
      <w:tr>
        <w:trPr>
          <w:trHeight w:val="211"/>
        </w:trPr>
        <w:tc>
          <w:tcPr>
            <w:tcW w:w="3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and Payments due on</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41"/>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Separation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Compensation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Severance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2,400,000</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2,496,076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2,496,076</w:t>
            </w: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2,496,076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866,925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1,652,702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1,652,702</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34,257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51,385</w:t>
            </w: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90,000</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50"/>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Gross-Up</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n/a</w:t>
            </w:r>
          </w:p>
        </w:tc>
      </w:tr>
      <w:tr>
        <w:trPr>
          <w:trHeight w:val="264"/>
        </w:trPr>
        <w:tc>
          <w:tcPr>
            <w:tcW w:w="3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 xml:space="preserve">Allan D. Schoening </w:t>
            </w:r>
            <w:r>
              <w:rPr>
                <w:rFonts w:ascii="Arial" w:cs="Arial" w:eastAsia="Arial" w:hAnsi="Arial"/>
                <w:sz w:val="8"/>
                <w:szCs w:val="8"/>
                <w:b w:val="1"/>
                <w:bCs w:val="1"/>
                <w:color w:val="auto"/>
                <w:w w:val="93"/>
              </w:rPr>
              <w:t>(5)</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xml:space="preserve">Peter L. McCann </w:t>
            </w:r>
            <w:r>
              <w:rPr>
                <w:rFonts w:ascii="Arial" w:cs="Arial" w:eastAsia="Arial" w:hAnsi="Arial"/>
                <w:sz w:val="8"/>
                <w:szCs w:val="8"/>
                <w:b w:val="1"/>
                <w:bCs w:val="1"/>
                <w:color w:val="auto"/>
              </w:rPr>
              <w:t>(4)</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64"/>
        </w:trPr>
        <w:tc>
          <w:tcPr>
            <w:tcW w:w="3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22"/>
                <w:szCs w:val="22"/>
                <w:color w:val="auto"/>
              </w:rPr>
            </w:pP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22"/>
                <w:szCs w:val="22"/>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22"/>
                <w:szCs w:val="22"/>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22"/>
                <w:szCs w:val="22"/>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22"/>
                <w:szCs w:val="22"/>
                <w:color w:val="auto"/>
              </w:rPr>
            </w:pPr>
          </w:p>
        </w:tc>
        <w:tc>
          <w:tcPr>
            <w:tcW w:w="980" w:type="dxa"/>
            <w:vAlign w:val="bottom"/>
          </w:tcPr>
          <w:p>
            <w:pPr>
              <w:jc w:val="right"/>
              <w:ind w:right="473"/>
              <w:spacing w:after="0"/>
              <w:rPr>
                <w:sz w:val="20"/>
                <w:szCs w:val="20"/>
                <w:color w:val="auto"/>
              </w:rPr>
            </w:pPr>
            <w:r>
              <w:rPr>
                <w:rFonts w:ascii="Arial" w:cs="Arial" w:eastAsia="Arial" w:hAnsi="Arial"/>
                <w:sz w:val="14"/>
                <w:szCs w:val="14"/>
                <w:b w:val="1"/>
                <w:bCs w:val="1"/>
                <w:color w:val="auto"/>
              </w:rPr>
              <w:t>C</w:t>
            </w:r>
          </w:p>
        </w:tc>
      </w:tr>
      <w:tr>
        <w:trPr>
          <w:trHeight w:val="250"/>
        </w:trPr>
        <w:tc>
          <w:tcPr>
            <w:tcW w:w="3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380"/>
              <w:spacing w:after="0"/>
              <w:rPr>
                <w:sz w:val="20"/>
                <w:szCs w:val="20"/>
                <w:color w:val="auto"/>
              </w:rPr>
            </w:pPr>
            <w:r>
              <w:rPr>
                <w:rFonts w:ascii="Arial" w:cs="Arial" w:eastAsia="Arial" w:hAnsi="Arial"/>
                <w:sz w:val="18"/>
                <w:szCs w:val="18"/>
                <w:color w:val="auto"/>
              </w:rPr>
              <w:t>Cash Severance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1,026,629</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518,364</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1,036,728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752,529</w:t>
            </w:r>
          </w:p>
        </w:tc>
        <w:tc>
          <w:tcPr>
            <w:tcW w:w="3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752,529</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501,174</w:t>
            </w:r>
          </w:p>
        </w:tc>
        <w:tc>
          <w:tcPr>
            <w:tcW w:w="1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766,543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766,543</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3040" w:type="dxa"/>
            <w:vAlign w:val="bottom"/>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54,998</w:t>
            </w: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47,124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tcPr>
          <w:p>
            <w:pPr>
              <w:ind w:left="380"/>
              <w:spacing w:after="0"/>
              <w:rPr>
                <w:sz w:val="20"/>
                <w:szCs w:val="20"/>
                <w:color w:val="auto"/>
              </w:rPr>
            </w:pPr>
            <w:r>
              <w:rPr>
                <w:rFonts w:ascii="Arial" w:cs="Arial" w:eastAsia="Arial" w:hAnsi="Arial"/>
                <w:sz w:val="18"/>
                <w:szCs w:val="18"/>
                <w:color w:val="auto"/>
              </w:rPr>
              <w:t>Tax Gross-Up</w:t>
            </w:r>
          </w:p>
        </w:tc>
        <w:tc>
          <w:tcPr>
            <w:tcW w:w="280" w:type="dxa"/>
            <w:vAlign w:val="bottom"/>
          </w:tcPr>
          <w:p>
            <w:pPr>
              <w:spacing w:after="0"/>
              <w:rPr>
                <w:sz w:val="21"/>
                <w:szCs w:val="21"/>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left="540" w:hanging="316"/>
        <w:spacing w:after="0" w:line="267"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the value of unvested options, restricted stock awards, restricted stock units, phantom units and deferred share awards as of December 28, 2018 that would be accelerated as a result of the separation event based on Civeo’s share price of $1.43, which was the closing market price of Civeo’s common shares on December 28, 2018. For performance shares, the payout is assumed at target level. Due to the exercise price for the unvested options that would become vested and exercisable on a Change of Control and the price of Civeo’s common shares as of December 28, 2018, the aggregate value of such stock options would be zero.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28, 2018. The treatment of Performance Share Awards during a Change of Control is described more fully under “Compensation Program Components—Performance Share Award Program”.</w:t>
      </w:r>
    </w:p>
    <w:p>
      <w:pPr>
        <w:spacing w:after="0" w:line="1" w:lineRule="exact"/>
        <w:rPr>
          <w:rFonts w:ascii="Arial" w:cs="Arial" w:eastAsia="Arial" w:hAnsi="Arial"/>
          <w:sz w:val="17"/>
          <w:szCs w:val="17"/>
          <w:color w:val="auto"/>
        </w:rPr>
      </w:pPr>
    </w:p>
    <w:p>
      <w:pPr>
        <w:ind w:left="540" w:right="260" w:hanging="316"/>
        <w:spacing w:after="0" w:line="28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spacing w:after="0" w:line="1" w:lineRule="exact"/>
        <w:rPr>
          <w:rFonts w:ascii="Arial" w:cs="Arial" w:eastAsia="Arial" w:hAnsi="Arial"/>
          <w:sz w:val="16"/>
          <w:szCs w:val="16"/>
          <w:color w:val="auto"/>
        </w:rPr>
      </w:pPr>
    </w:p>
    <w:p>
      <w:pPr>
        <w:ind w:left="540" w:right="780" w:hanging="316"/>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ind w:left="540" w:right="340" w:hanging="316"/>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severance amounts and Outplacement Assistance for Mr. McCann would be made in Australian dollars and are reflected in this table in U.S. dollars using the average exchange rate for 2018 of $0.7480.</w:t>
      </w:r>
    </w:p>
    <w:p>
      <w:pPr>
        <w:ind w:left="540" w:right="260" w:hanging="316"/>
        <w:spacing w:after="0" w:line="261"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severance amounts, Health and Welfare Benefits and Outplacement Assistance for Mr. Schoening would be made in Canadian dollars and are reflected in this table in U.S. dollars using the average exchange rate for 2018 of $0.7719.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non-employee directors receive compensation for their services on the board of directors. Directors who are also our employees do not receive a retainer or fees for service on our board of directors or any committees. Accordingly, Mr. Dodson, a director of Civeo and Civeo’s President and Chief Executive Officer, does not receive director compensation. Beginning in 2019, directors who are not employees receive an annual retainer of $65,000. The non-employee director who serves as the Chairman of the Board receives an additional annual retainer of $75,000, which is paid quarterly 50% in cash and 50% in fully vested common shares. Each non-employee director who serves as the chairman of a committee receives an additional annual retainer. The chairman of the Compensation Committee receives an additional $23,000, the Nominating and Corporate Governance Committee and the Finance and Investment Committee chairman receives an additional $18,000. The chairman of the Audit Committee receives an additional annual retainer of $27,500. Members of the Nominating and Corporate Governance Committee, the Compensation Committee and the Finance and Investment Committee, other than the Committee chairman, receive an additional annual retainer of $13,000 and members of the Audit Committee, other than the Committee chairman, receive an additional annual retainer of $18,000. All committee retainers are paid in cash. Newly elected non-employee directors receive restricted stock awards valued at $125,000 after their initial election. In addition, non-employee directors who have served for not less than six months receive additional restricted stock awards valued at $125,000 at each annual shareholders’ meeting after which they continue to serve. The non-employee directors’ restricted stock awards are valued on the award date based on the closing share price and vest on the earlier of one year from the date of grant or the next annual shareholders’ meeting date following the date of grant.</w:t>
      </w:r>
    </w:p>
    <w:p>
      <w:pPr>
        <w:spacing w:after="0" w:line="18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Non-employee directors are also subject to Civeo’s share ownership and holding period guidelines pursuant to which they are expected to retain shares from restricted stock awards remaining, after payment of applicable taxes, valued at five times the annual retainer amount, or $325,000, until retirement or until leaving the board of directors. Once the ownership guideline is established for a director and communicated, the director has five years to attain the targeted level of ownership. All directors are expected to be in compliance with the guidelines within the five-year period for compliance.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the compensation paid by Civeo to non-employee directors for the fiscal year ended December 31, 2018:</w:t>
      </w:r>
    </w:p>
    <w:p>
      <w:pPr>
        <w:spacing w:after="0" w:line="200" w:lineRule="exact"/>
        <w:rPr>
          <w:sz w:val="20"/>
          <w:szCs w:val="20"/>
          <w:color w:val="auto"/>
        </w:rPr>
      </w:pPr>
    </w:p>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Fees Earned or</w:t>
            </w:r>
          </w:p>
        </w:tc>
        <w:tc>
          <w:tcPr>
            <w:tcW w:w="38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4"/>
                <w:szCs w:val="14"/>
                <w:color w:val="auto"/>
              </w:rPr>
            </w:pPr>
          </w:p>
        </w:tc>
        <w:tc>
          <w:tcPr>
            <w:tcW w:w="144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Paid in Cash</w:t>
            </w:r>
          </w:p>
        </w:tc>
        <w:tc>
          <w:tcPr>
            <w:tcW w:w="380" w:type="dxa"/>
            <w:vAlign w:val="bottom"/>
          </w:tcPr>
          <w:p>
            <w:pPr>
              <w:spacing w:after="0"/>
              <w:rPr>
                <w:sz w:val="16"/>
                <w:szCs w:val="16"/>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(1)</w:t>
            </w:r>
          </w:p>
        </w:tc>
        <w:tc>
          <w:tcPr>
            <w:tcW w:w="4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9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C. Ronald Blankenship</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129,000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254,000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Ronald J. Gilbertson </w:t>
            </w:r>
            <w:r>
              <w:rPr>
                <w:rFonts w:ascii="Arial" w:cs="Arial" w:eastAsia="Arial" w:hAnsi="Arial"/>
                <w:sz w:val="25"/>
                <w:szCs w:val="25"/>
                <w:color w:val="auto"/>
                <w:vertAlign w:val="superscript"/>
              </w:rPr>
              <w:t>(2)</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59,438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184,438</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Martin A. Lambert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107,000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232,000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Constance B. Moore</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253,500</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Charles Szalkowski</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118,000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243,000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Timothy O. Wall</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40" w:hanging="316"/>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 the “Share Awards” column reflect the aggregate grant date fair value of restricted stock awards granted in 2018 calculated in accordance with FASB ASC Topic 718—Stock Compensation. Please see Note 19 to the notes to consolidated financial statements included in Item 8 of Civeo’s Annual Report on Form 10-K for the year ended December 31, 2018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$37,500 of Civeo common shares as part of his fees as Chairman of the Board, which vested on the grant date.</w:t>
      </w:r>
    </w:p>
    <w:p>
      <w:pPr>
        <w:spacing w:after="0" w:line="189" w:lineRule="exact"/>
        <w:rPr>
          <w:rFonts w:ascii="Arial" w:cs="Arial" w:eastAsia="Arial" w:hAnsi="Arial"/>
          <w:sz w:val="18"/>
          <w:szCs w:val="18"/>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Gilbertson resigned from the board of directors effective March 31, 2019.</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2018, the aggregate number of unvested restricted stock awards and the aggregate number of shares outstanding underlying option awards held by non-employee directors are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gridSpan w:val="2"/>
          </w:tcPr>
          <w:p>
            <w:pPr>
              <w:ind w:left="920"/>
              <w:spacing w:after="0"/>
              <w:rPr>
                <w:sz w:val="20"/>
                <w:szCs w:val="20"/>
                <w:color w:val="auto"/>
              </w:rPr>
            </w:pPr>
            <w:r>
              <w:rPr>
                <w:rFonts w:ascii="Arial" w:cs="Arial" w:eastAsia="Arial" w:hAnsi="Arial"/>
                <w:sz w:val="14"/>
                <w:szCs w:val="14"/>
                <w:b w:val="1"/>
                <w:bCs w:val="1"/>
                <w:color w:val="auto"/>
              </w:rPr>
              <w:t>Share Awards</w:t>
            </w:r>
          </w:p>
        </w:tc>
        <w:tc>
          <w:tcPr>
            <w:tcW w:w="1880" w:type="dxa"/>
            <w:vAlign w:val="bottom"/>
          </w:tcPr>
          <w:p>
            <w:pPr>
              <w:ind w:left="460"/>
              <w:spacing w:after="0"/>
              <w:rPr>
                <w:sz w:val="20"/>
                <w:szCs w:val="20"/>
                <w:color w:val="auto"/>
              </w:rPr>
            </w:pPr>
            <w:r>
              <w:rPr>
                <w:rFonts w:ascii="Arial" w:cs="Arial" w:eastAsia="Arial" w:hAnsi="Arial"/>
                <w:sz w:val="14"/>
                <w:szCs w:val="14"/>
                <w:b w:val="1"/>
                <w:bCs w:val="1"/>
                <w:color w:val="auto"/>
              </w:rPr>
              <w:t>Option Awards</w:t>
            </w:r>
          </w:p>
        </w:tc>
      </w:tr>
      <w:tr>
        <w:trPr>
          <w:trHeight w:val="250"/>
        </w:trPr>
        <w:tc>
          <w:tcPr>
            <w:tcW w:w="2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Richard A. Navarre</w:t>
            </w:r>
          </w:p>
        </w:tc>
        <w:tc>
          <w:tcPr>
            <w:tcW w:w="2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 Ronald Blankenship</w:t>
            </w:r>
          </w:p>
        </w:tc>
        <w:tc>
          <w:tcPr>
            <w:tcW w:w="2280" w:type="dxa"/>
            <w:vAlign w:val="bottom"/>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21"/>
                <w:szCs w:val="21"/>
                <w:color w:val="auto"/>
              </w:rPr>
            </w:pPr>
          </w:p>
        </w:tc>
        <w:tc>
          <w:tcPr>
            <w:tcW w:w="188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Ronald J. Gilbertson (1)</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Martin A. Lambert</w:t>
            </w:r>
          </w:p>
        </w:tc>
        <w:tc>
          <w:tcPr>
            <w:tcW w:w="2280" w:type="dxa"/>
            <w:vAlign w:val="bottom"/>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21"/>
                <w:szCs w:val="21"/>
                <w:color w:val="auto"/>
              </w:rPr>
            </w:pPr>
          </w:p>
        </w:tc>
        <w:tc>
          <w:tcPr>
            <w:tcW w:w="188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Constance B. Moore</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Charles Szalkowski</w:t>
            </w:r>
          </w:p>
        </w:tc>
        <w:tc>
          <w:tcPr>
            <w:tcW w:w="2280" w:type="dxa"/>
            <w:vAlign w:val="bottom"/>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21"/>
                <w:szCs w:val="21"/>
                <w:color w:val="auto"/>
              </w:rPr>
            </w:pPr>
          </w:p>
        </w:tc>
        <w:tc>
          <w:tcPr>
            <w:tcW w:w="188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Timothy O. Wall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80" w:hanging="427"/>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Gilbertson resigned from the board of directors effective March 31, 2019.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2018 annual total compensation of the median compensated employee was $67,159. Mr. Dodson’s 2018 annual total compensation was $3,433,865 and the ratio of these two amounts was 51:1.</w:t>
      </w:r>
    </w:p>
    <w:p>
      <w:pPr>
        <w:spacing w:after="0" w:line="17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payroll and employment records and the methodology described below. As permitted by SEC rules, for our 2018 pay ratio reported above, we used a median employee whose compensation is substantially similar to the median employee we used for our fiscal 2017 pay ratio based on the compensation measure used to select fiscal 2017 median employee, as there has been no change in our employee population or employee compensation arrangements that we believe would significantly impact our pay ratio disclosure (after we omitted from consideration the approximately 600 employees that became employees of Civeo as a result of our acquisition of Noralta in April 2018), but there were changes to our original median employee’s circumstances that would have resulted in a significant distortion of our pay ratio disclosure. We identified the original median compensated employee from our employee population as of December 31, 2017 using base salary or wages and overtime paid during fiscal 2017, which we annualized for any permanent employee who did not work for the entire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or relationships required to be disclosed under Item 404(a) of Regulation S-K during the past fiscal year.</w:t>
      </w:r>
    </w:p>
    <w:p>
      <w:pPr>
        <w:spacing w:after="0" w:line="22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spacing w:after="0" w:line="16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Code of Conduct prohibits conflicts of interest. Any waivers of these guidelines must be approved by the Nominating and Corporate Governance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187" w:lineRule="exact"/>
        <w:rPr>
          <w:sz w:val="20"/>
          <w:szCs w:val="20"/>
          <w:color w:val="auto"/>
        </w:rPr>
      </w:pPr>
    </w:p>
    <w:p>
      <w:pPr>
        <w:jc w:val="both"/>
        <w:ind w:right="180" w:firstLine="432"/>
        <w:spacing w:after="0" w:line="276" w:lineRule="auto"/>
        <w:rPr>
          <w:sz w:val="20"/>
          <w:szCs w:val="20"/>
          <w:color w:val="auto"/>
        </w:rPr>
      </w:pPr>
      <w:r>
        <w:rPr>
          <w:rFonts w:ascii="Arial" w:cs="Arial" w:eastAsia="Arial" w:hAnsi="Arial"/>
          <w:sz w:val="17"/>
          <w:szCs w:val="17"/>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Nominating and Corporate Governance Committee, our board of directors or our independent registered public accounting firm, as deemed appropriate, and discussed with management. As part of this review, the following factors will generally be considered:</w:t>
      </w:r>
    </w:p>
    <w:p>
      <w:pPr>
        <w:spacing w:after="0" w:line="78" w:lineRule="exact"/>
        <w:rPr>
          <w:sz w:val="20"/>
          <w:szCs w:val="20"/>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nature of the related party’s interest in the transaction;</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party;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Civeo’s best interest;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Ultimately, all material related-party transactions must be approved or ratified by the Nominating and Corporate Governance Committee of our board of directors. Any member of the Nominating and Corporate Governance Committee who is a related party with respect to a transaction would be recused from the review of the transaction.</w:t>
      </w:r>
    </w:p>
    <w:p>
      <w:pPr>
        <w:spacing w:after="0" w:line="181"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ind w:right="420" w:firstLine="432"/>
        <w:spacing w:after="0" w:line="254" w:lineRule="auto"/>
        <w:rPr>
          <w:sz w:val="20"/>
          <w:szCs w:val="20"/>
          <w:color w:val="auto"/>
        </w:rPr>
      </w:pPr>
      <w:r>
        <w:rPr>
          <w:rFonts w:ascii="Arial" w:cs="Arial" w:eastAsia="Arial" w:hAnsi="Arial"/>
          <w:sz w:val="18"/>
          <w:szCs w:val="18"/>
          <w:color w:val="auto"/>
        </w:rPr>
        <w:t>We also have other policies and procedures to prevent conflicts of interest, including related-party transactions. For example, the charter of our Nominating and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w:t>
      </w:r>
    </w:p>
    <w:p>
      <w:pPr>
        <w:spacing w:after="0" w:line="116" w:lineRule="exact"/>
        <w:rPr>
          <w:sz w:val="20"/>
          <w:szCs w:val="20"/>
          <w:color w:val="auto"/>
        </w:rPr>
      </w:pPr>
    </w:p>
    <w:p>
      <w:pPr>
        <w:ind w:left="640" w:right="40" w:hanging="321"/>
        <w:spacing w:after="0" w:line="258"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 of Civeo’s funds, assets or services will be used for political contributions, directly or indirectly, unless allowed by applicable foreign and U.S. law and approved in advance by our board of directors.</w:t>
      </w:r>
    </w:p>
    <w:p>
      <w:pPr>
        <w:spacing w:after="0" w:line="1" w:lineRule="exact"/>
        <w:rPr>
          <w:rFonts w:ascii="Arial" w:cs="Arial" w:eastAsia="Arial" w:hAnsi="Arial"/>
          <w:sz w:val="18"/>
          <w:szCs w:val="18"/>
          <w:color w:val="auto"/>
        </w:rPr>
      </w:pPr>
    </w:p>
    <w:p>
      <w:pPr>
        <w:ind w:left="640" w:right="180" w:hanging="321"/>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contributions by Civeo to support or oppose public referenda or similar ballot issues are only permitted with advance approval of our board of directors.</w:t>
      </w:r>
    </w:p>
    <w:p>
      <w:pPr>
        <w:ind w:left="640" w:right="60" w:hanging="321"/>
        <w:spacing w:after="0" w:line="255"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40" w:right="80"/>
        <w:spacing w:after="0" w:line="395" w:lineRule="auto"/>
        <w:rPr>
          <w:sz w:val="20"/>
          <w:szCs w:val="20"/>
          <w:color w:val="auto"/>
        </w:rPr>
      </w:pPr>
      <w:r>
        <w:rPr>
          <w:rFonts w:ascii="Arial" w:cs="Arial" w:eastAsia="Arial" w:hAnsi="Arial"/>
          <w:sz w:val="16"/>
          <w:szCs w:val="16"/>
          <w:color w:val="auto"/>
        </w:rPr>
        <w:t>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Noralta Acquisition</w:t>
      </w:r>
    </w:p>
    <w:p>
      <w:pPr>
        <w:spacing w:after="0" w:line="22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April 2, 2018, we acquired the equity of Noralta, located in Alberta, Canada. The total consideration, which is subject to adjustment in accordance with the terms of the definitive agreement, included (i) C$207.7 million (or approximately US$161.2 million) in cash, of which C$43.5 million was initially held in escrow by Alliance Trust Company (the “Escrow Agent”) to cover purchase price adjustments related to any closing date working capital shortfall and to support the sellers’ indemnification obligations under the definitive agreement and certain obligations of the sellers to compensate us for certain increased employee compensation costs that were incurred as a result of the union certification of certain classes of Noralta employees, (ii) 32.8 million of our common shares, of which (a) 13.5 million shares are held in escrow by the Escrow Agent and will be released based on certain conditions related to Noralta customer contracts remaining in place and (b) 2.4 million shares were held in escrow by the Escrow Agent and were released based on the employee compensation cost increases described above, and (iii) 9,679 Class A Series 1 preferred shares with an initial liquidation preference of $96.8 million, of which 692 shares were held in escrow by the Escrow Agent and were released based on the employee compensation cost increases described above. During the third quarter of 2018, $3.6 million in cash was released to us from escrow to cover purchase price adjustments related to a working capital shortfall at closing. During the fourth quarter of 2018, $10.4 million in cash, 2.2 million common shares and 637 preferred shares were released to us, and $1.2 million in cash, 0.2 million common shares and 55 preferred shares were released to the sellers, from escrow to cover purchase price adjustments related to the employee compensation cost increases described above. During the first quarter of 2019, $2.1 million in cash was released to us from escrow to cover certain agreed upon indemnification claims.</w:t>
      </w:r>
    </w:p>
    <w:p>
      <w:pPr>
        <w:spacing w:after="0" w:line="18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Holders of the preferred shares are entitled to receive a 2% annual dividend on the liquidation preference, paid quarterly in cash or, at our option, by increasing the preferred shares’ liquidation preference. The preferred shares are convertible into common shares at a conversion price of $3.30 per preferred share, subject to customary anti-dilution adjustments (the “Conversion Price”). We have the right to elect to convert the preferred shares into common shares if the 15-day volume weighted average price of the common shares is equal to or exceeds the Conversion Price. Holders of the preferred shares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19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connection with closing of the Acquisition, we entered into the registration rights, lock-up and standstill agreement, dated April 2, 2018 (the “Registration Rights Agreement”), with Torgerson Family Trust (“Torgerson Trust”) and 989677 Alberta Ltd. (collectively, the “Restricted Shareholders”). Pursuant to the Registration Rights Agreement, for a period of 18 months following the closing, the Restricted Shareholders have agreed not to transfer any of their common shares without our prior written consent, with certain limited exceptions for permitted transfers. Following such 18-month period, the Restricted Shareholders will be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spacing w:after="0" w:line="183"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color w:val="auto"/>
        </w:rPr>
        <w:t>The Registration Rights Agreement also provides that, as soon as practicable following the date that is 18 months after the date of the Registration Rights Agreement, but in no event more than 30 days thereafter, we will use our commercially reasonable efforts to prepare and file a shelf registration statement under the Securities Act covering the public offering of the registrable securities held by the Restricted Shareholders and cause such shelf registration statement to become effective within 150 days after filing. In addition, the Restricted Shareholders have customary “piggy-back” rights with respect to public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offerings of common shares by Civeo. In the event the shelf registration statement does not become effective within the time period specified in the Registration Rights Agreement, the dividend rate of the preferred shares will be increased by (i) 0.25% per annum commencing on the first succeeding dividend date after such registration default and (ii) 0.25% per annum on each subsequent dividend date until such time as a shelf registration statement becomes effective (up to a maximum increase of 1.00% per annum). The Registration Rights Agreement also provides that we will pay certain expenses relating to such registrations and indemnify the Restricted Shareholders against (or make contributions in respect of) certain liabilities which may arise under the Securities Act.</w:t>
      </w:r>
    </w:p>
    <w:p>
      <w:pPr>
        <w:spacing w:after="0" w:line="19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agreed in the purchase agreement for the Acquisition to expand the size of our board of directors at closing to eight members and appoint to the board of directors as a Class I director Lance Torgerson, or with our prior written consent, following the review and approval of the proposed nominee by the Nominating and Corporate Governance Committee, an alternate nominee of the Torgerson Trust. The Torgerson Trust selected Ronald J. Gilbertson as an alternate nominee to be appointed to the board of directors and, following the review and approval of the proposed nominee by the Nominating and Corporate Governance Committee, the board of directors consented to his selection effective as of closing in April 2018. In accordance with the purchase agreement, we nominated Mr. Gilbertson for re-election to the board of directors at the 2018 annual general meeting. Following such nomination, the Torgerson Trust has no further board nomination rights under the purchase agreement. Mr. Gilbertson resigned from the board of directors effective March 31, 2019 and, effective upon such resignation, we reduced the size of the board from eight members to seven.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Section 16 Reporting Persons are required by SEC regulations to furnish Civeo with copies of all Section 16(a) reports they file.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solely on its review of the copies of such reports received by it, and written representations from certain Section 16 Reporting Persons that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Section 16(a) reports required to be filed for such persons had been filed, Civeo believes that during 2018 the Section 16 Reporting Persons complied with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16(a) filing requirements applicable to them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31, 2019 by:</w:t>
      </w:r>
    </w:p>
    <w:p>
      <w:pPr>
        <w:spacing w:after="0" w:line="142" w:lineRule="exact"/>
        <w:rPr>
          <w:sz w:val="20"/>
          <w:szCs w:val="20"/>
          <w:color w:val="auto"/>
        </w:rPr>
      </w:pPr>
    </w:p>
    <w:p>
      <w:pPr>
        <w:ind w:left="640" w:hanging="321"/>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within 60 days of March 31, 2019 are considered outstanding. These shares, however, are not considered outstanding as of March 31, 2019 when computing the percentage ownership of each other person.</w:t>
      </w:r>
    </w:p>
    <w:p>
      <w:pPr>
        <w:spacing w:after="0" w:line="18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365"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Common</w:t>
            </w:r>
          </w:p>
        </w:tc>
        <w:tc>
          <w:tcPr>
            <w:tcW w:w="1640" w:type="dxa"/>
            <w:vAlign w:val="bottom"/>
          </w:tcPr>
          <w:p>
            <w:pPr>
              <w:spacing w:after="0"/>
              <w:rPr>
                <w:sz w:val="18"/>
                <w:szCs w:val="18"/>
                <w:color w:val="auto"/>
              </w:rPr>
            </w:pPr>
          </w:p>
        </w:tc>
      </w:tr>
      <w:tr>
        <w:trPr>
          <w:trHeight w:val="261"/>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6"/>
                <w:szCs w:val="16"/>
                <w:b w:val="1"/>
                <w:bCs w:val="1"/>
                <w:color w:val="auto"/>
              </w:rPr>
              <w:t>(1)</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Percentage</w:t>
            </w:r>
            <w:r>
              <w:rPr>
                <w:rFonts w:ascii="Arial" w:cs="Arial" w:eastAsia="Arial" w:hAnsi="Arial"/>
                <w:sz w:val="21"/>
                <w:szCs w:val="21"/>
                <w:b w:val="1"/>
                <w:bCs w:val="1"/>
                <w:color w:val="auto"/>
                <w:vertAlign w:val="superscript"/>
              </w:rPr>
              <w:t>(2)</w:t>
            </w:r>
          </w:p>
        </w:tc>
      </w:tr>
      <w:tr>
        <w:trPr>
          <w:trHeight w:val="244"/>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Horizon Kinetics LLC (3)</w:t>
            </w:r>
          </w:p>
        </w:tc>
        <w:tc>
          <w:tcPr>
            <w:tcW w:w="1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36,947,116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470 Park Avenue South, 4th Floor South</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New York, NY 10016</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Lance Torgerson (4)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30,634,519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596 McClure Road</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Kelowna, British Columbia V1W 1H3</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FMR LLC (5)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17,273,118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245 Summer Street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Boston, MA 02210</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Renaissance Technologies LLC (6)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9,743,320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800 Third Avenue</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New York, NY 10022</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208,298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Bradley J. Dodson (7)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1,524,568</w:t>
            </w:r>
          </w:p>
        </w:tc>
        <w:tc>
          <w:tcPr>
            <w:tcW w:w="12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Frank C. Steininger</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1,050,456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Peter L. McCann</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552,272</w:t>
            </w:r>
          </w:p>
        </w:tc>
        <w:tc>
          <w:tcPr>
            <w:tcW w:w="12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Allan D. Schoening</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 Ronald Blankenship</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180,710</w:t>
            </w:r>
          </w:p>
        </w:tc>
        <w:tc>
          <w:tcPr>
            <w:tcW w:w="12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Martin A. Lambert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213,582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Constance B. Moore</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192,025</w:t>
            </w:r>
          </w:p>
        </w:tc>
        <w:tc>
          <w:tcPr>
            <w:tcW w:w="12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Charles Szalkowski</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181,205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Timothy O. Wall</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85,408</w:t>
            </w:r>
          </w:p>
        </w:tc>
        <w:tc>
          <w:tcPr>
            <w:tcW w:w="12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current directors and executive officers as a group (10 persons) (7)</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4,410,043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5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980" w:hanging="324"/>
        <w:spacing w:after="0"/>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total shares outstanding of 169,301,917 as of March 31, 2019.</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120" w:hanging="316"/>
        <w:spacing w:after="0" w:line="25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13, 2019, Horizon Kinetics LLC has beneficial ownership of 36,947,116 shares and sole voting and dispositive power over those shares. The Schedule 13G/A further reports that Horizon Asset Management LLC has beneficial ownership of 28,939,215 shares, with sole voting and sole dispositive power over all those shares, and that Kinetics Asset Management LLC and Kinetics Advisers, LLC also beneficially own shares of the security class being reported.</w:t>
      </w:r>
    </w:p>
    <w:p>
      <w:pPr>
        <w:spacing w:after="0" w:line="186" w:lineRule="exact"/>
        <w:rPr>
          <w:rFonts w:ascii="Arial" w:cs="Arial" w:eastAsia="Arial" w:hAnsi="Arial"/>
          <w:sz w:val="18"/>
          <w:szCs w:val="18"/>
          <w:color w:val="auto"/>
        </w:rPr>
      </w:pPr>
    </w:p>
    <w:p>
      <w:pPr>
        <w:ind w:left="540" w:right="20" w:hanging="316"/>
        <w:spacing w:after="0" w:line="285"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a Schedule 13D/A filed pursuant to the Exchange Act on March 8, 2019, Torgerson Family Trust may be deemed to have shared power to vote or to direct the vote and shared power to dispose or to direct the disposition of an aggregate of 24,686,306 shares held directly by Torgerson Family Trust. 989677 Alberta Ltd. may be deemed to have shared power to vote or to direct the vote and shared power to dispose or to direct the disposition of an aggregate of 5,948,213 shares held directly by 989677 Alberta Ltd. As direct owner of all of the voting shares of 989677 Alberta Ltd., Svenco Investments Ltd. may be deemed to have shared power to vote or to direct the vote and shared power to dispose or to direct the disposition of an aggregate of 5,948,213 shares held directly by 989677 Alberta Ltd. As one of three co-trustees of Torgerson Family Trust, Lance Torgerson may be deemed to have shared power to vote or to direct the vote and shared power to dispose or to direct the disposition of an aggregate of 24,686,306 shares held by Torgerson Family Trust. As sole director and indirect beneficial owner of all of the voting shares of 989677 Alberta Ltd., Lance Torgerson may be deemed to have shared power to vote or to direct the vote and shared power to dispose or to direct the disposition of an aggregate of 5,948,213 shares held directly by 989677 Alberta Ltd. As one of three co-trustees of Torgerson Family Trust, Tammy Torgerson may be deemed to have shared power to vote or to direct the vote and shared power to dispose or to direct the disposition of an aggregate of 24,686,306 shares held directly by Torgerson Family Trust.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5,948,213 shares held directly by 989677 Alberta Ltd. Tammy Torgerson disclaims beneficial ownership, voting power, and power to dispose of the 5,948,213 shares held directly by 989677 Alberta Ltd. and indirectly by her spouse, Lance Torgerson. As one of three co-trustees of Torgerson Family Trust, Richard Torgerson may be deemed to have shared power to vote or to direct the vote and shared power to dispose or to direct the disposition of an aggregate of 24,686,306 shares held directly by Torgerson Family Trust. Richard Torgerson disclaims beneficial ownership, voting power, and power to dispose of the 24,686,306 shares held directly by Torgerson Family Trust. As a director and the owner (together with his spouse) of all of the shares of Final Holdings Ltd., Richard Torgerson may be deemed to have shared power to vote or to direct the vote and shared power to dispose or to direct the disposition of an aggregate of 65,800 shares held directly by Final Holdings Ltd.</w:t>
      </w:r>
    </w:p>
    <w:p>
      <w:pPr>
        <w:spacing w:after="0" w:line="168" w:lineRule="exact"/>
        <w:rPr>
          <w:rFonts w:ascii="Arial" w:cs="Arial" w:eastAsia="Arial" w:hAnsi="Arial"/>
          <w:sz w:val="16"/>
          <w:szCs w:val="16"/>
          <w:color w:val="auto"/>
        </w:rPr>
      </w:pPr>
    </w:p>
    <w:p>
      <w:pPr>
        <w:ind w:left="540" w:right="60" w:hanging="316"/>
        <w:spacing w:after="0" w:line="268"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a Schedule 13G/A filed pursuant to the Exchange Act on February 13, 2019, FMR LLC has beneficial ownership of 17,273,118 shares, the sole power to vote or direct the vote of 1,737,808 shares, and the sole power to dispose or direct the disposition of 17,273,118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our common shares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does not reflect shares, if any, beneficially owned by certain subsidiaries, affiliates or other companies whose beneficial ownership of shares is disaggregated from that of FMR LLC in accordance with SEC Release No. 34-39538 (January 12, 1998).</w:t>
      </w:r>
    </w:p>
    <w:p>
      <w:pPr>
        <w:spacing w:after="0" w:line="183" w:lineRule="exact"/>
        <w:rPr>
          <w:rFonts w:ascii="Arial" w:cs="Arial" w:eastAsia="Arial" w:hAnsi="Arial"/>
          <w:sz w:val="17"/>
          <w:szCs w:val="17"/>
          <w:color w:val="auto"/>
        </w:rPr>
      </w:pPr>
    </w:p>
    <w:p>
      <w:pPr>
        <w:ind w:left="540" w:hanging="316"/>
        <w:spacing w:after="0" w:line="25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13, 2019, Renaissance Technologies LLC (“RT LLC”) and Renaissance Technologies Holdings Corporation, which owns a majority interest in RT LLC, have beneficial ownership of 9,743,320 shares, and the sole power to vote or to direct the vote of 8,993,800 shares, the sole power to dispose or to direct the disposition of 9,139,840 shares and the shared power to dispose or to direct the disposition of 603,480 shares.</w:t>
      </w:r>
    </w:p>
    <w:p>
      <w:pPr>
        <w:spacing w:after="0" w:line="186" w:lineRule="exact"/>
        <w:rPr>
          <w:rFonts w:ascii="Arial" w:cs="Arial" w:eastAsia="Arial" w:hAnsi="Arial"/>
          <w:sz w:val="18"/>
          <w:szCs w:val="18"/>
          <w:color w:val="auto"/>
        </w:rPr>
      </w:pPr>
    </w:p>
    <w:p>
      <w:pPr>
        <w:ind w:left="540" w:hanging="316"/>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shares that may be acquired within 60 days of March 31, 2019 through the exercise of options to purchase shares as follows: Bradley Dodson</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 73,476; all current directors and executive officers as a group – 73,476.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2018 about our common shares issuable under the equity compensation plans we maintain for our employees and non-employee directors.</w:t>
      </w:r>
    </w:p>
    <w:p>
      <w:pPr>
        <w:spacing w:after="0" w:line="32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Securities to be</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Issued Upon</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Exercise Price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Available for</w:t>
            </w: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Warrants</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Options, Warrants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Future</w:t>
            </w:r>
          </w:p>
        </w:tc>
      </w:tr>
      <w:tr>
        <w:trPr>
          <w:trHeight w:val="234"/>
        </w:trPr>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and Rights(1)</w:t>
            </w: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and Rights(2)</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r>
      <w:tr>
        <w:trPr>
          <w:trHeight w:val="27"/>
        </w:trPr>
        <w:tc>
          <w:tcPr>
            <w:tcW w:w="4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5,247,558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8,289,591</w:t>
            </w: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w w:val="98"/>
              </w:rPr>
              <w:t>Equity compensation plans not approved by security</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1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5,247,558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8,289,591</w:t>
            </w:r>
          </w:p>
        </w:tc>
      </w:tr>
      <w:tr>
        <w:trPr>
          <w:trHeight w:val="27"/>
        </w:trPr>
        <w:tc>
          <w:tcPr>
            <w:tcW w:w="4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3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145,801 outstanding options and 5,101,757 outstanding awards of performance share awards (at target performance), restricted stock units and deferred share units.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145,801 outstanding options. The outstanding awards of performance share awards, restricted stock units and deferred share units do not have an exercise price associated with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Ernst &amp; Young LLP (“E&amp;Y”) to audit the consolidated financial statements of Civeo for the year ending December 31, 2019 and the internal control over financial reporting of Civeo at December 31, 2019. E&amp;Y has audited Civeo’s, or its predecessor’s, as applicable, consolidated financial statements beginning with the year ended December 31, 2010 through the year ended December 31, 2018. Our board of directors is asking shareholders to ratify the appointment of E&amp;Y as Civeo’s auditors for the year ending December 31, 2019 and until the next annual general meeting of shareholders and to authorize the directors, acting through the Audit Committee, to determine the remuneration to be paid to E&amp;Y for 2019. If the appointment is not ratified, the Audit Committee will consider whether it is appropriate to appoint another independent registered public accounting firm for 2020. Even if the selection is ratified, the Audit Committee in its discretion may appoint a different independent registered public accounting firm at any time during the year.</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aggregate fees billed by and paid to E&amp;Y for 2018 and 2017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2540" w:type="dxa"/>
        <w:tblCellMar>
          <w:top w:w="0" w:type="dxa"/>
          <w:left w:w="0" w:type="dxa"/>
          <w:bottom w:w="0" w:type="dxa"/>
          <w:right w:w="0" w:type="dxa"/>
        </w:tblCellMar>
      </w:tblPr>
      <w:tr>
        <w:trPr>
          <w:trHeight w:val="192"/>
        </w:trPr>
        <w:tc>
          <w:tcPr>
            <w:tcW w:w="27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primarily of the audit and quarterly reviews of the consolidated financial statements, audits of subsidiaries,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18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are fees paid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include professional services provided for tax compliance, tax advice and tax planning, except those rendered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include fees for access to an accounting research tool.</w:t>
      </w:r>
    </w:p>
    <w:p>
      <w:pPr>
        <w:spacing w:after="0" w:line="26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2018 and 2017 were pre-approved 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accordance with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and Corporate Secretary to ensure compliance with independence regulations.</w:t>
      </w:r>
    </w:p>
    <w:p>
      <w:pPr>
        <w:spacing w:after="0" w:line="187"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Form 10-K filed with the SEC on February 27, 2019.</w:t>
      </w:r>
    </w:p>
    <w:p>
      <w:pPr>
        <w:spacing w:after="0" w:line="147"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174" w:lineRule="exact"/>
        <w:rPr>
          <w:sz w:val="20"/>
          <w:szCs w:val="20"/>
          <w:color w:val="auto"/>
        </w:rPr>
      </w:pPr>
    </w:p>
    <w:p>
      <w:pPr>
        <w:ind w:right="100" w:firstLine="432"/>
        <w:spacing w:after="0" w:line="303" w:lineRule="auto"/>
        <w:rPr>
          <w:sz w:val="20"/>
          <w:szCs w:val="20"/>
          <w:color w:val="auto"/>
        </w:rPr>
      </w:pPr>
      <w:r>
        <w:rPr>
          <w:rFonts w:ascii="Arial" w:cs="Arial" w:eastAsia="Arial" w:hAnsi="Arial"/>
          <w:sz w:val="16"/>
          <w:szCs w:val="16"/>
          <w:b w:val="1"/>
          <w:bCs w:val="1"/>
          <w:color w:val="auto"/>
        </w:rPr>
        <w:t>The board of directors recommends that shareholders vote “FOR” the ratification of the appointment of E&amp;Y as Civeo’s independent registered public accounting firm for the year ending December 31, 2019 and until the next annual general meeting of shareholders and the authorization of the directors of Civeo, acting through the Audit Committee, to determine the remuneration to be paid to E&amp;Y for 2019. The persons named in the accompanying proxy intend to vote such proxy in favor of this proposal, unless authority to vote for this proposal is withheld.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During 2018, and earlier in 2019 in preparation for the filing with the SEC of Civeo’s Annual Report on Form 10-K for the year ended December 31, 2018, the Audit Committee:</w:t>
      </w:r>
    </w:p>
    <w:p>
      <w:pPr>
        <w:spacing w:after="0" w:line="76" w:lineRule="exact"/>
        <w:rPr>
          <w:sz w:val="20"/>
          <w:szCs w:val="20"/>
          <w:color w:val="auto"/>
        </w:rPr>
      </w:pPr>
    </w:p>
    <w:p>
      <w:pPr>
        <w:ind w:left="640" w:right="60" w:hanging="321"/>
        <w:spacing w:after="0" w:line="274"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reviewed and discussed (1) the audited annual financial statements and quarterly financial statements, (2) related periodic reports filed with the SEC and (3) quarterly earnings press releases with management and Civeo’s independent registered public accounting firm;</w:t>
      </w:r>
    </w:p>
    <w:p>
      <w:pPr>
        <w:ind w:left="640" w:hanging="321"/>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reviewed the overall scope and plans for the audit and the results of the independent registered public accounting firm’s examinations;</w:t>
      </w:r>
    </w:p>
    <w:p>
      <w:pPr>
        <w:spacing w:after="0" w:line="9" w:lineRule="exact"/>
        <w:rPr>
          <w:rFonts w:ascii="Arial" w:cs="Arial" w:eastAsia="Arial" w:hAnsi="Arial"/>
          <w:sz w:val="18"/>
          <w:szCs w:val="18"/>
          <w:color w:val="auto"/>
        </w:rPr>
      </w:pPr>
    </w:p>
    <w:p>
      <w:pPr>
        <w:ind w:left="640" w:right="100" w:hanging="321"/>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Civeo’s internal controls, including Civeo’s internal control over financial reporting and the quality of its financial reporting, and discussed these matters with Civeo’s independent registered public accounting firm and with appropriate Company financial and compliance personnel;</w:t>
      </w:r>
    </w:p>
    <w:p>
      <w:pPr>
        <w:spacing w:after="0" w:line="1" w:lineRule="exact"/>
        <w:rPr>
          <w:rFonts w:ascii="Arial" w:cs="Arial" w:eastAsia="Arial" w:hAnsi="Arial"/>
          <w:sz w:val="18"/>
          <w:szCs w:val="18"/>
          <w:color w:val="auto"/>
        </w:rPr>
      </w:pPr>
    </w:p>
    <w:p>
      <w:pPr>
        <w:ind w:left="640" w:hanging="321"/>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discussed with Civeo’s senior management and E&amp;Y, Civeo’s independent registered public accounting firm, the process used for Civeo’s Chief Executive Officer and Chief Financial Officer to make the certifications required by the SEC and the Sarbanes-Oxley Act of 2002 in connection with the Form 10-K and other periodic filings with the SEC;</w:t>
      </w:r>
    </w:p>
    <w:p>
      <w:pPr>
        <w:spacing w:after="0" w:line="1" w:lineRule="exact"/>
        <w:rPr>
          <w:rFonts w:ascii="Arial" w:cs="Arial" w:eastAsia="Arial" w:hAnsi="Arial"/>
          <w:sz w:val="18"/>
          <w:szCs w:val="18"/>
          <w:color w:val="auto"/>
        </w:rPr>
      </w:pPr>
    </w:p>
    <w:p>
      <w:pPr>
        <w:ind w:left="640" w:right="40" w:hanging="321"/>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required by applicable requirements of the PCAOB regarding E&amp;Y’s communications with the Audit Committee concerning independence;</w:t>
      </w:r>
    </w:p>
    <w:p>
      <w:pPr>
        <w:ind w:left="640" w:right="40" w:hanging="321"/>
        <w:spacing w:after="0" w:line="253"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and (4) the matters required to be discussed under auditing standards generally accepted in the United States, including Auditing Standard No. 1301, “Communication with Audit Committees”;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20" w:hanging="321"/>
        <w:spacing w:after="0" w:line="256"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2018 for filing with the SEC; and</w:t>
      </w:r>
    </w:p>
    <w:p>
      <w:pPr>
        <w:ind w:left="640" w:right="500" w:hanging="321"/>
        <w:spacing w:after="0" w:line="25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Civeo by E&amp;Y (discussed above under the Proposal to Ratify the Selection of Independent Registered Public Accounting Firm (“Proposal 2”)), are compatible with maintaining the independence of the independent auditors. The Audit Committee’s pre-approval policies and procedures are discussed above under Proposal 2.</w:t>
      </w:r>
    </w:p>
    <w:p>
      <w:pPr>
        <w:spacing w:after="0" w:line="1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2018 and on the representations of the independent auditors included in their report on Civeo’s financial statements.</w:t>
      </w:r>
    </w:p>
    <w:p>
      <w:pPr>
        <w:spacing w:after="0" w:line="182"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166"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Civeo specifically incorporates it by reference into a document filed under the Securities Act of 1933, as amended, or the Exchange Act of 1934, as amended.</w:t>
      </w:r>
    </w:p>
    <w:p>
      <w:pPr>
        <w:spacing w:after="0" w:line="14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Constance B. Moore</w:t>
      </w:r>
      <w:r>
        <w:rPr>
          <w:rFonts w:ascii="Arial" w:cs="Arial" w:eastAsia="Arial" w:hAnsi="Arial"/>
          <w:sz w:val="18"/>
          <w:szCs w:val="18"/>
          <w:i w:val="1"/>
          <w:iCs w:val="1"/>
          <w:color w:val="auto"/>
        </w:rPr>
        <w:t>, Chairperson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Charles Szalkowski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2015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2020 annual meeting of shareholders.</w:t>
      </w:r>
    </w:p>
    <w:p>
      <w:pPr>
        <w:spacing w:after="0" w:line="15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requesting your nonbinding vote on the following resolution:</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“RESOLVED, that the shareholders approve, on a non-binding, advisory basis, the compensation of Civeo’s named executive officers as disclosed in Civeo’s proxy statement for its 2019 annual general meeting of shareholders, pursuant to Item 402 of Regulation S-K, including the Compensation Discussion and Analysis, the executive compensation tables and the accompanying narrative discussion.”</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right="60" w:firstLine="432"/>
        <w:spacing w:after="0" w:line="343" w:lineRule="auto"/>
        <w:rPr>
          <w:sz w:val="20"/>
          <w:szCs w:val="20"/>
          <w:color w:val="auto"/>
        </w:rPr>
      </w:pPr>
      <w:r>
        <w:rPr>
          <w:rFonts w:ascii="Arial" w:cs="Arial" w:eastAsia="Arial" w:hAnsi="Arial"/>
          <w:sz w:val="15"/>
          <w:szCs w:val="15"/>
          <w:b w:val="1"/>
          <w:bCs w:val="1"/>
          <w:color w:val="auto"/>
        </w:rPr>
        <w:t>Civeo’s board of directors recommends a vote “FOR”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To be included in the proxy materials for the 2020 annual general meeting of shareholders under SEC Rule 14a-8, shareholder proposals that are submitted for presentation at that annual general meeting and are otherwise eligible for inclusion in the proxy statement must be received by us no later than December 13, 2019.</w:t>
      </w:r>
    </w:p>
    <w:p>
      <w:pPr>
        <w:spacing w:after="0" w:line="18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2020 annual general meeting of shareholders, notice will have to be received by us no later than January 17, 2020.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 If we choose not to include such a nominee, the shareholder will be required to distribute its own proxy materials in connection with its solicitation of proxies with respect to that nominee.</w:t>
      </w:r>
    </w:p>
    <w:p>
      <w:pPr>
        <w:spacing w:after="0" w:line="17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Proxies granted in connection with that annual general meeting may confer discretionary authority to vote on any shareholder proposal if notice of the proposal is not received by us in accordance with the advance notice requirements of our articles discussed above. It is suggested that proponents submit their proposals by certified mail, return receipt requested.</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(i) a valid proposal made by or at the discretion or request of one or more “qualified stockholders”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(ii)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SEC permits a single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a result, if you hold your shares through a broker and you reside at an address at which two or more shareholders reside, you will likely be receiving only one proxy statement and annual report unless any shareholder at that address has given the broker contrary instructions. However, if any such beneficial shareholder residing at such an address wishes to receive a separate proxy statement and annual report in the future, or if any such beneficial shareholder that elected to continue to receive separate proxy materials wishes to receive a single copy of the proxy statement and annual report in the future, that shareholder should contact their broker or send a request to our Corporate Secretary, Civeo Corporation, Three Allen Center, 333 Clay Street, Suite 4980, Houston, TX 77002, (713) 510-2400. We will deliver, promptly upon written or oral request to the Corporate Secretary at the contact information above, a separate copy of this proxy statement and Annual Report on Form 10-K for the fiscal year ended December 31, 2018 to a beneficial shareholder at a shared address to which a single copy of the documents was delivered</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5"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306705</wp:posOffset>
            </wp:positionV>
            <wp:extent cx="5848985" cy="7400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740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125"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306705</wp:posOffset>
            </wp:positionV>
            <wp:extent cx="5848985" cy="7444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744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x"/>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x"/>
      <w:numFmt w:val="bullet"/>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upperLetter"/>
      <w:start w:val="1"/>
    </w:lvl>
    <w:lvl w:ilvl="1">
      <w:lvlJc w:val="left"/>
      <w:lvlText w:val="•"/>
      <w:numFmt w:val="bullet"/>
      <w:start w:val="1"/>
    </w:lvl>
  </w:abstractNum>
  <w:abstractNum w:abstractNumId="7">
    <w:nsid w:val="4516DDE9"/>
    <w:multiLevelType w:val="hybridMultilevel"/>
    <w:lvl w:ilvl="0">
      <w:lvlJc w:val="left"/>
      <w:lvlText w:val="%1:"/>
      <w:numFmt w:val="upperLetter"/>
      <w:start w:val="1"/>
    </w:lvl>
  </w:abstractNum>
  <w:abstractNum w:abstractNumId="8">
    <w:nsid w:val="3006C83E"/>
    <w:multiLevelType w:val="hybridMultilevel"/>
    <w:lvl w:ilvl="0">
      <w:lvlJc w:val="left"/>
      <w:lvlText w:val="%1:"/>
      <w:numFmt w:val="upperLetter"/>
      <w:start w:val="1"/>
    </w:lvl>
  </w:abstractNum>
  <w:abstractNum w:abstractNumId="9">
    <w:nsid w:val="614FD4A1"/>
    <w:multiLevelType w:val="hybridMultilevel"/>
    <w:lvl w:ilvl="0">
      <w:lvlJc w:val="left"/>
      <w:lvlText w:val="%1:"/>
      <w:numFmt w:val="upperLetter"/>
      <w:start w:val="1"/>
    </w:lvl>
  </w:abstractNum>
  <w:abstractNum w:abstractNumId="10">
    <w:nsid w:val="419AC241"/>
    <w:multiLevelType w:val="hybridMultilevel"/>
    <w:lvl w:ilvl="0">
      <w:lvlJc w:val="left"/>
      <w:lvlText w:val="%1:"/>
      <w:numFmt w:val="upperLetter"/>
      <w:start w:val="1"/>
    </w:lvl>
  </w:abstractNum>
  <w:abstractNum w:abstractNumId="11">
    <w:nsid w:val="5577F8E1"/>
    <w:multiLevelType w:val="hybridMultilevel"/>
    <w:lvl w:ilvl="0">
      <w:lvlJc w:val="left"/>
      <w:lvlText w:val="%1:"/>
      <w:numFmt w:val="upperLetter"/>
      <w:start w:val="1"/>
    </w:lvl>
  </w:abstractNum>
  <w:abstractNum w:abstractNumId="12">
    <w:nsid w:val="440BADFC"/>
    <w:multiLevelType w:val="hybridMultilevel"/>
    <w:lvl w:ilvl="0">
      <w:lvlJc w:val="left"/>
      <w:lvlText w:val="%1:"/>
      <w:numFmt w:val="upperLetter"/>
      <w:start w:val="1"/>
    </w:lvl>
    <w:lvl w:ilvl="1">
      <w:lvlJc w:val="left"/>
      <w:lvlText w:val="•"/>
      <w:numFmt w:val="bullet"/>
      <w:start w:val="1"/>
    </w:lvl>
  </w:abstractNum>
  <w:abstractNum w:abstractNumId="13">
    <w:nsid w:val="5072367"/>
    <w:multiLevelType w:val="hybridMultilevel"/>
    <w:lvl w:ilvl="0">
      <w:lvlJc w:val="left"/>
      <w:lvlText w:val="%1:"/>
      <w:numFmt w:val="upperLetter"/>
      <w:start w:val="1"/>
    </w:lvl>
  </w:abstractNum>
  <w:abstractNum w:abstractNumId="14">
    <w:nsid w:val="3804823E"/>
    <w:multiLevelType w:val="hybridMultilevel"/>
    <w:lvl w:ilvl="0">
      <w:lvlJc w:val="left"/>
      <w:lvlText w:val="%1:"/>
      <w:numFmt w:val="upperLetter"/>
      <w:start w:val="1"/>
    </w:lvl>
  </w:abstractNum>
  <w:abstractNum w:abstractNumId="15">
    <w:nsid w:val="77465F01"/>
    <w:multiLevelType w:val="hybridMultilevel"/>
    <w:lvl w:ilvl="0">
      <w:lvlJc w:val="left"/>
      <w:lvlText w:val="%1:"/>
      <w:numFmt w:val="upperLetter"/>
      <w:start w:val="1"/>
    </w:lvl>
    <w:lvl w:ilvl="1">
      <w:lvlJc w:val="left"/>
      <w:lvlText w:val="•"/>
      <w:numFmt w:val="bullet"/>
      <w:start w:val="1"/>
    </w:lvl>
  </w:abstractNum>
  <w:abstractNum w:abstractNumId="16">
    <w:nsid w:val="7724C67E"/>
    <w:multiLevelType w:val="hybridMultilevel"/>
    <w:lvl w:ilvl="0">
      <w:lvlJc w:val="left"/>
      <w:lvlText w:val="%1:"/>
      <w:numFmt w:val="upperLetter"/>
      <w:start w:val="1"/>
    </w:lvl>
  </w:abstractNum>
  <w:abstractNum w:abstractNumId="17">
    <w:nsid w:val="5C482A97"/>
    <w:multiLevelType w:val="hybridMultilevel"/>
    <w:lvl w:ilvl="0">
      <w:lvlJc w:val="left"/>
      <w:lvlText w:val="%1:"/>
      <w:numFmt w:val="upperLetter"/>
      <w:start w:val="1"/>
    </w:lvl>
  </w:abstractNum>
  <w:abstractNum w:abstractNumId="18">
    <w:nsid w:val="2463B9EA"/>
    <w:multiLevelType w:val="hybridMultilevel"/>
    <w:lvl w:ilvl="0">
      <w:lvlJc w:val="left"/>
      <w:lvlText w:val="%1:"/>
      <w:numFmt w:val="upperLetter"/>
      <w:start w:val="1"/>
    </w:lvl>
  </w:abstractNum>
  <w:abstractNum w:abstractNumId="19">
    <w:nsid w:val="5E884ADC"/>
    <w:multiLevelType w:val="hybridMultilevel"/>
    <w:lvl w:ilvl="0">
      <w:lvlJc w:val="left"/>
      <w:lvlText w:val="%1:"/>
      <w:numFmt w:val="upperLetter"/>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2"/>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1)"/>
      <w:numFmt w:val="decimal"/>
      <w:start w:val="4"/>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decimal"/>
      <w:start w:val="5"/>
    </w:lvl>
  </w:abstractNum>
  <w:abstractNum w:abstractNumId="42">
    <w:nsid w:val="3DC240FB"/>
    <w:multiLevelType w:val="hybridMultilevel"/>
    <w:lvl w:ilvl="0">
      <w:lvlJc w:val="left"/>
      <w:lvlText w:val="(%1)"/>
      <w:numFmt w:val="decimal"/>
      <w:start w:val="10"/>
    </w:lvl>
  </w:abstractNum>
  <w:abstractNum w:abstractNumId="43">
    <w:nsid w:val="1BA026FA"/>
    <w:multiLevelType w:val="hybridMultilevel"/>
    <w:lvl w:ilvl="0">
      <w:lvlJc w:val="left"/>
      <w:lvlText w:val="(%1)"/>
      <w:numFmt w:val="decimal"/>
      <w:start w:val="10"/>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lowerRoman"/>
      <w:start w:val="2"/>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lvl>
    <w:lvl w:ilvl="1">
      <w:lvlJc w:val="left"/>
      <w:lvlText w:val="*"/>
      <w:numFmt w:val="bullet"/>
      <w:start w:val="1"/>
    </w:lvl>
  </w:abstractNum>
  <w:abstractNum w:abstractNumId="54">
    <w:nsid w:val="39386575"/>
    <w:multiLevelType w:val="hybridMultilevel"/>
    <w:lvl w:ilvl="0">
      <w:lvlJc w:val="left"/>
      <w:lvlText w:val="(%1)"/>
      <w:numFmt w:val="decimal"/>
      <w:start w:val="3"/>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2019-12-03T15:48:40Z</dcterms:created>
  <dcterms:modified xsi:type="dcterms:W3CDTF">2019-12-03T15:48:40Z</dcterms:modified>
</cp:coreProperties>
</file>