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220"/>
        <w:spacing w:after="0"/>
        <w:rPr>
          <w:sz w:val="20"/>
          <w:szCs w:val="20"/>
          <w:color w:val="auto"/>
        </w:rPr>
      </w:pPr>
      <w:r>
        <w:rPr>
          <w:rFonts w:ascii="Arial" w:cs="Arial" w:eastAsia="Arial" w:hAnsi="Arial"/>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Shares, no par value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17878Y108</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2016</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w w:val="92"/>
              </w:rPr>
              <w:t>CUSIP No. 17878Y108</w:t>
            </w:r>
          </w:p>
        </w:tc>
        <w:tc>
          <w:tcPr>
            <w:tcW w:w="9700" w:type="dxa"/>
            <w:vAlign w:val="bottom"/>
          </w:tcPr>
          <w:p>
            <w:pPr>
              <w:ind w:left="40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Capital Management,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5,916,275</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970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5,916,275</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5,916,275</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w w:val="92"/>
              </w:rPr>
              <w:t>CUSIP No. 17878Y108</w:t>
            </w:r>
          </w:p>
        </w:tc>
        <w:tc>
          <w:tcPr>
            <w:tcW w:w="9700" w:type="dxa"/>
            <w:vAlign w:val="bottom"/>
          </w:tcPr>
          <w:p>
            <w:pPr>
              <w:ind w:left="40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Aggressive Small Cap,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5,872,275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970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5,872,275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5,872,275</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40" w:type="dxa"/>
            <w:vAlign w:val="bottom"/>
            <w:gridSpan w:val="7"/>
          </w:tcPr>
          <w:p>
            <w:pPr>
              <w:spacing w:after="0"/>
              <w:rPr>
                <w:sz w:val="20"/>
                <w:szCs w:val="20"/>
                <w:color w:val="auto"/>
              </w:rPr>
            </w:pPr>
            <w:r>
              <w:rPr>
                <w:rFonts w:ascii="Arial" w:cs="Arial" w:eastAsia="Arial" w:hAnsi="Arial"/>
                <w:sz w:val="18"/>
                <w:szCs w:val="18"/>
                <w:color w:val="auto"/>
                <w:w w:val="92"/>
              </w:rPr>
              <w:t>CUSIP No. 17878Y108</w:t>
            </w:r>
          </w:p>
        </w:tc>
        <w:tc>
          <w:tcPr>
            <w:tcW w:w="9700" w:type="dxa"/>
            <w:vAlign w:val="bottom"/>
          </w:tcPr>
          <w:p>
            <w:pPr>
              <w:ind w:left="40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Aggressive Small Cap II,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5,872,275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7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970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7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97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97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5,872,275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5,872,275</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60" w:type="dxa"/>
            <w:vAlign w:val="bottom"/>
            <w:gridSpan w:val="7"/>
          </w:tcPr>
          <w:p>
            <w:pPr>
              <w:spacing w:after="0"/>
              <w:rPr>
                <w:sz w:val="20"/>
                <w:szCs w:val="20"/>
                <w:color w:val="auto"/>
              </w:rPr>
            </w:pPr>
            <w:r>
              <w:rPr>
                <w:rFonts w:ascii="Arial" w:cs="Arial" w:eastAsia="Arial" w:hAnsi="Arial"/>
                <w:sz w:val="18"/>
                <w:szCs w:val="18"/>
                <w:color w:val="auto"/>
                <w:w w:val="93"/>
              </w:rPr>
              <w:t>CUSIP No. 17878Y108</w:t>
            </w:r>
          </w:p>
        </w:tc>
        <w:tc>
          <w:tcPr>
            <w:tcW w:w="9680" w:type="dxa"/>
            <w:vAlign w:val="bottom"/>
          </w:tcPr>
          <w:p>
            <w:pPr>
              <w:ind w:left="406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76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6"/>
              </w:rPr>
              <w:t>Phil Frohlich</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U.S. Citizen</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5,926,301</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5,926,301</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5,926,301</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This Schedule 13G (this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and Mr. Phil Frohlich the principal of Prescott Capital, relating to Common Shares, no par value (the “Common Stock”), of Civeo Corporation, a British Columbia, Canada corporation (the “Issuer”).</w:t>
      </w:r>
    </w:p>
    <w:p>
      <w:pPr>
        <w:spacing w:after="0" w:line="188"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This Schedule 13G relates to shares of Common Stock of the Issuer purchased by (i) the Small Cap Funds through the account of Prescott Group Aggressive Small Cap Master Fund, G.P., an Oklahoma general partnership (“Prescott Master Fund”), of which the Small Cap Funds are general partners,</w:t>
      </w:r>
    </w:p>
    <w:p>
      <w:pPr>
        <w:ind w:firstLine="8"/>
        <w:spacing w:after="0" w:line="252"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other accounts managed by Prescott Capital (the “Prescott Accounts”) and (iii) Mr. Frohlich individually. Prescott Capital serves as the general partner of the Small Cap Funds and may direct the Small Cap Funds, the general partners of Prescott Master Fund, to direct the vote and disposition of the 5,872,275 shares of Common Stock held by Prescott Master Fund. In addition, Prescott Capital serves as the general partner of the Prescott Accounts and may direct the vote and disposition of the 44,000 shares of Common Stock held by the Prescott Accounts. As the principal of Prescott Capital, Mr. Frohlich may direct the vote and disposition of the 5,926,301 shares of Common Stock held by (i) Prescott Master Fund, (ii) the Prescott Accounts and (iii) him individually.</w:t>
      </w:r>
    </w:p>
    <w:p>
      <w:pPr>
        <w:spacing w:after="0" w:line="33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Civeo Corporation</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Three Allen Center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Houston, Texas 77002</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right="140"/>
        <w:spacing w:after="0" w:line="264" w:lineRule="auto"/>
        <w:rPr>
          <w:sz w:val="20"/>
          <w:szCs w:val="20"/>
          <w:color w:val="auto"/>
        </w:rPr>
      </w:pPr>
      <w:r>
        <w:rPr>
          <w:rFonts w:ascii="Arial" w:cs="Arial" w:eastAsia="Arial" w:hAnsi="Arial"/>
          <w:sz w:val="18"/>
          <w:szCs w:val="18"/>
          <w:color w:val="auto"/>
        </w:rPr>
        <w:t>Prescott Group Capital Management, L.L.C. (“Prescott Capital”), Prescott Group Aggressive Small Cap, L.P. (“Prescott Small Cap”), Prescott Group Aggressive Small Cap II, L.P. (“Prescott Small Cap II” and, together with Prescott Small Cap, the “Small Cap Funds”) and Mr. Phil Frohlich.</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1924 South Utica, Suite 1120</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Tulsa, Oklahoma 74104-6529</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121"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Prescott Capital is an Oklahoma limited liability company. The Small Cap Funds are Oklahoma limited partnerships. Mr. Phil Frohlich is the principal of Prescott Capital and is a U.S. citizen.</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Shares, no par value (the “Common Stock”).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17878Y108</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p>
      <w:pPr>
        <w:spacing w:after="0" w:line="102" w:lineRule="exact"/>
        <w:rPr>
          <w:sz w:val="20"/>
          <w:szCs w:val="20"/>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260" w:right="120" w:hanging="793"/>
        <w:spacing w:after="0" w:line="239" w:lineRule="exact"/>
        <w:tabs>
          <w:tab w:leader="none" w:pos="882"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240" w:top="270" w:right="49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600" w:right="140" w:hanging="566"/>
        <w:spacing w:after="0" w:line="277" w:lineRule="auto"/>
        <w:tabs>
          <w:tab w:leader="none" w:pos="1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Prescott Capital is the beneficial owner of 5,916,275 shares of Common Stock. Mr. Phil Frohlich is the beneficial owner of 5,926,301 shares of Common Stock.</w:t>
      </w:r>
    </w:p>
    <w:p>
      <w:pPr>
        <w:spacing w:after="0" w:line="75" w:lineRule="exact"/>
        <w:rPr>
          <w:rFonts w:ascii="Arial" w:cs="Arial" w:eastAsia="Arial" w:hAnsi="Arial"/>
          <w:sz w:val="18"/>
          <w:szCs w:val="18"/>
          <w:color w:val="auto"/>
        </w:rPr>
      </w:pPr>
    </w:p>
    <w:p>
      <w:pPr>
        <w:ind w:left="1600" w:right="100" w:hanging="566"/>
        <w:spacing w:after="0" w:line="279" w:lineRule="auto"/>
        <w:tabs>
          <w:tab w:leader="none" w:pos="1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Prescott Capital is the beneficial owner of 5.5% of the outstanding shares of Common Stock. Mr. Phil Frohlich is the beneficial owner of 5.5% of the outstanding shares of Common Stock. These percentages are determined by dividing the number of shares of Common Stock beneficially owned by each of the Reporting Persons by 108,098,786, the number of shares of Common Stock issued and outstanding as of October 24, 2016, as reported in the Issuer’s 10-Q filed on October 31, 2016.</w:t>
      </w:r>
    </w:p>
    <w:p>
      <w:pPr>
        <w:spacing w:after="0" w:line="76" w:lineRule="exact"/>
        <w:rPr>
          <w:rFonts w:ascii="Arial" w:cs="Arial" w:eastAsia="Arial" w:hAnsi="Arial"/>
          <w:sz w:val="17"/>
          <w:szCs w:val="17"/>
          <w:color w:val="auto"/>
        </w:rPr>
      </w:pPr>
    </w:p>
    <w:p>
      <w:pPr>
        <w:ind w:left="1600" w:hanging="566"/>
        <w:spacing w:after="0" w:line="297" w:lineRule="auto"/>
        <w:tabs>
          <w:tab w:leader="none" w:pos="1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Prescott Capital, as the general partner of the Small Cap Funds, the general partners of Prescott Master Fund, may direct the Small Cap Funds to direct the vote and disposition of the 5,872,275 shares of Common Stock held by Prescott Master Fund. Prescott Capital, as the general partner of the Prescott Accounts, may direct the vote and disposition of the 44,000 shares of Common Stock held by the Prescott Accounts. As the principal of Prescott Capital, Mr. Phil Frohlich may direct the vote and disposition of the 5,926,301 shares of Common Stock held by (i) Prescott Master Fund, (ii) the Prescott Accounts and (iii) him individually.</w:t>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0" w:right="299" w:bottom="1440" w:gutter="0" w:footer="0" w:header="0"/>
        </w:sectPr>
      </w:pPr>
    </w:p>
    <w:bookmarkStart w:id="8" w:name="page9"/>
    <w:bookmarkEnd w:id="8"/>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u w:val="single" w:color="auto"/>
          <w:color w:val="auto"/>
        </w:rPr>
        <w:t>Exhibit 99.1</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Joint Filing Agreement dated February 10, 2017, between Prescott Capital, the Small Cap Funds and Mr. Phil Frohlich.</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0" w:right="419" w:bottom="1440" w:gutter="0" w:footer="0" w:header="0"/>
        </w:sectPr>
      </w:pPr>
    </w:p>
    <w:bookmarkStart w:id="9" w:name="page10"/>
    <w:bookmarkEnd w:id="9"/>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 Frohlich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270" w:right="45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any and all amendments thereto) with respect to the Common Shares, no par value, of Civeo Corporation, a British Columbia, Canada corporation, and further agree that this Joint Filing Agreement shall be included as an Exhibit to such joint filings.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Joint Filing Agreement may be signed in counterparts with the same effect as if the signature on each counterpart were upon the same instrument.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February 10, 2017.</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Prescott Group Capital Management, L.L.C.,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ectPr>
          <w:pgSz w:w="11900" w:h="16838" w:orient="portrait"/>
          <w:cols w:equalWidth="0" w:num="1">
            <w:col w:w="11380"/>
          </w:cols>
          <w:pgMar w:left="240" w:top="121" w:right="279" w:bottom="1440" w:gutter="0" w:footer="0" w:header="0"/>
        </w:sectPr>
      </w:pPr>
    </w:p>
    <w:bookmarkStart w:id="11" w:name="page12"/>
    <w:bookmarkEnd w:id="1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Prescott Group Aggressive Small Cap II,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 Frohlich</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sectPr>
      <w:pgSz w:w="11900" w:h="16838" w:orient="portrait"/>
      <w:cols w:equalWidth="0" w:num="1">
        <w:col w:w="10000"/>
      </w:cols>
      <w:pgMar w:left="1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2019-12-20T23:41:32Z</dcterms:created>
  <dcterms:modified xsi:type="dcterms:W3CDTF">2019-12-20T23:41:32Z</dcterms:modified>
</cp:coreProperties>
</file>