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2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 PURSUANT TO SECTION 13 OR 15(d)</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February 27, 2025</w:t>
      </w:r>
    </w:p>
    <w:p>
      <w:pPr>
        <w:spacing w:after="0" w:line="4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____________________</w:t>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Civeo Corporation</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20"/>
          </w:cols>
          <w:pgMar w:left="320" w:top="1384" w:right="359" w:bottom="1440" w:gutter="0" w:footer="0" w:header="0"/>
        </w:sectPr>
      </w:pPr>
    </w:p>
    <w:p>
      <w:pPr>
        <w:spacing w:after="0" w:line="26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1-36246</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98-1253716</w:t>
      </w:r>
    </w:p>
    <w:p>
      <w:pPr>
        <w:spacing w:after="0" w:line="30" w:lineRule="exact"/>
        <w:rPr>
          <w:sz w:val="24"/>
          <w:szCs w:val="24"/>
          <w:color w:val="auto"/>
        </w:rPr>
      </w:pPr>
    </w:p>
    <w:p>
      <w:pPr>
        <w:sectPr>
          <w:pgSz w:w="11900" w:h="16838" w:orient="portrait"/>
          <w:cols w:equalWidth="0" w:num="3">
            <w:col w:w="4440" w:space="720"/>
            <w:col w:w="2620" w:space="720"/>
            <w:col w:w="2720"/>
          </w:cols>
          <w:pgMar w:left="320" w:top="1384" w:right="35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8"/>
          <w:szCs w:val="18"/>
          <w:color w:val="auto"/>
        </w:rPr>
        <w:t>(Commission File</w:t>
      </w:r>
    </w:p>
    <w:p>
      <w:pPr>
        <w:jc w:val="center"/>
        <w:ind w:right="126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62" w:lineRule="exact"/>
        <w:rPr>
          <w:sz w:val="24"/>
          <w:szCs w:val="24"/>
          <w:color w:val="auto"/>
        </w:rPr>
      </w:pPr>
    </w:p>
    <w:p>
      <w:pPr>
        <w:sectPr>
          <w:pgSz w:w="11900" w:h="16838" w:orient="portrait"/>
          <w:cols w:equalWidth="0" w:num="3">
            <w:col w:w="4160" w:space="720"/>
            <w:col w:w="2560" w:space="720"/>
            <w:col w:w="3060"/>
          </w:cols>
          <w:pgMar w:left="320" w:top="1384" w:right="359" w:bottom="1440" w:gutter="0" w:footer="0" w:header="0"/>
          <w:type w:val="continuous"/>
        </w:sectPr>
      </w:pPr>
    </w:p>
    <w:p>
      <w:pPr>
        <w:ind w:left="4640"/>
        <w:spacing w:after="0"/>
        <w:rPr>
          <w:sz w:val="20"/>
          <w:szCs w:val="20"/>
          <w:color w:val="auto"/>
        </w:rPr>
      </w:pPr>
      <w:r>
        <w:rPr>
          <w:rFonts w:ascii="Times New Roman" w:cs="Times New Roman" w:eastAsia="Times New Roman" w:hAnsi="Times New Roman"/>
          <w:sz w:val="22"/>
          <w:szCs w:val="22"/>
          <w:b w:val="1"/>
          <w:bCs w:val="1"/>
          <w:color w:val="auto"/>
        </w:rPr>
        <w:t>Three Allen Center</w:t>
      </w:r>
    </w:p>
    <w:p>
      <w:pPr>
        <w:spacing w:after="0" w:line="12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333 Clay Street, Suite 4400</w:t>
      </w:r>
    </w:p>
    <w:p>
      <w:pPr>
        <w:sectPr>
          <w:pgSz w:w="11900" w:h="16838" w:orient="portrait"/>
          <w:cols w:equalWidth="0" w:num="1">
            <w:col w:w="11220"/>
          </w:cols>
          <w:pgMar w:left="320" w:top="1384" w:right="359" w:bottom="1440" w:gutter="0" w:footer="0" w:header="0"/>
          <w:type w:val="continuous"/>
        </w:sectPr>
      </w:pPr>
    </w:p>
    <w:p>
      <w:pPr>
        <w:spacing w:after="0" w:line="15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9"/>
          <w:szCs w:val="19"/>
          <w:b w:val="1"/>
          <w:bCs w:val="1"/>
          <w:color w:val="auto"/>
        </w:rPr>
        <w:t>Houston, Texas</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77002</w:t>
      </w:r>
    </w:p>
    <w:p>
      <w:pPr>
        <w:spacing w:after="0" w:line="45" w:lineRule="exact"/>
        <w:rPr>
          <w:sz w:val="24"/>
          <w:szCs w:val="24"/>
          <w:color w:val="auto"/>
        </w:rPr>
      </w:pPr>
    </w:p>
    <w:p>
      <w:pPr>
        <w:sectPr>
          <w:pgSz w:w="11900" w:h="16838" w:orient="portrait"/>
          <w:cols w:equalWidth="0" w:num="2">
            <w:col w:w="6080" w:space="360"/>
            <w:col w:w="4780"/>
          </w:cols>
          <w:pgMar w:left="320" w:top="1384"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(Address and zip code of principal executive offices)</w:t>
      </w:r>
    </w:p>
    <w:p>
      <w:pPr>
        <w:sectPr>
          <w:pgSz w:w="11900" w:h="16838" w:orient="portrait"/>
          <w:cols w:equalWidth="0" w:num="1">
            <w:col w:w="11220"/>
          </w:cols>
          <w:pgMar w:left="320" w:top="1384" w:right="359" w:bottom="1440" w:gutter="0" w:footer="0" w:header="0"/>
          <w:type w:val="continuous"/>
        </w:sect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17"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9"/>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4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r>
        <w:trPr>
          <w:trHeight w:val="228"/>
        </w:trPr>
        <w:tc>
          <w:tcPr>
            <w:tcW w:w="376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no par value</w:t>
            </w:r>
          </w:p>
        </w:tc>
        <w:tc>
          <w:tcPr>
            <w:tcW w:w="26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CVEO</w:t>
            </w:r>
          </w:p>
        </w:tc>
        <w:tc>
          <w:tcPr>
            <w:tcW w:w="48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bl>
    <w:p>
      <w:pPr>
        <w:spacing w:after="0" w:line="198"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778510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4" w:right="359" w:bottom="1440" w:gutter="0" w:footer="0" w:header="0"/>
          <w:type w:val="continuous"/>
        </w:sectPr>
      </w:pPr>
    </w:p>
    <w:bookmarkStart w:id="1" w:name="page2"/>
    <w:bookmarkEnd w:id="1"/>
    <w:p>
      <w:pPr>
        <w:spacing w:after="0" w:line="3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784225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251" w:lineRule="exact"/>
        <w:rPr>
          <w:sz w:val="20"/>
          <w:szCs w:val="20"/>
          <w:color w:val="auto"/>
        </w:rPr>
      </w:pPr>
    </w:p>
    <w:p>
      <w:pPr>
        <w:jc w:val="both"/>
        <w:ind w:firstLine="285"/>
        <w:spacing w:after="0" w:line="263" w:lineRule="auto"/>
        <w:rPr>
          <w:sz w:val="20"/>
          <w:szCs w:val="20"/>
          <w:color w:val="auto"/>
        </w:rPr>
      </w:pPr>
      <w:r>
        <w:rPr>
          <w:rFonts w:ascii="Times New Roman" w:cs="Times New Roman" w:eastAsia="Times New Roman" w:hAnsi="Times New Roman"/>
          <w:sz w:val="22"/>
          <w:szCs w:val="22"/>
          <w:color w:val="auto"/>
        </w:rPr>
        <w:t>On February 27, 2025, Civeo Corporation (“Civeo”) issued a press release announcing its financial condition and results of operations as of and for the quarter and year ended December 31, 2024. A copy of the press release is furnished as Exhibit 99.1 to this report on Form 8-K, and is incorporated herein by reference.</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information contained in this report and the exhibit hereto shall not be deemed to be “filed” for purposes of Section 18 of the Securities Exchange Act of 1934, as amended (the “Exchange Act”), or otherwise subject to the liabilities of that section, and shall not be deemed incorporated by reference into any filings made by Civeo under the Securities Act of 1933, as amended, or the Exchange Act, except as may be expressly set forth by specific reference in such filing.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51" w:lineRule="exact"/>
        <w:rPr>
          <w:sz w:val="20"/>
          <w:szCs w:val="20"/>
          <w:color w:val="auto"/>
        </w:rPr>
      </w:pPr>
    </w:p>
    <w:p>
      <w:pPr>
        <w:ind w:left="700" w:hanging="476"/>
        <w:spacing w:after="0"/>
        <w:tabs>
          <w:tab w:leader="none" w:pos="7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w:t>
            </w:r>
          </w:p>
        </w:tc>
        <w:tc>
          <w:tcPr>
            <w:tcW w:w="9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Description of Document</w:t>
            </w:r>
          </w:p>
        </w:tc>
      </w:tr>
      <w:tr>
        <w:trPr>
          <w:trHeight w:val="196"/>
        </w:trPr>
        <w:tc>
          <w:tcPr>
            <w:tcW w:w="20" w:type="dxa"/>
            <w:vAlign w:val="bottom"/>
          </w:tcPr>
          <w:p>
            <w:pPr>
              <w:spacing w:after="0"/>
              <w:rPr>
                <w:sz w:val="17"/>
                <w:szCs w:val="17"/>
                <w:color w:val="auto"/>
              </w:rPr>
            </w:pPr>
          </w:p>
        </w:tc>
        <w:tc>
          <w:tcPr>
            <w:tcW w:w="7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22"/>
                <w:szCs w:val="22"/>
                <w:color w:val="auto"/>
                <w:w w:val="97"/>
              </w:rPr>
              <w:t>Number</w:t>
            </w:r>
          </w:p>
        </w:tc>
        <w:tc>
          <w:tcPr>
            <w:tcW w:w="1020" w:type="dxa"/>
            <w:vAlign w:val="bottom"/>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6120" w:type="dxa"/>
            <w:vAlign w:val="bottom"/>
          </w:tcPr>
          <w:p>
            <w:pPr>
              <w:spacing w:after="0"/>
              <w:rPr>
                <w:sz w:val="17"/>
                <w:szCs w:val="17"/>
                <w:color w:val="auto"/>
              </w:rPr>
            </w:pPr>
          </w:p>
        </w:tc>
      </w:tr>
      <w:tr>
        <w:trPr>
          <w:trHeight w:val="493"/>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99.1</w:t>
            </w:r>
          </w:p>
        </w:tc>
        <w:tc>
          <w:tcPr>
            <w:tcW w:w="1020" w:type="dxa"/>
            <w:vAlign w:val="bottom"/>
          </w:tcPr>
          <w:p>
            <w:pPr>
              <w:spacing w:after="0"/>
              <w:rPr>
                <w:sz w:val="24"/>
                <w:szCs w:val="24"/>
                <w:color w:val="auto"/>
              </w:rPr>
            </w:pPr>
          </w:p>
        </w:tc>
        <w:tc>
          <w:tcPr>
            <w:tcW w:w="33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97"/>
              </w:rPr>
              <w:t>Press Release dated February 27, 2025</w:t>
            </w:r>
          </w:p>
        </w:tc>
        <w:tc>
          <w:tcPr>
            <w:tcW w:w="6120" w:type="dxa"/>
            <w:vAlign w:val="bottom"/>
          </w:tcPr>
          <w:p>
            <w:pPr>
              <w:spacing w:after="0"/>
              <w:rPr>
                <w:sz w:val="24"/>
                <w:szCs w:val="24"/>
                <w:color w:val="auto"/>
              </w:rPr>
            </w:pPr>
          </w:p>
        </w:tc>
      </w:tr>
      <w:tr>
        <w:trPr>
          <w:trHeight w:val="451"/>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104</w:t>
            </w:r>
          </w:p>
        </w:tc>
        <w:tc>
          <w:tcPr>
            <w:tcW w:w="1020" w:type="dxa"/>
            <w:vAlign w:val="bottom"/>
          </w:tcPr>
          <w:p>
            <w:pPr>
              <w:spacing w:after="0"/>
              <w:rPr>
                <w:sz w:val="24"/>
                <w:szCs w:val="24"/>
                <w:color w:val="auto"/>
              </w:rPr>
            </w:pPr>
          </w:p>
        </w:tc>
        <w:tc>
          <w:tcPr>
            <w:tcW w:w="9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Cover Page Interactive Data File (formatted as Inline XBRL and contained in Exhibit 101)</w:t>
            </w:r>
          </w:p>
        </w:tc>
      </w:tr>
      <w:tr>
        <w:trPr>
          <w:trHeight w:val="2169"/>
        </w:trPr>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6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420370</wp:posOffset>
            </wp:positionH>
            <wp:positionV relativeFrom="paragraph">
              <wp:posOffset>-2150745</wp:posOffset>
            </wp:positionV>
            <wp:extent cx="342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27, 2025</w:t>
      </w:r>
    </w:p>
    <w:p>
      <w:pPr>
        <w:spacing w:after="0" w:line="25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CIVEO CORPORATION</w:t>
      </w:r>
    </w:p>
    <w:p>
      <w:pPr>
        <w:spacing w:after="0" w:line="200" w:lineRule="exact"/>
        <w:rPr>
          <w:sz w:val="20"/>
          <w:szCs w:val="20"/>
          <w:color w:val="auto"/>
        </w:rPr>
      </w:pPr>
    </w:p>
    <w:p>
      <w:pPr>
        <w:spacing w:after="0" w:line="29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 xml:space="preserve">By: /s/ E. Collin Gerry </w:t>
      </w:r>
      <w:r>
        <w:rPr>
          <w:rFonts w:ascii="Times New Roman" w:cs="Times New Roman" w:eastAsia="Times New Roman" w:hAnsi="Times New Roman"/>
          <w:sz w:val="22"/>
          <w:szCs w:val="22"/>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-13970</wp:posOffset>
            </wp:positionV>
            <wp:extent cx="10820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2040" cy="8255"/>
                    </a:xfrm>
                    <a:prstGeom prst="rect">
                      <a:avLst/>
                    </a:prstGeom>
                    <a:noFill/>
                  </pic:spPr>
                </pic:pic>
              </a:graphicData>
            </a:graphic>
          </wp:anchor>
        </w:drawing>
      </w:r>
    </w:p>
    <w:p>
      <w:pPr>
        <w:spacing w:after="0" w:line="8" w:lineRule="exact"/>
        <w:rPr>
          <w:sz w:val="20"/>
          <w:szCs w:val="20"/>
          <w:color w:val="auto"/>
        </w:rPr>
      </w:pPr>
    </w:p>
    <w:p>
      <w:pPr>
        <w:ind w:left="1740"/>
        <w:spacing w:after="0"/>
        <w:tabs>
          <w:tab w:leader="none" w:pos="25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E. Collin Gerry</w:t>
      </w:r>
    </w:p>
    <w:p>
      <w:pPr>
        <w:spacing w:after="0" w:line="5"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 Chief Financial Officer and Treasurer</w:t>
      </w:r>
    </w:p>
    <w:p>
      <w:pPr>
        <w:sectPr>
          <w:pgSz w:w="11900" w:h="16838" w:orient="portrait"/>
          <w:cols w:equalWidth="0" w:num="1">
            <w:col w:w="11220"/>
          </w:cols>
          <w:pgMar w:left="320" w:top="1296"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7"/>
          <w:szCs w:val="27"/>
          <w:b w:val="1"/>
          <w:bCs w:val="1"/>
          <w:color w:val="auto"/>
        </w:rPr>
        <w:t>Civeo Reports Fourth Quarter and Full Year 2024 Results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Highlights:</w:t>
      </w:r>
    </w:p>
    <w:p>
      <w:pPr>
        <w:spacing w:after="0" w:line="158" w:lineRule="exact"/>
        <w:rPr>
          <w:sz w:val="20"/>
          <w:szCs w:val="20"/>
          <w:color w:val="auto"/>
        </w:rPr>
      </w:pPr>
    </w:p>
    <w:p>
      <w:pPr>
        <w:ind w:left="660" w:right="3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Reported fourth quarter 2024 revenues of $151.0 million, net loss of $15.1 million and operating cash flow of $9.5 million, with full year 2024 revenues of $682.1 million, net loss of $17.1 million and operating cash flow of $83.5 million;</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Reported fourth quarter 2024 Adjusted EBITDA of $11.4 million with full year 2024 Adjusted EBITDA of $79.9 million;</w:t>
      </w:r>
    </w:p>
    <w:p>
      <w:pPr>
        <w:spacing w:after="0" w:line="252" w:lineRule="exact"/>
        <w:rPr>
          <w:rFonts w:ascii="Arial" w:cs="Arial" w:eastAsia="Arial" w:hAnsi="Arial"/>
          <w:sz w:val="18"/>
          <w:szCs w:val="18"/>
          <w:color w:val="auto"/>
        </w:rPr>
      </w:pPr>
    </w:p>
    <w:p>
      <w:pPr>
        <w:ind w:left="660" w:right="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Returned $44.0 million of capital to shareholders in 2024 through the quarterly dividend and share repurchases, representing 65% of 2024 free cash flow of $68.4 million;</w:t>
      </w:r>
    </w:p>
    <w:p>
      <w:pPr>
        <w:spacing w:after="0" w:line="179"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Recently announced a six-year A$1.4 billion Australian integrated services contract renewal with expanded scope, showing strength of Civeo's long-term relationships;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Australian revenues in the fourth quarter grew by 23% year-over-year, led by the recently announced integrated services contract renewal; and</w:t>
      </w:r>
    </w:p>
    <w:p>
      <w:pPr>
        <w:spacing w:after="0" w:line="206" w:lineRule="exact"/>
        <w:rPr>
          <w:rFonts w:ascii="Arial" w:cs="Arial" w:eastAsia="Arial" w:hAnsi="Arial"/>
          <w:sz w:val="18"/>
          <w:szCs w:val="18"/>
          <w:color w:val="auto"/>
        </w:rPr>
      </w:pPr>
    </w:p>
    <w:p>
      <w:pPr>
        <w:ind w:left="660" w:right="80" w:hanging="328"/>
        <w:spacing w:after="0" w:line="231" w:lineRule="auto"/>
        <w:tabs>
          <w:tab w:leader="none" w:pos="655" w:val="left"/>
        </w:tabs>
        <w:numPr>
          <w:ilvl w:val="0"/>
          <w:numId w:val="3"/>
        </w:numPr>
        <w:rPr>
          <w:rFonts w:ascii="Times New Roman" w:cs="Times New Roman" w:eastAsia="Times New Roman" w:hAnsi="Times New Roman"/>
          <w:sz w:val="22"/>
          <w:szCs w:val="22"/>
          <w:color w:val="auto"/>
        </w:rPr>
      </w:pPr>
      <w:r>
        <w:rPr>
          <w:rFonts w:ascii="Arial" w:cs="Arial" w:eastAsia="Arial" w:hAnsi="Arial"/>
          <w:sz w:val="18"/>
          <w:szCs w:val="18"/>
          <w:color w:val="auto"/>
        </w:rPr>
        <w:t>Subsequent to quarter end, executed on disciplined growth strategy by entering into an agreement to acquire four villages and associated long-term contracts in the Australian Bowen Basin. Upon closing, the transaction is expected to be immediately accretive to cash flow. See press release dated February 19, 2025.</w:t>
      </w:r>
    </w:p>
    <w:p>
      <w:pPr>
        <w:spacing w:after="0" w:line="222"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HOUSTON and CALGARY, February 27, 2025 (BUSINESS WIRE) -- Civeo Corporation (NYSE:CVEO) today reported financial and operating results for the fourth quarter and year ended December 31, 2024.</w:t>
      </w:r>
    </w:p>
    <w:p>
      <w:pPr>
        <w:spacing w:after="0" w:line="2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Bradley J. Dodson, Civeo's President and Chief Executive Officer said, “2024 marked our 10-year anniversary as an independent company since our spin-off in 2014, and over that time our business has undergone significant change. Today, having significantly improved our capital structure, we are a diversified company providing catering and facility management services at both owned and customer-owned assets. This balanced portfolio lets us capitalize on tailwinds and mitigate headwinds. For the full-year 2024, we returned 65% of our free cash flow to shareholders through our quarterly dividend and share repurchases.”</w:t>
      </w:r>
    </w:p>
    <w:p>
      <w:pPr>
        <w:spacing w:after="0" w:line="206"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 xml:space="preserve">“I’m pleased with the fourth quarter results of our Australia business, delivering 23% year-over-year revenue growth, supported by the execution of our integrated services growth strategy including a recently announced six-year, A$1.4 billion contract. We are leveraging our core competency of taking care of people into a larger, capital-light market opportunity in Australia. Since </w:t>
      </w:r>
      <w:r>
        <w:rPr>
          <w:rFonts w:ascii="Arial" w:cs="Arial" w:eastAsia="Arial" w:hAnsi="Arial"/>
          <w:sz w:val="21"/>
          <w:szCs w:val="21"/>
          <w:color w:val="auto"/>
        </w:rPr>
        <w:t>entering</w:t>
      </w:r>
      <w:r>
        <w:rPr>
          <w:rFonts w:ascii="Arial" w:cs="Arial" w:eastAsia="Arial" w:hAnsi="Arial"/>
          <w:sz w:val="18"/>
          <w:szCs w:val="18"/>
          <w:color w:val="auto"/>
        </w:rPr>
        <w:t xml:space="preserve"> this market via acquisition in 2019, we have successfully delivered a five-year topline organic compound annual growth rate of 38% with minimal capital investment.”</w:t>
      </w:r>
    </w:p>
    <w:p>
      <w:pPr>
        <w:spacing w:after="0" w:line="2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our Australian owned villages continue to experience strong occupancy levels driven by steady operational mining activity. To further capitalize on the Bowen Basin market dynamics, we recently announced an agreement to acquire four additional villages in the basin. Consistent with our strategy in our existing villages, the villages to be acquired are largely contracted under two-to-three-year contracts with new and existing blue-chip customers. This acquisition is expected to be immediately accretive to operating cash flow and will expand our presence in the world’s premier metallurgical coal basin.”</w:t>
      </w:r>
    </w:p>
    <w:p>
      <w:pPr>
        <w:spacing w:after="0" w:line="20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Canadian business continued to face headwinds in the oil sands region, compounded by economic and political uncertainty. For the past decade, the underlying economics for our oil sands customers to deploy capital in the region have been challenging. Now, in addition, our customers are facing increased investor pressure for capital and operating cost discipline. As a result, headcount requirements, and therefore our occupancy in the Alberta oil sands region have declined. To address this new reality, we are right sizing our Canadian cost structure and looking to expand our geographic and end market reach to reduce our dependence on oil sands activity. During the first quarter of 2025, we expect to incur one-time restructuring costs of approximately $3 million as we cold-close existing lodges and reduce overhead headcount by approximately 25%.”</w:t>
      </w:r>
    </w:p>
    <w:p>
      <w:pPr>
        <w:sectPr>
          <w:pgSz w:w="11900" w:h="16838" w:orient="portrait"/>
          <w:cols w:equalWidth="0" w:num="1">
            <w:col w:w="11240"/>
          </w:cols>
          <w:pgMar w:left="320" w:top="889" w:right="339" w:bottom="1440" w:gutter="0" w:footer="0" w:header="0"/>
        </w:sectPr>
      </w:pPr>
    </w:p>
    <w:bookmarkStart w:id="5" w:name="page6"/>
    <w:bookmarkEnd w:id="5"/>
    <w:p>
      <w:pPr>
        <w:ind w:right="140"/>
        <w:spacing w:after="0" w:line="262" w:lineRule="auto"/>
        <w:rPr>
          <w:sz w:val="20"/>
          <w:szCs w:val="20"/>
          <w:color w:val="auto"/>
        </w:rPr>
      </w:pPr>
      <w:r>
        <w:rPr>
          <w:rFonts w:ascii="Arial" w:cs="Arial" w:eastAsia="Arial" w:hAnsi="Arial"/>
          <w:sz w:val="18"/>
          <w:szCs w:val="18"/>
          <w:color w:val="auto"/>
        </w:rPr>
        <w:t>Mr. Dodson continued, “To better illustrate the evolution of our business and our current asset mix, we have provided supplemental data in our earnings release tables that discloses the revenue of the ‘asset light’ portion of our business, which includes hospitality services at both our owned and customer-owned assets, and the ‘asset intensive’ portion of our business, which largely includes accommodation revenue associated with our owned-lodge and village assets as well as our Canadian mobile camp business.”</w:t>
      </w:r>
    </w:p>
    <w:p>
      <w:pPr>
        <w:spacing w:after="0" w:line="190"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Mr. Dodson concluded, “We enter 2025 with confidence in our ability to continue to execute on our growth strategy while adhering to our capital allocation framework.”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Fourth Quarter 2024 Results</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the fourth quarter of 2024, Civeo reported revenues of $151.0 million and reported a net loss of $15.1 million, or $1.10 per diluted share. During the fourth quarter of 2024, Civeo produced operating cash flow of $9.5 million, Adjusted EBITDA of $11.4 million and free cash flow of $2.1 million.</w:t>
      </w:r>
    </w:p>
    <w:p>
      <w:pPr>
        <w:spacing w:after="0" w:line="90"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By comparison, in the fourth quarter of 2023, Civeo generated revenues of $170.8 million and reported net income of $23.0 million, or $1.55 per diluted share. During the fourth quarter of 2023, Civeo produced operating cash flow of $40.0 million, Adjusted EBITDA of $18.5 million and free cash flow of $39.2 million.</w:t>
      </w:r>
    </w:p>
    <w:p>
      <w:pPr>
        <w:spacing w:after="0" w:line="90"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The decrease in Adjusted EBITDA in the fourth quarter of 2024 compared to 2023 was primarily due to decreased billed rooms at the Canadian lodges. This lower level of customer spending is expected to continue as producers in the region remain focused on reducing operating costs. The year-over-year decrease in free cash flow was negatively impacted by net proceeds related to the sale of McClelland Lake Lodge and holdback collections related to the wind down of Canadian mobile camp projects in the fourth quarter of 2023.</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Full Year 2024 Results</w:t>
      </w:r>
    </w:p>
    <w:p>
      <w:pPr>
        <w:spacing w:after="0" w:line="11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the full year 2024, the Company reported revenues of $682.1 million and net loss of $17.1 million, or $1.19 per diluted share. Adjusted EBITDA for the full year 2024 was $ 79.9 million. This is compared to revenues of $700.8 million and net income of $30.2 million, or $2.01 per diluted share, for the full year 2023. Adjusted EBITDA was $106.5 million in 2023.</w:t>
      </w:r>
    </w:p>
    <w:p>
      <w:pPr>
        <w:spacing w:after="0" w:line="20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decrease in Adjusted EBITDA in 2024 as compared to 2023 was largely driven by the sale of McClelland Lake Lodge in 2023 and the expected wind-down of LNG related activity in Canada, partially offset by increased billed rooms in the Australian owned villages and increased Australian integrated services activity.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Segment Results</w:t>
      </w:r>
    </w:p>
    <w:p>
      <w:pPr>
        <w:spacing w:after="0" w:line="144"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(Unless otherwise noted, the following discussion compares the quarterly results for the fourth quarter of 2024 to the results for the fourth quarter of 2023.)</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Australia</w:t>
      </w:r>
    </w:p>
    <w:p>
      <w:pPr>
        <w:spacing w:after="0" w:line="15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During the fourth quarter of 2024, the Australia segment generated revenues of $110.0 million, operating income of $14.1 million and Adjusted EBITDA of $22.2 million, compared to revenues of $89.3 million, operating income of $14.9 million and Adjusted EBITDA of $21.5 million in the fourth quarter of 2023.</w:t>
      </w:r>
    </w:p>
    <w:p>
      <w:pPr>
        <w:spacing w:after="0" w:line="20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Australian segment experienced a 23% increase in revenues and a 3% increase in Adjusted EBITDA, driven by a significant increase in integrated services activity related to the recently announced contract.</w:t>
      </w:r>
    </w:p>
    <w:p>
      <w:pPr>
        <w:spacing w:after="0" w:line="18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On January 9, 2025, the Company announced a six-year A$1.4 billion integrated services contract renewal with an expanded scope in Australia. Civeo began performing the incremental scope of this contract under a limited notice to proceed agreement in the second quarter of 2024, and this contract became effective starting January 1, 2025.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Canada</w:t>
      </w:r>
    </w:p>
    <w:p>
      <w:pPr>
        <w:spacing w:after="0" w:line="158"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During the fourth quarter of 2024, the Canada segment generated revenues of $40.7 million, operating loss of $16.8 million and negative Adjusted EBITDA of $4.7 million, compared to revenues of $72.7 million, operating income of $16.1 million and Adjusted EBITDA of $3.5 million in the fourth quarter of 2023.</w:t>
      </w:r>
    </w:p>
    <w:p>
      <w:pPr>
        <w:sectPr>
          <w:pgSz w:w="11900" w:h="16838" w:orient="portrait"/>
          <w:cols w:equalWidth="0" w:num="1">
            <w:col w:w="11200"/>
          </w:cols>
          <w:pgMar w:left="320" w:top="1133" w:right="379" w:bottom="1440" w:gutter="0" w:footer="0" w:header="0"/>
        </w:sectPr>
      </w:pPr>
    </w:p>
    <w:bookmarkStart w:id="6" w:name="page7"/>
    <w:bookmarkEnd w:id="6"/>
    <w:p>
      <w:pPr>
        <w:ind w:right="220"/>
        <w:spacing w:after="0" w:line="253" w:lineRule="auto"/>
        <w:rPr>
          <w:sz w:val="20"/>
          <w:szCs w:val="20"/>
          <w:color w:val="auto"/>
        </w:rPr>
      </w:pPr>
      <w:r>
        <w:rPr>
          <w:rFonts w:ascii="Arial" w:cs="Arial" w:eastAsia="Arial" w:hAnsi="Arial"/>
          <w:sz w:val="18"/>
          <w:szCs w:val="18"/>
          <w:color w:val="auto"/>
        </w:rPr>
        <w:t>The Canadian segment experienced a 44% decrease in revenues driven by lower billed rooms, down 42% year-over-year, primarily due to the sale of the McClelland Lake lodge and lower occupancy at the Sitka Lodge. This decrease was exacerbated by higher than typical turnaround activity in the fourth quarter of 2023.</w:t>
      </w:r>
    </w:p>
    <w:p>
      <w:pPr>
        <w:spacing w:after="0" w:line="196"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As stated above, Civeo is taking several strategic actions to mitigate current macroeconomic risks. During the first quarter of 2025, Civeo will incur one-time restructuring costs of approximately $3 million.</w:t>
      </w:r>
    </w:p>
    <w:p>
      <w:pPr>
        <w:spacing w:after="0"/>
        <w:rPr>
          <w:sz w:val="20"/>
          <w:szCs w:val="20"/>
          <w:color w:val="auto"/>
        </w:rPr>
      </w:pPr>
      <w:r>
        <w:rPr>
          <w:rFonts w:ascii="Arial" w:cs="Arial" w:eastAsia="Arial" w:hAnsi="Arial"/>
          <w:sz w:val="18"/>
          <w:szCs w:val="18"/>
          <w:u w:val="single" w:color="auto"/>
          <w:color w:val="auto"/>
        </w:rPr>
        <w:t>Financial Condition and Capital Allocation</w:t>
      </w:r>
    </w:p>
    <w:p>
      <w:pPr>
        <w:spacing w:after="0" w:line="11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of December 31, 2024, Civeo had total liquidity of approximately $202.2 million. Civeo’s total debt on December 31, 2024 was $43.3 million, a $6.8 decrease from September 30, 2024 and a $22.3 million decrease from December 31, 2023. Civeo's net debt on December 31, 2024 was $38.1 million, a $5.9 million increase from September 30, 2024 and a $24.1 million decrease from December 31, 2023.</w:t>
      </w:r>
    </w:p>
    <w:p>
      <w:pPr>
        <w:spacing w:after="0" w:line="196"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For the full year 2024, the Company repurchased 1,130,000 shares for approximately $29.6 million, compared to 564,000 shares for $11.6 million in 2023.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Civeo reported a net leverage ratio of 0.5x as of December 31, 2024.</w:t>
      </w:r>
    </w:p>
    <w:p>
      <w:pPr>
        <w:spacing w:after="0" w:line="13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For the full year 2024, Civeo invested $26.1 million in capital expenditures, down from $31.6 million during 2023. Capital expenditures in both periods were primarily related to planned maintenance spending on the Company’s lodges and villages. Capital expenditures in 2023 included approximately $10.0 million related to customer-funded infrastructure upgrades at three Australian villages which were reimbursed by Civeo's customer compared to $2.9 million in 2024.</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Company previously announced that its Board of Directors declared a quarterly cash dividend of $0.25 per</w:t>
      </w:r>
    </w:p>
    <w:p>
      <w:pPr>
        <w:spacing w:after="0" w:line="2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common share, payable on March 17, 2025 to shareholders of record as of close of business on February 24, 2025. For purposes of the Income Tax Act (Canada), the Company has designated this dividend to be an "eligible dividend".</w:t>
      </w:r>
    </w:p>
    <w:p>
      <w:pPr>
        <w:spacing w:after="0" w:line="200" w:lineRule="exact"/>
        <w:rPr>
          <w:sz w:val="20"/>
          <w:szCs w:val="20"/>
          <w:color w:val="auto"/>
        </w:rPr>
      </w:pPr>
    </w:p>
    <w:p>
      <w:pPr>
        <w:spacing w:after="0" w:line="21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In the fourth quarter of 2024, Civeo repurchased approximately 208,000 shares through its share repurchase program for approximately $5.6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Full Year 2025 Guidance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of 2025, excluding any contribution from the recently announced Australian asset acquisition, Civeo expects revenues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$630.0 million to $660.0 million, Adjusted EBITDA of $80.0 million to $90.0 million and capital expenditures of $25.0 million to $30.0 million.</w:t>
      </w:r>
    </w:p>
    <w:p>
      <w:pPr>
        <w:spacing w:after="0"/>
        <w:rPr>
          <w:sz w:val="20"/>
          <w:szCs w:val="20"/>
          <w:color w:val="auto"/>
        </w:rPr>
      </w:pPr>
      <w:r>
        <w:rPr>
          <w:rFonts w:ascii="Arial" w:cs="Arial" w:eastAsia="Arial" w:hAnsi="Arial"/>
          <w:sz w:val="18"/>
          <w:szCs w:val="18"/>
          <w:color w:val="auto"/>
        </w:rPr>
        <w:t>This guidance takes into account the recent reduction in currency exchange rates experienced since late 2024.</w:t>
      </w:r>
    </w:p>
    <w:p>
      <w:pPr>
        <w:spacing w:after="0" w:line="221"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The Company expects the recently announced Australian asset acquisition to be completed by the end of the second quarter of 2025, subject to regulatory approvals and customary conditions, and we will provide updated 2025 guidance upon completion.</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Supplemental Data Disclosure:</w:t>
      </w:r>
    </w:p>
    <w:p>
      <w:pPr>
        <w:spacing w:after="0" w:line="15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addition to the Company's standard earnings release schedules, please see below additional supplemental data schedule disclosing results associated with the asset-light (integrated services) portion of our business and the asset-intensive (accommodation) portion of our business within each of its two reporting segments.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Conference Call</w:t>
      </w:r>
    </w:p>
    <w:p>
      <w:pPr>
        <w:spacing w:after="0" w:line="14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Civeo will host a conference call to discuss its fourth quarter 2024 financial results today at 11:00 a.m. Eastern time. This call is being webcast and can be accessed at Civeo's website at www.civeo.com. Participants may also join the conference call by dialing (877) 423-9813 in the United States or (201) 689-8573 internationally and asking for the Civeo call or using the conference ID 13751856#. A replay will be available after the call by dialing (844) 512-2921 in the United States or (412) 317-6671 internationally and using the conference ID 13751856#.</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Civeo</w:t>
      </w:r>
    </w:p>
    <w:p>
      <w:pPr>
        <w:spacing w:after="0" w:line="225"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Civeo Corporation is a leading provider of hospitality services with prominent market positions in the Australian natural resource and the Canadian oil sands regions. Civeo offers comprehensive solutions for lodging hundreds or</w:t>
      </w:r>
    </w:p>
    <w:p>
      <w:pPr>
        <w:sectPr>
          <w:pgSz w:w="11900" w:h="16838" w:orient="portrait"/>
          <w:cols w:equalWidth="0" w:num="1">
            <w:col w:w="11220"/>
          </w:cols>
          <w:pgMar w:left="320" w:top="877" w:right="359" w:bottom="1440" w:gutter="0" w:footer="0" w:header="0"/>
        </w:sectPr>
      </w:pPr>
    </w:p>
    <w:bookmarkStart w:id="7" w:name="page8"/>
    <w:bookmarkEnd w:id="7"/>
    <w:p>
      <w:pPr>
        <w:ind w:right="140"/>
        <w:spacing w:after="0" w:line="244" w:lineRule="auto"/>
        <w:rPr>
          <w:sz w:val="20"/>
          <w:szCs w:val="20"/>
          <w:color w:val="auto"/>
        </w:rPr>
      </w:pPr>
      <w:r>
        <w:rPr>
          <w:rFonts w:ascii="Arial" w:cs="Arial" w:eastAsia="Arial" w:hAnsi="Arial"/>
          <w:sz w:val="18"/>
          <w:szCs w:val="18"/>
          <w:color w:val="auto"/>
        </w:rPr>
        <w:t xml:space="preserve">thousands of workers with its long-term and temporary accommodations and provides food services, housekeeping, facility management, laundry, water and wastewater treatment, power generation, communications systems, security and logistics services. Civeo currently owns and operates a total of 24 lodges and villages in Australia and North America with an aggregate of approximately 26,000 rooms. In addition, Civeo operates and provides hospitality services at 22 customer-owned locations with more than 18,000 rooms. Civeo is publicly traded under the symbol CVEO on the New York Stock Exchange. For more information, please visit Civeo's website at </w:t>
      </w:r>
      <w:r>
        <w:rPr>
          <w:rFonts w:ascii="Arial" w:cs="Arial" w:eastAsia="Arial" w:hAnsi="Arial"/>
          <w:sz w:val="18"/>
          <w:szCs w:val="18"/>
          <w:color w:val="0563C1"/>
        </w:rPr>
        <w:t>www.civeo.com</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Looking Statements</w:t>
      </w:r>
    </w:p>
    <w:p>
      <w:pPr>
        <w:spacing w:after="0" w:line="158" w:lineRule="exact"/>
        <w:rPr>
          <w:sz w:val="20"/>
          <w:szCs w:val="20"/>
          <w:color w:val="auto"/>
        </w:rPr>
      </w:pPr>
    </w:p>
    <w:p>
      <w:pPr>
        <w:ind w:right="2000"/>
        <w:spacing w:after="0" w:line="255" w:lineRule="auto"/>
        <w:rPr>
          <w:sz w:val="20"/>
          <w:szCs w:val="20"/>
          <w:color w:val="auto"/>
        </w:rPr>
      </w:pPr>
      <w:r>
        <w:rPr>
          <w:rFonts w:ascii="Arial" w:cs="Arial" w:eastAsia="Arial" w:hAnsi="Arial"/>
          <w:sz w:val="18"/>
          <w:szCs w:val="18"/>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herein, including the statements regarding Civeo’s future plans and outlook, strategic priorities, guidance, current trends,</w:t>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expectations with respect to Adjusted EBITDA, capital expenditures, share repurchases and dividends, liquidity needs, and the proposed Australian asset acquisition, including its associated benefits and anticipated closing date,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the general nature of the accommodations industry, risks associated with the level of supply and demand for oil, coal, iron ore and other minerals, including the level of activity, spending and developments in the Canadian oil sands, the level of demand for coal and other natural resources from, and investments and opportunities in, Australia, and fluctuations or sharp declines in the current and future prices of oil, natural gas, coal, iron ore and other minerals, risks associated with failure by our customers to reach positive final investment decisions on, or otherwise not complete, projects with respect to which we have been awarded contracts, which may cause those customers to terminate or postpone contracts, risks associated with currency exchange rates, risks associated with inflation and volatility in the banking sector, risks associated with the company’s ability to integrate any acquisitions, risks associated with labor shortages, risks associated with the development of new projects, including whether such projects will continue in the future, risks associated with the trading price of the company’s common shares, availability and cost of capital, risks associated with general global economic conditions, geopolitical events, inflation, global weather conditions, natural disasters, global health concerns, and security threats and changes to government and environmental regulations, including climate change, and other factors discussed in the “Management’s Discussion and Analysis of Financial Condition and Results of Operations” and “Risk Factors” sections of Civeo’s most recent annual report on Form 10-K and other reports the company may file from time to time with the U.S. Securities and Exchange Commission. Each forward-looking statement contained herein speaks only as of the date of this release. Except as required by law, Civeo expressly disclaims any intention or obligation to revise or update any forward-looking statements, whether as a result of new information, future events or otherwise.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Non-GAAP Financial Information</w:t>
      </w:r>
    </w:p>
    <w:p>
      <w:pPr>
        <w:spacing w:after="0" w:line="252" w:lineRule="exact"/>
        <w:rPr>
          <w:sz w:val="20"/>
          <w:szCs w:val="20"/>
          <w:color w:val="auto"/>
        </w:rPr>
      </w:pPr>
    </w:p>
    <w:p>
      <w:pPr>
        <w:ind w:right="2040"/>
        <w:spacing w:after="0" w:line="255" w:lineRule="auto"/>
        <w:rPr>
          <w:sz w:val="20"/>
          <w:szCs w:val="20"/>
          <w:color w:val="auto"/>
        </w:rPr>
      </w:pPr>
      <w:r>
        <w:rPr>
          <w:rFonts w:ascii="Arial" w:cs="Arial" w:eastAsia="Arial" w:hAnsi="Arial"/>
          <w:sz w:val="18"/>
          <w:szCs w:val="18"/>
          <w:color w:val="auto"/>
        </w:rPr>
        <w:t>EBITDA, Adjusted EBITDA, free cash flow, net debt, bank-adjusted EBITDA and net leverage ratio are non-GAAP financial measures. See “Non-GAAP Reconciliation” below for definitions and additional information concerning non-GAAP financial measures, including a reconciliation of the non-GAAP financial information presented in this press release to the most directly comparable financial information presented in accordance with GAAP. Non-GAAP financial information supplements and should be read together with, and is not an alternative or substitute for, the Company’s financial results reported in accordance with GAAP. Because non-GAAP financial information is not standardized, it may not be possible to compare these financial measures with other companies’ non-GAAP financial measures.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 Financial Schedules Follow -</w:t>
      </w:r>
    </w:p>
    <w:p>
      <w:pPr>
        <w:sectPr>
          <w:pgSz w:w="11900" w:h="16838" w:orient="portrait"/>
          <w:cols w:equalWidth="0" w:num="1">
            <w:col w:w="11240"/>
          </w:cols>
          <w:pgMar w:left="320" w:top="877"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gridSpan w:val="5"/>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60" w:type="dxa"/>
            <w:vAlign w:val="bottom"/>
          </w:tcPr>
          <w:p>
            <w:pPr>
              <w:spacing w:after="0"/>
              <w:rPr>
                <w:sz w:val="17"/>
                <w:szCs w:val="17"/>
                <w:color w:val="auto"/>
              </w:rPr>
            </w:pPr>
          </w:p>
        </w:tc>
        <w:tc>
          <w:tcPr>
            <w:tcW w:w="2300" w:type="dxa"/>
            <w:vAlign w:val="bottom"/>
            <w:gridSpan w:val="4"/>
          </w:tcPr>
          <w:p>
            <w:pPr>
              <w:jc w:val="right"/>
              <w:ind w:right="348"/>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0" w:type="dxa"/>
            <w:vAlign w:val="bottom"/>
          </w:tcPr>
          <w:p>
            <w:pPr>
              <w:spacing w:after="0"/>
              <w:rPr>
                <w:sz w:val="1"/>
                <w:szCs w:val="1"/>
                <w:color w:val="auto"/>
              </w:rPr>
            </w:pPr>
          </w:p>
        </w:tc>
      </w:tr>
      <w:tr>
        <w:trPr>
          <w:trHeight w:val="238"/>
        </w:trPr>
        <w:tc>
          <w:tcPr>
            <w:tcW w:w="3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5"/>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60" w:type="dxa"/>
            <w:vAlign w:val="bottom"/>
          </w:tcPr>
          <w:p>
            <w:pPr>
              <w:spacing w:after="0"/>
              <w:rPr>
                <w:sz w:val="20"/>
                <w:szCs w:val="20"/>
                <w:color w:val="auto"/>
              </w:rPr>
            </w:pPr>
          </w:p>
        </w:tc>
        <w:tc>
          <w:tcPr>
            <w:tcW w:w="2300" w:type="dxa"/>
            <w:vAlign w:val="bottom"/>
            <w:gridSpan w:val="4"/>
          </w:tcPr>
          <w:p>
            <w:pPr>
              <w:jc w:val="right"/>
              <w:ind w:right="688"/>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74"/>
        </w:trPr>
        <w:tc>
          <w:tcPr>
            <w:tcW w:w="38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47"/>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47"/>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513"/>
        </w:trPr>
        <w:tc>
          <w:tcPr>
            <w:tcW w:w="3880" w:type="dxa"/>
            <w:vAlign w:val="bottom"/>
          </w:tcPr>
          <w:p>
            <w:pPr>
              <w:spacing w:after="0"/>
              <w:rPr>
                <w:sz w:val="20"/>
                <w:szCs w:val="20"/>
                <w:color w:val="auto"/>
              </w:rPr>
            </w:pPr>
            <w:r>
              <w:rPr>
                <w:rFonts w:ascii="Arial" w:cs="Arial" w:eastAsia="Arial" w:hAnsi="Arial"/>
                <w:sz w:val="14"/>
                <w:szCs w:val="14"/>
                <w:color w:val="auto"/>
              </w:rPr>
              <w:t>Revenues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7"/>
              <w:spacing w:after="0"/>
              <w:rPr>
                <w:sz w:val="20"/>
                <w:szCs w:val="20"/>
                <w:color w:val="auto"/>
              </w:rPr>
            </w:pPr>
            <w:r>
              <w:rPr>
                <w:rFonts w:ascii="Arial" w:cs="Arial" w:eastAsia="Arial" w:hAnsi="Arial"/>
                <w:sz w:val="14"/>
                <w:szCs w:val="14"/>
                <w:color w:val="auto"/>
              </w:rPr>
              <w:t>150,951</w:t>
            </w:r>
          </w:p>
        </w:tc>
        <w:tc>
          <w:tcPr>
            <w:tcW w:w="2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170,799</w:t>
            </w:r>
          </w:p>
        </w:tc>
        <w:tc>
          <w:tcPr>
            <w:tcW w:w="24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682,122</w:t>
            </w:r>
          </w:p>
        </w:tc>
        <w:tc>
          <w:tcPr>
            <w:tcW w:w="2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700,805</w:t>
            </w:r>
          </w:p>
        </w:tc>
        <w:tc>
          <w:tcPr>
            <w:tcW w:w="0" w:type="dxa"/>
            <w:vAlign w:val="bottom"/>
          </w:tcPr>
          <w:p>
            <w:pPr>
              <w:spacing w:after="0"/>
              <w:rPr>
                <w:sz w:val="1"/>
                <w:szCs w:val="1"/>
                <w:color w:val="auto"/>
              </w:rPr>
            </w:pPr>
          </w:p>
        </w:tc>
      </w:tr>
      <w:tr>
        <w:trPr>
          <w:trHeight w:val="540"/>
        </w:trPr>
        <w:tc>
          <w:tcPr>
            <w:tcW w:w="3880" w:type="dxa"/>
            <w:vAlign w:val="bottom"/>
          </w:tcPr>
          <w:p>
            <w:pPr>
              <w:spacing w:after="0"/>
              <w:rPr>
                <w:sz w:val="20"/>
                <w:szCs w:val="20"/>
                <w:color w:val="auto"/>
              </w:rPr>
            </w:pPr>
            <w:r>
              <w:rPr>
                <w:rFonts w:ascii="Arial" w:cs="Arial" w:eastAsia="Arial" w:hAnsi="Arial"/>
                <w:sz w:val="14"/>
                <w:szCs w:val="14"/>
                <w:color w:val="auto"/>
              </w:rPr>
              <w:t>Costs and expenses: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80" w:type="dxa"/>
            <w:vAlign w:val="bottom"/>
          </w:tcPr>
          <w:p>
            <w:pPr>
              <w:ind w:left="120"/>
              <w:spacing w:after="0"/>
              <w:rPr>
                <w:sz w:val="20"/>
                <w:szCs w:val="20"/>
                <w:color w:val="auto"/>
              </w:rPr>
            </w:pPr>
            <w:r>
              <w:rPr>
                <w:rFonts w:ascii="Arial" w:cs="Arial" w:eastAsia="Arial" w:hAnsi="Arial"/>
                <w:sz w:val="14"/>
                <w:szCs w:val="14"/>
                <w:color w:val="auto"/>
              </w:rPr>
              <w:t>Cost of sales and services</w:t>
            </w:r>
          </w:p>
        </w:tc>
        <w:tc>
          <w:tcPr>
            <w:tcW w:w="260" w:type="dxa"/>
            <w:vAlign w:val="bottom"/>
          </w:tcPr>
          <w:p>
            <w:pPr>
              <w:spacing w:after="0"/>
              <w:rPr>
                <w:sz w:val="23"/>
                <w:szCs w:val="23"/>
                <w:color w:val="auto"/>
              </w:rPr>
            </w:pPr>
          </w:p>
        </w:tc>
        <w:tc>
          <w:tcPr>
            <w:tcW w:w="900" w:type="dxa"/>
            <w:vAlign w:val="bottom"/>
          </w:tcPr>
          <w:p>
            <w:pPr>
              <w:jc w:val="right"/>
              <w:ind w:right="7"/>
              <w:spacing w:after="0"/>
              <w:rPr>
                <w:sz w:val="20"/>
                <w:szCs w:val="20"/>
                <w:color w:val="auto"/>
              </w:rPr>
            </w:pPr>
            <w:r>
              <w:rPr>
                <w:rFonts w:ascii="Arial" w:cs="Arial" w:eastAsia="Arial" w:hAnsi="Arial"/>
                <w:sz w:val="14"/>
                <w:szCs w:val="14"/>
                <w:color w:val="auto"/>
              </w:rPr>
              <w:t>122,846</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135,052</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532,667</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530,287</w:t>
            </w:r>
          </w:p>
        </w:tc>
        <w:tc>
          <w:tcPr>
            <w:tcW w:w="0" w:type="dxa"/>
            <w:vAlign w:val="bottom"/>
          </w:tcPr>
          <w:p>
            <w:pPr>
              <w:spacing w:after="0"/>
              <w:rPr>
                <w:sz w:val="1"/>
                <w:szCs w:val="1"/>
                <w:color w:val="auto"/>
              </w:rPr>
            </w:pPr>
          </w:p>
        </w:tc>
      </w:tr>
      <w:tr>
        <w:trPr>
          <w:trHeight w:val="270"/>
        </w:trPr>
        <w:tc>
          <w:tcPr>
            <w:tcW w:w="3880" w:type="dxa"/>
            <w:vAlign w:val="bottom"/>
          </w:tcPr>
          <w:p>
            <w:pPr>
              <w:ind w:left="120"/>
              <w:spacing w:after="0"/>
              <w:rPr>
                <w:sz w:val="20"/>
                <w:szCs w:val="20"/>
                <w:color w:val="auto"/>
              </w:rPr>
            </w:pPr>
            <w:r>
              <w:rPr>
                <w:rFonts w:ascii="Arial" w:cs="Arial" w:eastAsia="Arial" w:hAnsi="Arial"/>
                <w:sz w:val="14"/>
                <w:szCs w:val="14"/>
                <w:color w:val="auto"/>
              </w:rPr>
              <w:t>Selling, general and administrative expenses</w:t>
            </w:r>
          </w:p>
        </w:tc>
        <w:tc>
          <w:tcPr>
            <w:tcW w:w="260" w:type="dxa"/>
            <w:vAlign w:val="bottom"/>
          </w:tcPr>
          <w:p>
            <w:pPr>
              <w:spacing w:after="0"/>
              <w:rPr>
                <w:sz w:val="23"/>
                <w:szCs w:val="23"/>
                <w:color w:val="auto"/>
              </w:rPr>
            </w:pPr>
          </w:p>
        </w:tc>
        <w:tc>
          <w:tcPr>
            <w:tcW w:w="900" w:type="dxa"/>
            <w:vAlign w:val="bottom"/>
          </w:tcPr>
          <w:p>
            <w:pPr>
              <w:jc w:val="right"/>
              <w:ind w:right="7"/>
              <w:spacing w:after="0"/>
              <w:rPr>
                <w:sz w:val="20"/>
                <w:szCs w:val="20"/>
                <w:color w:val="auto"/>
              </w:rPr>
            </w:pPr>
            <w:r>
              <w:rPr>
                <w:rFonts w:ascii="Arial" w:cs="Arial" w:eastAsia="Arial" w:hAnsi="Arial"/>
                <w:sz w:val="14"/>
                <w:szCs w:val="14"/>
                <w:color w:val="auto"/>
              </w:rPr>
              <w:t>17,642</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19,720</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73,350</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72,605</w:t>
            </w:r>
          </w:p>
        </w:tc>
        <w:tc>
          <w:tcPr>
            <w:tcW w:w="0" w:type="dxa"/>
            <w:vAlign w:val="bottom"/>
          </w:tcPr>
          <w:p>
            <w:pPr>
              <w:spacing w:after="0"/>
              <w:rPr>
                <w:sz w:val="1"/>
                <w:szCs w:val="1"/>
                <w:color w:val="auto"/>
              </w:rPr>
            </w:pPr>
          </w:p>
        </w:tc>
      </w:tr>
      <w:tr>
        <w:trPr>
          <w:trHeight w:val="270"/>
        </w:trPr>
        <w:tc>
          <w:tcPr>
            <w:tcW w:w="3880" w:type="dxa"/>
            <w:vAlign w:val="bottom"/>
          </w:tcPr>
          <w:p>
            <w:pPr>
              <w:ind w:left="120"/>
              <w:spacing w:after="0"/>
              <w:rPr>
                <w:sz w:val="20"/>
                <w:szCs w:val="20"/>
                <w:color w:val="auto"/>
              </w:rPr>
            </w:pPr>
            <w:r>
              <w:rPr>
                <w:rFonts w:ascii="Arial" w:cs="Arial" w:eastAsia="Arial" w:hAnsi="Arial"/>
                <w:sz w:val="14"/>
                <w:szCs w:val="14"/>
                <w:color w:val="auto"/>
              </w:rPr>
              <w:t>Depreciation and amortization expense</w:t>
            </w:r>
          </w:p>
        </w:tc>
        <w:tc>
          <w:tcPr>
            <w:tcW w:w="260" w:type="dxa"/>
            <w:vAlign w:val="bottom"/>
          </w:tcPr>
          <w:p>
            <w:pPr>
              <w:spacing w:after="0"/>
              <w:rPr>
                <w:sz w:val="23"/>
                <w:szCs w:val="23"/>
                <w:color w:val="auto"/>
              </w:rPr>
            </w:pPr>
          </w:p>
        </w:tc>
        <w:tc>
          <w:tcPr>
            <w:tcW w:w="900" w:type="dxa"/>
            <w:vAlign w:val="bottom"/>
          </w:tcPr>
          <w:p>
            <w:pPr>
              <w:jc w:val="right"/>
              <w:ind w:right="7"/>
              <w:spacing w:after="0"/>
              <w:rPr>
                <w:sz w:val="20"/>
                <w:szCs w:val="20"/>
                <w:color w:val="auto"/>
              </w:rPr>
            </w:pPr>
            <w:r>
              <w:rPr>
                <w:rFonts w:ascii="Arial" w:cs="Arial" w:eastAsia="Arial" w:hAnsi="Arial"/>
                <w:sz w:val="14"/>
                <w:szCs w:val="14"/>
                <w:color w:val="auto"/>
              </w:rPr>
              <w:t>16,769</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15,865</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68,038</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75,142</w:t>
            </w:r>
          </w:p>
        </w:tc>
        <w:tc>
          <w:tcPr>
            <w:tcW w:w="0" w:type="dxa"/>
            <w:vAlign w:val="bottom"/>
          </w:tcPr>
          <w:p>
            <w:pPr>
              <w:spacing w:after="0"/>
              <w:rPr>
                <w:sz w:val="1"/>
                <w:szCs w:val="1"/>
                <w:color w:val="auto"/>
              </w:rPr>
            </w:pPr>
          </w:p>
        </w:tc>
      </w:tr>
      <w:tr>
        <w:trPr>
          <w:trHeight w:val="270"/>
        </w:trPr>
        <w:tc>
          <w:tcPr>
            <w:tcW w:w="3880" w:type="dxa"/>
            <w:vAlign w:val="bottom"/>
          </w:tcPr>
          <w:p>
            <w:pPr>
              <w:ind w:left="120"/>
              <w:spacing w:after="0"/>
              <w:rPr>
                <w:sz w:val="20"/>
                <w:szCs w:val="20"/>
                <w:color w:val="auto"/>
              </w:rPr>
            </w:pPr>
            <w:r>
              <w:rPr>
                <w:rFonts w:ascii="Arial" w:cs="Arial" w:eastAsia="Arial" w:hAnsi="Arial"/>
                <w:sz w:val="14"/>
                <w:szCs w:val="14"/>
                <w:color w:val="auto"/>
              </w:rPr>
              <w:t>Impairment expense</w:t>
            </w:r>
          </w:p>
        </w:tc>
        <w:tc>
          <w:tcPr>
            <w:tcW w:w="260" w:type="dxa"/>
            <w:vAlign w:val="bottom"/>
          </w:tcPr>
          <w:p>
            <w:pPr>
              <w:spacing w:after="0"/>
              <w:rPr>
                <w:sz w:val="23"/>
                <w:szCs w:val="23"/>
                <w:color w:val="auto"/>
              </w:rPr>
            </w:pPr>
          </w:p>
        </w:tc>
        <w:tc>
          <w:tcPr>
            <w:tcW w:w="900" w:type="dxa"/>
            <w:vAlign w:val="bottom"/>
          </w:tcPr>
          <w:p>
            <w:pPr>
              <w:jc w:val="right"/>
              <w:ind w:right="7"/>
              <w:spacing w:after="0"/>
              <w:rPr>
                <w:sz w:val="20"/>
                <w:szCs w:val="20"/>
                <w:color w:val="auto"/>
              </w:rPr>
            </w:pPr>
            <w:r>
              <w:rPr>
                <w:rFonts w:ascii="Arial" w:cs="Arial" w:eastAsia="Arial" w:hAnsi="Arial"/>
                <w:sz w:val="14"/>
                <w:szCs w:val="14"/>
                <w:color w:val="auto"/>
              </w:rPr>
              <w:t>3,758</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1,395</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11,581</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1,395</w:t>
            </w:r>
          </w:p>
        </w:tc>
        <w:tc>
          <w:tcPr>
            <w:tcW w:w="0" w:type="dxa"/>
            <w:vAlign w:val="bottom"/>
          </w:tcPr>
          <w:p>
            <w:pPr>
              <w:spacing w:after="0"/>
              <w:rPr>
                <w:sz w:val="1"/>
                <w:szCs w:val="1"/>
                <w:color w:val="auto"/>
              </w:rPr>
            </w:pPr>
          </w:p>
        </w:tc>
      </w:tr>
      <w:tr>
        <w:trPr>
          <w:trHeight w:val="157"/>
        </w:trPr>
        <w:tc>
          <w:tcPr>
            <w:tcW w:w="3880" w:type="dxa"/>
            <w:vAlign w:val="bottom"/>
          </w:tcPr>
          <w:p>
            <w:pPr>
              <w:ind w:left="120"/>
              <w:spacing w:after="0" w:line="157" w:lineRule="exact"/>
              <w:rPr>
                <w:sz w:val="20"/>
                <w:szCs w:val="20"/>
                <w:color w:val="auto"/>
              </w:rPr>
            </w:pPr>
            <w:r>
              <w:rPr>
                <w:rFonts w:ascii="Arial" w:cs="Arial" w:eastAsia="Arial" w:hAnsi="Arial"/>
                <w:sz w:val="14"/>
                <w:szCs w:val="14"/>
                <w:color w:val="auto"/>
              </w:rPr>
              <w:t>(Gain) loss on sale of McClelland Lake Lodge assets,</w:t>
            </w:r>
          </w:p>
        </w:tc>
        <w:tc>
          <w:tcPr>
            <w:tcW w:w="260" w:type="dxa"/>
            <w:vAlign w:val="bottom"/>
          </w:tcPr>
          <w:p>
            <w:pPr>
              <w:spacing w:after="0"/>
              <w:rPr>
                <w:sz w:val="13"/>
                <w:szCs w:val="13"/>
                <w:color w:val="auto"/>
              </w:rPr>
            </w:pPr>
          </w:p>
        </w:tc>
        <w:tc>
          <w:tcPr>
            <w:tcW w:w="900" w:type="dxa"/>
            <w:vAlign w:val="bottom"/>
            <w:vMerge w:val="restart"/>
          </w:tcPr>
          <w:p>
            <w:pPr>
              <w:jc w:val="right"/>
              <w:ind w:right="7"/>
              <w:spacing w:after="0"/>
              <w:rPr>
                <w:sz w:val="20"/>
                <w:szCs w:val="20"/>
                <w:color w:val="auto"/>
              </w:rPr>
            </w:pPr>
            <w:r>
              <w:rPr>
                <w:rFonts w:ascii="Arial" w:cs="Arial" w:eastAsia="Arial" w:hAnsi="Arial"/>
                <w:sz w:val="14"/>
                <w:szCs w:val="14"/>
                <w:color w:val="auto"/>
              </w:rPr>
              <w:t>73</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(23,458)</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(5,744)</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(18,590)</w:t>
            </w:r>
          </w:p>
        </w:tc>
        <w:tc>
          <w:tcPr>
            <w:tcW w:w="0" w:type="dxa"/>
            <w:vAlign w:val="bottom"/>
          </w:tcPr>
          <w:p>
            <w:pPr>
              <w:spacing w:after="0"/>
              <w:rPr>
                <w:sz w:val="1"/>
                <w:szCs w:val="1"/>
                <w:color w:val="auto"/>
              </w:rPr>
            </w:pPr>
          </w:p>
        </w:tc>
      </w:tr>
      <w:tr>
        <w:trPr>
          <w:trHeight w:val="190"/>
        </w:trPr>
        <w:tc>
          <w:tcPr>
            <w:tcW w:w="3880" w:type="dxa"/>
            <w:vAlign w:val="bottom"/>
          </w:tcPr>
          <w:p>
            <w:pPr>
              <w:ind w:left="120"/>
              <w:spacing w:after="0"/>
              <w:rPr>
                <w:sz w:val="20"/>
                <w:szCs w:val="20"/>
                <w:color w:val="auto"/>
              </w:rPr>
            </w:pPr>
            <w:r>
              <w:rPr>
                <w:rFonts w:ascii="Arial" w:cs="Arial" w:eastAsia="Arial" w:hAnsi="Arial"/>
                <w:sz w:val="14"/>
                <w:szCs w:val="14"/>
                <w:color w:val="auto"/>
              </w:rPr>
              <w:t>net</w:t>
            </w: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3880" w:type="dxa"/>
            <w:vAlign w:val="bottom"/>
          </w:tcPr>
          <w:p>
            <w:pPr>
              <w:ind w:left="120"/>
              <w:spacing w:after="0"/>
              <w:rPr>
                <w:sz w:val="20"/>
                <w:szCs w:val="20"/>
                <w:color w:val="auto"/>
              </w:rPr>
            </w:pPr>
            <w:r>
              <w:rPr>
                <w:rFonts w:ascii="Arial" w:cs="Arial" w:eastAsia="Arial" w:hAnsi="Arial"/>
                <w:sz w:val="14"/>
                <w:szCs w:val="14"/>
                <w:color w:val="auto"/>
              </w:rPr>
              <w:t>Other operating expense (income)</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177</w:t>
            </w:r>
          </w:p>
        </w:tc>
        <w:tc>
          <w:tcPr>
            <w:tcW w:w="2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898</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479</w:t>
            </w:r>
          </w:p>
        </w:tc>
        <w:tc>
          <w:tcPr>
            <w:tcW w:w="0" w:type="dxa"/>
            <w:vAlign w:val="bottom"/>
          </w:tcPr>
          <w:p>
            <w:pPr>
              <w:spacing w:after="0"/>
              <w:rPr>
                <w:sz w:val="1"/>
                <w:szCs w:val="1"/>
                <w:color w:val="auto"/>
              </w:rPr>
            </w:pPr>
          </w:p>
        </w:tc>
      </w:tr>
      <w:tr>
        <w:trPr>
          <w:trHeight w:val="250"/>
        </w:trPr>
        <w:tc>
          <w:tcPr>
            <w:tcW w:w="38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160,994</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148,751</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680,790</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661,318</w:t>
            </w:r>
          </w:p>
        </w:tc>
        <w:tc>
          <w:tcPr>
            <w:tcW w:w="0" w:type="dxa"/>
            <w:vAlign w:val="bottom"/>
          </w:tcPr>
          <w:p>
            <w:pPr>
              <w:spacing w:after="0"/>
              <w:rPr>
                <w:sz w:val="1"/>
                <w:szCs w:val="1"/>
                <w:color w:val="auto"/>
              </w:rPr>
            </w:pPr>
          </w:p>
        </w:tc>
      </w:tr>
      <w:tr>
        <w:trPr>
          <w:trHeight w:val="246"/>
        </w:trPr>
        <w:tc>
          <w:tcPr>
            <w:tcW w:w="3880" w:type="dxa"/>
            <w:vAlign w:val="bottom"/>
          </w:tcPr>
          <w:p>
            <w:pPr>
              <w:spacing w:after="0"/>
              <w:rPr>
                <w:sz w:val="20"/>
                <w:szCs w:val="20"/>
                <w:color w:val="auto"/>
              </w:rPr>
            </w:pPr>
            <w:r>
              <w:rPr>
                <w:rFonts w:ascii="Arial" w:cs="Arial" w:eastAsia="Arial" w:hAnsi="Arial"/>
                <w:sz w:val="14"/>
                <w:szCs w:val="14"/>
                <w:color w:val="auto"/>
              </w:rPr>
              <w:t>Operating income (loss)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(10,043)</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22,048</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1,332</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39,487</w:t>
            </w:r>
          </w:p>
        </w:tc>
        <w:tc>
          <w:tcPr>
            <w:tcW w:w="0" w:type="dxa"/>
            <w:vAlign w:val="bottom"/>
          </w:tcPr>
          <w:p>
            <w:pPr>
              <w:spacing w:after="0"/>
              <w:rPr>
                <w:sz w:val="1"/>
                <w:szCs w:val="1"/>
                <w:color w:val="auto"/>
              </w:rPr>
            </w:pPr>
          </w:p>
        </w:tc>
      </w:tr>
      <w:tr>
        <w:trPr>
          <w:trHeight w:val="540"/>
        </w:trPr>
        <w:tc>
          <w:tcPr>
            <w:tcW w:w="3880" w:type="dxa"/>
            <w:vAlign w:val="bottom"/>
          </w:tcPr>
          <w:p>
            <w:pPr>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(1,685)</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(2,552)</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(7,973)</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(13,177)</w:t>
            </w: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0"/>
                <w:szCs w:val="20"/>
                <w:color w:val="auto"/>
              </w:rPr>
            </w:pPr>
            <w:r>
              <w:rPr>
                <w:rFonts w:ascii="Arial" w:cs="Arial" w:eastAsia="Arial" w:hAnsi="Arial"/>
                <w:sz w:val="14"/>
                <w:szCs w:val="14"/>
                <w:color w:val="auto"/>
              </w:rPr>
              <w:t>Interest income</w:t>
            </w:r>
          </w:p>
        </w:tc>
        <w:tc>
          <w:tcPr>
            <w:tcW w:w="260" w:type="dxa"/>
            <w:vAlign w:val="bottom"/>
          </w:tcPr>
          <w:p>
            <w:pPr>
              <w:spacing w:after="0"/>
              <w:rPr>
                <w:sz w:val="23"/>
                <w:szCs w:val="23"/>
                <w:color w:val="auto"/>
              </w:rPr>
            </w:pPr>
          </w:p>
        </w:tc>
        <w:tc>
          <w:tcPr>
            <w:tcW w:w="900" w:type="dxa"/>
            <w:vAlign w:val="bottom"/>
          </w:tcPr>
          <w:p>
            <w:pPr>
              <w:jc w:val="right"/>
              <w:ind w:right="7"/>
              <w:spacing w:after="0"/>
              <w:rPr>
                <w:sz w:val="20"/>
                <w:szCs w:val="20"/>
                <w:color w:val="auto"/>
              </w:rPr>
            </w:pPr>
            <w:r>
              <w:rPr>
                <w:rFonts w:ascii="Arial" w:cs="Arial" w:eastAsia="Arial" w:hAnsi="Arial"/>
                <w:sz w:val="14"/>
                <w:szCs w:val="14"/>
                <w:color w:val="auto"/>
              </w:rPr>
              <w:t>40</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46</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187</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274"/>
        </w:trPr>
        <w:tc>
          <w:tcPr>
            <w:tcW w:w="3880" w:type="dxa"/>
            <w:vAlign w:val="bottom"/>
          </w:tcPr>
          <w:p>
            <w:pPr>
              <w:spacing w:after="0"/>
              <w:rPr>
                <w:sz w:val="20"/>
                <w:szCs w:val="20"/>
                <w:color w:val="auto"/>
              </w:rPr>
            </w:pPr>
            <w:r>
              <w:rPr>
                <w:rFonts w:ascii="Arial" w:cs="Arial" w:eastAsia="Arial" w:hAnsi="Arial"/>
                <w:sz w:val="14"/>
                <w:szCs w:val="14"/>
                <w:color w:val="auto"/>
              </w:rPr>
              <w:t>Other income (expense)</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10,845</w:t>
            </w:r>
          </w:p>
        </w:tc>
        <w:tc>
          <w:tcPr>
            <w:tcW w:w="2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517</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13,881</w:t>
            </w:r>
          </w:p>
        </w:tc>
        <w:tc>
          <w:tcPr>
            <w:tcW w:w="0" w:type="dxa"/>
            <w:vAlign w:val="bottom"/>
          </w:tcPr>
          <w:p>
            <w:pPr>
              <w:spacing w:after="0"/>
              <w:rPr>
                <w:sz w:val="1"/>
                <w:szCs w:val="1"/>
                <w:color w:val="auto"/>
              </w:rPr>
            </w:pPr>
          </w:p>
        </w:tc>
      </w:tr>
      <w:tr>
        <w:trPr>
          <w:trHeight w:val="246"/>
        </w:trPr>
        <w:tc>
          <w:tcPr>
            <w:tcW w:w="3880" w:type="dxa"/>
            <w:vAlign w:val="bottom"/>
          </w:tcPr>
          <w:p>
            <w:pPr>
              <w:ind w:left="120"/>
              <w:spacing w:after="0"/>
              <w:rPr>
                <w:sz w:val="20"/>
                <w:szCs w:val="20"/>
                <w:color w:val="auto"/>
              </w:rPr>
            </w:pPr>
            <w:r>
              <w:rPr>
                <w:rFonts w:ascii="Arial" w:cs="Arial" w:eastAsia="Arial" w:hAnsi="Arial"/>
                <w:sz w:val="14"/>
                <w:szCs w:val="14"/>
                <w:color w:val="auto"/>
              </w:rPr>
              <w:t>Income (loss) before income taxes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(12,138)</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30,387</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(5,937)</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40,363</w:t>
            </w:r>
          </w:p>
        </w:tc>
        <w:tc>
          <w:tcPr>
            <w:tcW w:w="0" w:type="dxa"/>
            <w:vAlign w:val="bottom"/>
          </w:tcPr>
          <w:p>
            <w:pPr>
              <w:spacing w:after="0"/>
              <w:rPr>
                <w:sz w:val="1"/>
                <w:szCs w:val="1"/>
                <w:color w:val="auto"/>
              </w:rPr>
            </w:pPr>
          </w:p>
        </w:tc>
      </w:tr>
      <w:tr>
        <w:trPr>
          <w:trHeight w:val="274"/>
        </w:trPr>
        <w:tc>
          <w:tcPr>
            <w:tcW w:w="3880" w:type="dxa"/>
            <w:vAlign w:val="bottom"/>
          </w:tcPr>
          <w:p>
            <w:pPr>
              <w:spacing w:after="0"/>
              <w:rPr>
                <w:sz w:val="20"/>
                <w:szCs w:val="20"/>
                <w:color w:val="auto"/>
              </w:rPr>
            </w:pPr>
            <w:r>
              <w:rPr>
                <w:rFonts w:ascii="Arial" w:cs="Arial" w:eastAsia="Arial" w:hAnsi="Arial"/>
                <w:sz w:val="14"/>
                <w:szCs w:val="14"/>
                <w:color w:val="auto"/>
              </w:rPr>
              <w:t>Income tax expense</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(3,293)</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(7,736)</w:t>
            </w:r>
          </w:p>
        </w:tc>
        <w:tc>
          <w:tcPr>
            <w:tcW w:w="2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(12,492)</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(10,633)</w:t>
            </w:r>
          </w:p>
        </w:tc>
        <w:tc>
          <w:tcPr>
            <w:tcW w:w="0" w:type="dxa"/>
            <w:vAlign w:val="bottom"/>
          </w:tcPr>
          <w:p>
            <w:pPr>
              <w:spacing w:after="0"/>
              <w:rPr>
                <w:sz w:val="1"/>
                <w:szCs w:val="1"/>
                <w:color w:val="auto"/>
              </w:rPr>
            </w:pPr>
          </w:p>
        </w:tc>
      </w:tr>
      <w:tr>
        <w:trPr>
          <w:trHeight w:val="246"/>
        </w:trPr>
        <w:tc>
          <w:tcPr>
            <w:tcW w:w="3880" w:type="dxa"/>
            <w:vAlign w:val="bottom"/>
          </w:tcPr>
          <w:p>
            <w:pPr>
              <w:spacing w:after="0"/>
              <w:rPr>
                <w:sz w:val="20"/>
                <w:szCs w:val="20"/>
                <w:color w:val="auto"/>
              </w:rPr>
            </w:pPr>
            <w:r>
              <w:rPr>
                <w:rFonts w:ascii="Arial" w:cs="Arial" w:eastAsia="Arial" w:hAnsi="Arial"/>
                <w:sz w:val="14"/>
                <w:szCs w:val="14"/>
                <w:color w:val="auto"/>
              </w:rPr>
              <w:t>Net income (loss)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(15,431)</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22,651</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(18,429)</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29,730</w:t>
            </w:r>
          </w:p>
        </w:tc>
        <w:tc>
          <w:tcPr>
            <w:tcW w:w="0" w:type="dxa"/>
            <w:vAlign w:val="bottom"/>
          </w:tcPr>
          <w:p>
            <w:pPr>
              <w:spacing w:after="0"/>
              <w:rPr>
                <w:sz w:val="1"/>
                <w:szCs w:val="1"/>
                <w:color w:val="auto"/>
              </w:rPr>
            </w:pPr>
          </w:p>
        </w:tc>
      </w:tr>
      <w:tr>
        <w:trPr>
          <w:trHeight w:val="274"/>
        </w:trPr>
        <w:tc>
          <w:tcPr>
            <w:tcW w:w="3880" w:type="dxa"/>
            <w:vAlign w:val="bottom"/>
          </w:tcPr>
          <w:p>
            <w:pPr>
              <w:ind w:left="120"/>
              <w:spacing w:after="0"/>
              <w:rPr>
                <w:sz w:val="20"/>
                <w:szCs w:val="20"/>
                <w:color w:val="auto"/>
              </w:rPr>
            </w:pPr>
            <w:r>
              <w:rPr>
                <w:rFonts w:ascii="Arial" w:cs="Arial" w:eastAsia="Arial" w:hAnsi="Arial"/>
                <w:sz w:val="14"/>
                <w:szCs w:val="14"/>
                <w:color w:val="auto"/>
              </w:rPr>
              <w:t>Less: Net loss attributable to noncontrolling interest</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w:t>
            </w:r>
          </w:p>
        </w:tc>
        <w:tc>
          <w:tcPr>
            <w:tcW w:w="2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(1,362)</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227"/>
        </w:trPr>
        <w:tc>
          <w:tcPr>
            <w:tcW w:w="3880" w:type="dxa"/>
            <w:vAlign w:val="bottom"/>
          </w:tcPr>
          <w:p>
            <w:pPr>
              <w:spacing w:after="0"/>
              <w:rPr>
                <w:sz w:val="20"/>
                <w:szCs w:val="20"/>
                <w:color w:val="auto"/>
              </w:rPr>
            </w:pPr>
            <w:r>
              <w:rPr>
                <w:rFonts w:ascii="Arial" w:cs="Arial" w:eastAsia="Arial" w:hAnsi="Arial"/>
                <w:sz w:val="14"/>
                <w:szCs w:val="14"/>
                <w:color w:val="auto"/>
              </w:rPr>
              <w:t>Net income (loss) attributable to Civeo Corporation</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(15,070)</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23,025</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(17,067)</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30,157</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4"/>
                <w:szCs w:val="14"/>
                <w:color w:val="auto"/>
              </w:rPr>
              <w:t>Net income (loss) per share attributable to Civeo</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38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880" w:type="dxa"/>
            <w:vAlign w:val="bottom"/>
          </w:tcPr>
          <w:p>
            <w:pPr>
              <w:spacing w:after="0"/>
              <w:rPr>
                <w:sz w:val="20"/>
                <w:szCs w:val="20"/>
                <w:color w:val="auto"/>
              </w:rPr>
            </w:pPr>
            <w:r>
              <w:rPr>
                <w:rFonts w:ascii="Arial" w:cs="Arial" w:eastAsia="Arial" w:hAnsi="Arial"/>
                <w:sz w:val="14"/>
                <w:szCs w:val="14"/>
                <w:color w:val="auto"/>
              </w:rPr>
              <w:t>Corporation common shareholders: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3880" w:type="dxa"/>
            <w:vAlign w:val="bottom"/>
          </w:tcPr>
          <w:p>
            <w:pPr>
              <w:ind w:left="120"/>
              <w:spacing w:after="0"/>
              <w:rPr>
                <w:sz w:val="20"/>
                <w:szCs w:val="20"/>
                <w:color w:val="auto"/>
              </w:rPr>
            </w:pPr>
            <w:r>
              <w:rPr>
                <w:rFonts w:ascii="Arial" w:cs="Arial" w:eastAsia="Arial" w:hAnsi="Arial"/>
                <w:sz w:val="14"/>
                <w:szCs w:val="14"/>
                <w:color w:val="auto"/>
              </w:rPr>
              <w:t>Basic</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(1.10)</w:t>
            </w:r>
          </w:p>
        </w:tc>
        <w:tc>
          <w:tcPr>
            <w:tcW w:w="2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1.57</w:t>
            </w:r>
          </w:p>
        </w:tc>
        <w:tc>
          <w:tcPr>
            <w:tcW w:w="24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(1.19)</w:t>
            </w:r>
          </w:p>
        </w:tc>
        <w:tc>
          <w:tcPr>
            <w:tcW w:w="2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270"/>
        </w:trPr>
        <w:tc>
          <w:tcPr>
            <w:tcW w:w="3880" w:type="dxa"/>
            <w:vAlign w:val="bottom"/>
          </w:tcPr>
          <w:p>
            <w:pPr>
              <w:ind w:left="120"/>
              <w:spacing w:after="0"/>
              <w:rPr>
                <w:sz w:val="20"/>
                <w:szCs w:val="20"/>
                <w:color w:val="auto"/>
              </w:rPr>
            </w:pPr>
            <w:r>
              <w:rPr>
                <w:rFonts w:ascii="Arial" w:cs="Arial" w:eastAsia="Arial" w:hAnsi="Arial"/>
                <w:sz w:val="14"/>
                <w:szCs w:val="14"/>
                <w:color w:val="auto"/>
              </w:rPr>
              <w:t>Diluted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(1.10)</w:t>
            </w:r>
          </w:p>
        </w:tc>
        <w:tc>
          <w:tcPr>
            <w:tcW w:w="2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1.55</w:t>
            </w:r>
          </w:p>
        </w:tc>
        <w:tc>
          <w:tcPr>
            <w:tcW w:w="24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(1.19)</w:t>
            </w:r>
          </w:p>
        </w:tc>
        <w:tc>
          <w:tcPr>
            <w:tcW w:w="2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427"/>
        </w:trPr>
        <w:tc>
          <w:tcPr>
            <w:tcW w:w="3880" w:type="dxa"/>
            <w:vAlign w:val="bottom"/>
          </w:tcPr>
          <w:p>
            <w:pPr>
              <w:spacing w:after="0"/>
              <w:rPr>
                <w:sz w:val="20"/>
                <w:szCs w:val="20"/>
                <w:color w:val="auto"/>
              </w:rPr>
            </w:pPr>
            <w:r>
              <w:rPr>
                <w:rFonts w:ascii="Arial" w:cs="Arial" w:eastAsia="Arial" w:hAnsi="Arial"/>
                <w:sz w:val="14"/>
                <w:szCs w:val="14"/>
                <w:color w:val="auto"/>
              </w:rPr>
              <w:t>Weighted average number of common shares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880" w:type="dxa"/>
            <w:vAlign w:val="bottom"/>
          </w:tcPr>
          <w:p>
            <w:pPr>
              <w:spacing w:after="0"/>
              <w:rPr>
                <w:sz w:val="20"/>
                <w:szCs w:val="20"/>
                <w:color w:val="auto"/>
              </w:rPr>
            </w:pPr>
            <w:r>
              <w:rPr>
                <w:rFonts w:ascii="Arial" w:cs="Arial" w:eastAsia="Arial" w:hAnsi="Arial"/>
                <w:sz w:val="14"/>
                <w:szCs w:val="14"/>
                <w:color w:val="auto"/>
              </w:rPr>
              <w:t>outstanding:</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3880" w:type="dxa"/>
            <w:vAlign w:val="bottom"/>
          </w:tcPr>
          <w:p>
            <w:pPr>
              <w:ind w:left="120"/>
              <w:spacing w:after="0"/>
              <w:rPr>
                <w:sz w:val="20"/>
                <w:szCs w:val="20"/>
                <w:color w:val="auto"/>
              </w:rPr>
            </w:pPr>
            <w:r>
              <w:rPr>
                <w:rFonts w:ascii="Arial" w:cs="Arial" w:eastAsia="Arial" w:hAnsi="Arial"/>
                <w:sz w:val="14"/>
                <w:szCs w:val="14"/>
                <w:color w:val="auto"/>
              </w:rPr>
              <w:t>Basic</w:t>
            </w:r>
          </w:p>
        </w:tc>
        <w:tc>
          <w:tcPr>
            <w:tcW w:w="260" w:type="dxa"/>
            <w:vAlign w:val="bottom"/>
          </w:tcPr>
          <w:p>
            <w:pPr>
              <w:spacing w:after="0"/>
              <w:rPr>
                <w:sz w:val="22"/>
                <w:szCs w:val="22"/>
                <w:color w:val="auto"/>
              </w:rPr>
            </w:pPr>
          </w:p>
        </w:tc>
        <w:tc>
          <w:tcPr>
            <w:tcW w:w="900" w:type="dxa"/>
            <w:vAlign w:val="bottom"/>
          </w:tcPr>
          <w:p>
            <w:pPr>
              <w:jc w:val="right"/>
              <w:ind w:right="7"/>
              <w:spacing w:after="0"/>
              <w:rPr>
                <w:sz w:val="20"/>
                <w:szCs w:val="20"/>
                <w:color w:val="auto"/>
              </w:rPr>
            </w:pPr>
            <w:r>
              <w:rPr>
                <w:rFonts w:ascii="Arial" w:cs="Arial" w:eastAsia="Arial" w:hAnsi="Arial"/>
                <w:sz w:val="14"/>
                <w:szCs w:val="14"/>
                <w:color w:val="auto"/>
              </w:rPr>
              <w:t>13,688</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14,687</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14,287</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14,906</w:t>
            </w:r>
          </w:p>
        </w:tc>
        <w:tc>
          <w:tcPr>
            <w:tcW w:w="0" w:type="dxa"/>
            <w:vAlign w:val="bottom"/>
          </w:tcPr>
          <w:p>
            <w:pPr>
              <w:spacing w:after="0"/>
              <w:rPr>
                <w:sz w:val="1"/>
                <w:szCs w:val="1"/>
                <w:color w:val="auto"/>
              </w:rPr>
            </w:pPr>
          </w:p>
        </w:tc>
      </w:tr>
      <w:tr>
        <w:trPr>
          <w:trHeight w:val="270"/>
        </w:trPr>
        <w:tc>
          <w:tcPr>
            <w:tcW w:w="3880" w:type="dxa"/>
            <w:vAlign w:val="bottom"/>
          </w:tcPr>
          <w:p>
            <w:pPr>
              <w:ind w:left="120"/>
              <w:spacing w:after="0"/>
              <w:rPr>
                <w:sz w:val="20"/>
                <w:szCs w:val="20"/>
                <w:color w:val="auto"/>
              </w:rPr>
            </w:pPr>
            <w:r>
              <w:rPr>
                <w:rFonts w:ascii="Arial" w:cs="Arial" w:eastAsia="Arial" w:hAnsi="Arial"/>
                <w:sz w:val="14"/>
                <w:szCs w:val="14"/>
                <w:color w:val="auto"/>
              </w:rPr>
              <w:t>Diluted</w:t>
            </w:r>
          </w:p>
        </w:tc>
        <w:tc>
          <w:tcPr>
            <w:tcW w:w="260" w:type="dxa"/>
            <w:vAlign w:val="bottom"/>
          </w:tcPr>
          <w:p>
            <w:pPr>
              <w:spacing w:after="0"/>
              <w:rPr>
                <w:sz w:val="23"/>
                <w:szCs w:val="23"/>
                <w:color w:val="auto"/>
              </w:rPr>
            </w:pPr>
          </w:p>
        </w:tc>
        <w:tc>
          <w:tcPr>
            <w:tcW w:w="900" w:type="dxa"/>
            <w:vAlign w:val="bottom"/>
          </w:tcPr>
          <w:p>
            <w:pPr>
              <w:jc w:val="right"/>
              <w:ind w:right="7"/>
              <w:spacing w:after="0"/>
              <w:rPr>
                <w:sz w:val="20"/>
                <w:szCs w:val="20"/>
                <w:color w:val="auto"/>
              </w:rPr>
            </w:pPr>
            <w:r>
              <w:rPr>
                <w:rFonts w:ascii="Arial" w:cs="Arial" w:eastAsia="Arial" w:hAnsi="Arial"/>
                <w:sz w:val="14"/>
                <w:szCs w:val="14"/>
                <w:color w:val="auto"/>
              </w:rPr>
              <w:t>13,688</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14,855</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14,287</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15,013</w:t>
            </w:r>
          </w:p>
        </w:tc>
        <w:tc>
          <w:tcPr>
            <w:tcW w:w="0" w:type="dxa"/>
            <w:vAlign w:val="bottom"/>
          </w:tcPr>
          <w:p>
            <w:pPr>
              <w:spacing w:after="0"/>
              <w:rPr>
                <w:sz w:val="1"/>
                <w:szCs w:val="1"/>
                <w:color w:val="auto"/>
              </w:rPr>
            </w:pPr>
          </w:p>
        </w:tc>
      </w:tr>
    </w:tbl>
    <w:p>
      <w:pPr>
        <w:sectPr>
          <w:pgSz w:w="11900" w:h="16838" w:orient="portrait"/>
          <w:cols w:equalWidth="0" w:num="1">
            <w:col w:w="9220"/>
          </w:cols>
          <w:pgMar w:left="1340" w:top="890" w:right="1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35" w:lineRule="exact"/>
        <w:rPr>
          <w:sz w:val="20"/>
          <w:szCs w:val="20"/>
          <w:color w:val="auto"/>
        </w:rPr>
      </w:pPr>
    </w:p>
    <w:tbl>
      <w:tblPr>
        <w:tblLayout w:type="fixed"/>
        <w:tblInd w:w="980" w:type="dxa"/>
        <w:tblCellMar>
          <w:top w:w="0" w:type="dxa"/>
          <w:left w:w="0" w:type="dxa"/>
          <w:bottom w:w="0" w:type="dxa"/>
          <w:right w:w="0" w:type="dxa"/>
        </w:tblCellMar>
      </w:tblPr>
      <w:tr>
        <w:trPr>
          <w:trHeight w:val="217"/>
        </w:trPr>
        <w:tc>
          <w:tcPr>
            <w:tcW w:w="3820" w:type="dxa"/>
            <w:vAlign w:val="bottom"/>
          </w:tcPr>
          <w:p>
            <w:pPr>
              <w:spacing w:after="0"/>
              <w:rPr>
                <w:sz w:val="18"/>
                <w:szCs w:val="18"/>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December 31, 2024</w:t>
            </w:r>
          </w:p>
        </w:tc>
        <w:tc>
          <w:tcPr>
            <w:tcW w:w="180" w:type="dxa"/>
            <w:vAlign w:val="bottom"/>
          </w:tcPr>
          <w:p>
            <w:pPr>
              <w:spacing w:after="0"/>
              <w:rPr>
                <w:sz w:val="18"/>
                <w:szCs w:val="18"/>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256"/>
        </w:trPr>
        <w:tc>
          <w:tcPr>
            <w:tcW w:w="3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(UNAUDITED)</w:t>
            </w:r>
          </w:p>
        </w:tc>
        <w:tc>
          <w:tcPr>
            <w:tcW w:w="4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3820" w:type="dxa"/>
            <w:vAlign w:val="bottom"/>
          </w:tcPr>
          <w:p>
            <w:pPr>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5,204</w:t>
            </w:r>
          </w:p>
        </w:tc>
        <w:tc>
          <w:tcPr>
            <w:tcW w:w="180" w:type="dxa"/>
            <w:vAlign w:val="bottom"/>
          </w:tcPr>
          <w:p>
            <w:pPr>
              <w:spacing w:after="0"/>
              <w:rPr>
                <w:sz w:val="23"/>
                <w:szCs w:val="23"/>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3,323</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89,038</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143,222</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7,537</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6,982</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Assets held for sale</w:t>
            </w:r>
          </w:p>
        </w:tc>
        <w:tc>
          <w:tcPr>
            <w:tcW w:w="180" w:type="dxa"/>
            <w:vAlign w:val="bottom"/>
          </w:tcPr>
          <w:p>
            <w:pPr>
              <w:spacing w:after="0"/>
              <w:rPr>
                <w:sz w:val="23"/>
                <w:szCs w:val="23"/>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5,873</w:t>
            </w:r>
          </w:p>
        </w:tc>
        <w:tc>
          <w:tcPr>
            <w:tcW w:w="0" w:type="dxa"/>
            <w:vAlign w:val="bottom"/>
          </w:tcPr>
          <w:p>
            <w:pPr>
              <w:spacing w:after="0"/>
              <w:rPr>
                <w:sz w:val="1"/>
                <w:szCs w:val="1"/>
                <w:color w:val="auto"/>
              </w:rPr>
            </w:pPr>
          </w:p>
        </w:tc>
      </w:tr>
      <w:tr>
        <w:trPr>
          <w:trHeight w:val="271"/>
        </w:trPr>
        <w:tc>
          <w:tcPr>
            <w:tcW w:w="382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8,674</w:t>
            </w:r>
          </w:p>
        </w:tc>
        <w:tc>
          <w:tcPr>
            <w:tcW w:w="18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15,846</w:t>
            </w:r>
          </w:p>
        </w:tc>
        <w:tc>
          <w:tcPr>
            <w:tcW w:w="0" w:type="dxa"/>
            <w:vAlign w:val="bottom"/>
          </w:tcPr>
          <w:p>
            <w:pPr>
              <w:spacing w:after="0"/>
              <w:rPr>
                <w:sz w:val="1"/>
                <w:szCs w:val="1"/>
                <w:color w:val="auto"/>
              </w:rPr>
            </w:pPr>
          </w:p>
        </w:tc>
      </w:tr>
      <w:tr>
        <w:trPr>
          <w:trHeight w:val="249"/>
        </w:trPr>
        <w:tc>
          <w:tcPr>
            <w:tcW w:w="382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110,453</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175,246</w:t>
            </w:r>
          </w:p>
        </w:tc>
        <w:tc>
          <w:tcPr>
            <w:tcW w:w="0" w:type="dxa"/>
            <w:vAlign w:val="bottom"/>
          </w:tcPr>
          <w:p>
            <w:pPr>
              <w:spacing w:after="0"/>
              <w:rPr>
                <w:sz w:val="1"/>
                <w:szCs w:val="1"/>
                <w:color w:val="auto"/>
              </w:rPr>
            </w:pPr>
          </w:p>
        </w:tc>
      </w:tr>
      <w:tr>
        <w:trPr>
          <w:trHeight w:val="540"/>
        </w:trPr>
        <w:tc>
          <w:tcPr>
            <w:tcW w:w="382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204,897</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270,563</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0"/>
                <w:szCs w:val="20"/>
                <w:color w:val="auto"/>
              </w:rPr>
            </w:pPr>
            <w:r>
              <w:rPr>
                <w:rFonts w:ascii="Arial" w:cs="Arial" w:eastAsia="Arial" w:hAnsi="Arial"/>
                <w:sz w:val="16"/>
                <w:szCs w:val="16"/>
                <w:color w:val="auto"/>
              </w:rPr>
              <w:t>Goodwill, net</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7,001</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7,690</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66,502</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77,999</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9,401</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12,286</w:t>
            </w:r>
          </w:p>
        </w:tc>
        <w:tc>
          <w:tcPr>
            <w:tcW w:w="0" w:type="dxa"/>
            <w:vAlign w:val="bottom"/>
          </w:tcPr>
          <w:p>
            <w:pPr>
              <w:spacing w:after="0"/>
              <w:rPr>
                <w:sz w:val="1"/>
                <w:szCs w:val="1"/>
                <w:color w:val="auto"/>
              </w:rPr>
            </w:pPr>
          </w:p>
        </w:tc>
      </w:tr>
      <w:tr>
        <w:trPr>
          <w:trHeight w:val="271"/>
        </w:trPr>
        <w:tc>
          <w:tcPr>
            <w:tcW w:w="382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6,818</w:t>
            </w:r>
          </w:p>
        </w:tc>
        <w:tc>
          <w:tcPr>
            <w:tcW w:w="18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4,278</w:t>
            </w:r>
          </w:p>
        </w:tc>
        <w:tc>
          <w:tcPr>
            <w:tcW w:w="0" w:type="dxa"/>
            <w:vAlign w:val="bottom"/>
          </w:tcPr>
          <w:p>
            <w:pPr>
              <w:spacing w:after="0"/>
              <w:rPr>
                <w:sz w:val="1"/>
                <w:szCs w:val="1"/>
                <w:color w:val="auto"/>
              </w:rPr>
            </w:pPr>
          </w:p>
        </w:tc>
      </w:tr>
      <w:tr>
        <w:trPr>
          <w:trHeight w:val="224"/>
        </w:trPr>
        <w:tc>
          <w:tcPr>
            <w:tcW w:w="3820" w:type="dxa"/>
            <w:vAlign w:val="bottom"/>
          </w:tcPr>
          <w:p>
            <w:pPr>
              <w:ind w:left="20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405,072</w:t>
            </w:r>
          </w:p>
        </w:tc>
        <w:tc>
          <w:tcPr>
            <w:tcW w:w="18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548,062</w:t>
            </w:r>
          </w:p>
        </w:tc>
        <w:tc>
          <w:tcPr>
            <w:tcW w:w="0" w:type="dxa"/>
            <w:vAlign w:val="bottom"/>
          </w:tcPr>
          <w:p>
            <w:pPr>
              <w:spacing w:after="0"/>
              <w:rPr>
                <w:sz w:val="1"/>
                <w:szCs w:val="1"/>
                <w:color w:val="auto"/>
              </w:rPr>
            </w:pPr>
          </w:p>
        </w:tc>
      </w:tr>
      <w:tr>
        <w:trPr>
          <w:trHeight w:val="21"/>
        </w:trPr>
        <w:tc>
          <w:tcPr>
            <w:tcW w:w="3820" w:type="dxa"/>
            <w:vAlign w:val="bottom"/>
            <w:vMerge w:val="restart"/>
          </w:tcPr>
          <w:p>
            <w:pPr>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5"/>
        </w:trPr>
        <w:tc>
          <w:tcPr>
            <w:tcW w:w="38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39,971</w:t>
            </w:r>
          </w:p>
        </w:tc>
        <w:tc>
          <w:tcPr>
            <w:tcW w:w="180" w:type="dxa"/>
            <w:vAlign w:val="bottom"/>
          </w:tcPr>
          <w:p>
            <w:pPr>
              <w:spacing w:after="0"/>
              <w:rPr>
                <w:sz w:val="23"/>
                <w:szCs w:val="23"/>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58,699</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Accrued liabilities</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34,933</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40,523</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Income taxes</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10,853</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3,831</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2,501</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4,849</w:t>
            </w:r>
          </w:p>
        </w:tc>
        <w:tc>
          <w:tcPr>
            <w:tcW w:w="0" w:type="dxa"/>
            <w:vAlign w:val="bottom"/>
          </w:tcPr>
          <w:p>
            <w:pPr>
              <w:spacing w:after="0"/>
              <w:rPr>
                <w:sz w:val="1"/>
                <w:szCs w:val="1"/>
                <w:color w:val="auto"/>
              </w:rPr>
            </w:pPr>
          </w:p>
        </w:tc>
      </w:tr>
      <w:tr>
        <w:trPr>
          <w:trHeight w:val="271"/>
        </w:trPr>
        <w:tc>
          <w:tcPr>
            <w:tcW w:w="382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4,388</w:t>
            </w:r>
          </w:p>
        </w:tc>
        <w:tc>
          <w:tcPr>
            <w:tcW w:w="18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6,334</w:t>
            </w:r>
          </w:p>
        </w:tc>
        <w:tc>
          <w:tcPr>
            <w:tcW w:w="0" w:type="dxa"/>
            <w:vAlign w:val="bottom"/>
          </w:tcPr>
          <w:p>
            <w:pPr>
              <w:spacing w:after="0"/>
              <w:rPr>
                <w:sz w:val="1"/>
                <w:szCs w:val="1"/>
                <w:color w:val="auto"/>
              </w:rPr>
            </w:pPr>
          </w:p>
        </w:tc>
      </w:tr>
      <w:tr>
        <w:trPr>
          <w:trHeight w:val="249"/>
        </w:trPr>
        <w:tc>
          <w:tcPr>
            <w:tcW w:w="3820" w:type="dxa"/>
            <w:vAlign w:val="bottom"/>
          </w:tcPr>
          <w:p>
            <w:pPr>
              <w:ind w:left="20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92,646</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114,236</w:t>
            </w:r>
          </w:p>
        </w:tc>
        <w:tc>
          <w:tcPr>
            <w:tcW w:w="0" w:type="dxa"/>
            <w:vAlign w:val="bottom"/>
          </w:tcPr>
          <w:p>
            <w:pPr>
              <w:spacing w:after="0"/>
              <w:rPr>
                <w:sz w:val="1"/>
                <w:szCs w:val="1"/>
                <w:color w:val="auto"/>
              </w:rPr>
            </w:pPr>
          </w:p>
        </w:tc>
      </w:tr>
      <w:tr>
        <w:trPr>
          <w:trHeight w:val="540"/>
        </w:trPr>
        <w:tc>
          <w:tcPr>
            <w:tcW w:w="3820" w:type="dxa"/>
            <w:vAlign w:val="bottom"/>
          </w:tcPr>
          <w:p>
            <w:pPr>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43,299</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65,554</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3,558</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11,803</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6,655</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9,264</w:t>
            </w:r>
          </w:p>
        </w:tc>
        <w:tc>
          <w:tcPr>
            <w:tcW w:w="0" w:type="dxa"/>
            <w:vAlign w:val="bottom"/>
          </w:tcPr>
          <w:p>
            <w:pPr>
              <w:spacing w:after="0"/>
              <w:rPr>
                <w:sz w:val="1"/>
                <w:szCs w:val="1"/>
                <w:color w:val="auto"/>
              </w:rPr>
            </w:pPr>
          </w:p>
        </w:tc>
      </w:tr>
      <w:tr>
        <w:trPr>
          <w:trHeight w:val="271"/>
        </w:trPr>
        <w:tc>
          <w:tcPr>
            <w:tcW w:w="382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21,916</w:t>
            </w:r>
          </w:p>
        </w:tc>
        <w:tc>
          <w:tcPr>
            <w:tcW w:w="18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24,167</w:t>
            </w:r>
          </w:p>
        </w:tc>
        <w:tc>
          <w:tcPr>
            <w:tcW w:w="0" w:type="dxa"/>
            <w:vAlign w:val="bottom"/>
          </w:tcPr>
          <w:p>
            <w:pPr>
              <w:spacing w:after="0"/>
              <w:rPr>
                <w:sz w:val="1"/>
                <w:szCs w:val="1"/>
                <w:color w:val="auto"/>
              </w:rPr>
            </w:pPr>
          </w:p>
        </w:tc>
      </w:tr>
      <w:tr>
        <w:trPr>
          <w:trHeight w:val="249"/>
        </w:trPr>
        <w:tc>
          <w:tcPr>
            <w:tcW w:w="3820" w:type="dxa"/>
            <w:vAlign w:val="bottom"/>
          </w:tcPr>
          <w:p>
            <w:pPr>
              <w:ind w:left="200"/>
              <w:spacing w:after="0"/>
              <w:rPr>
                <w:sz w:val="20"/>
                <w:szCs w:val="20"/>
                <w:color w:val="auto"/>
              </w:rPr>
            </w:pPr>
            <w:r>
              <w:rPr>
                <w:rFonts w:ascii="Arial" w:cs="Arial" w:eastAsia="Arial" w:hAnsi="Arial"/>
                <w:sz w:val="16"/>
                <w:szCs w:val="16"/>
                <w:color w:val="auto"/>
              </w:rPr>
              <w:t>Total liabilities</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168,074</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225,024</w:t>
            </w:r>
          </w:p>
        </w:tc>
        <w:tc>
          <w:tcPr>
            <w:tcW w:w="0" w:type="dxa"/>
            <w:vAlign w:val="bottom"/>
          </w:tcPr>
          <w:p>
            <w:pPr>
              <w:spacing w:after="0"/>
              <w:rPr>
                <w:sz w:val="1"/>
                <w:szCs w:val="1"/>
                <w:color w:val="auto"/>
              </w:rPr>
            </w:pPr>
          </w:p>
        </w:tc>
      </w:tr>
      <w:tr>
        <w:trPr>
          <w:trHeight w:val="540"/>
        </w:trPr>
        <w:tc>
          <w:tcPr>
            <w:tcW w:w="3820" w:type="dxa"/>
            <w:vAlign w:val="bottom"/>
          </w:tcPr>
          <w:p>
            <w:pPr>
              <w:spacing w:after="0"/>
              <w:rPr>
                <w:sz w:val="20"/>
                <w:szCs w:val="20"/>
                <w:color w:val="auto"/>
              </w:rPr>
            </w:pPr>
            <w:r>
              <w:rPr>
                <w:rFonts w:ascii="Arial" w:cs="Arial" w:eastAsia="Arial" w:hAnsi="Arial"/>
                <w:sz w:val="16"/>
                <w:szCs w:val="16"/>
                <w:color w:val="auto"/>
              </w:rPr>
              <w:t>Shareholders' equity:</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Common shares</w:t>
            </w:r>
          </w:p>
        </w:tc>
        <w:tc>
          <w:tcPr>
            <w:tcW w:w="180" w:type="dxa"/>
            <w:vAlign w:val="bottom"/>
          </w:tcPr>
          <w:p>
            <w:pPr>
              <w:spacing w:after="0"/>
              <w:rPr>
                <w:sz w:val="23"/>
                <w:szCs w:val="23"/>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1,631,823</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1,628,972</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(980,720)</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(919,023)</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Treasury stock</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(10,130)</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(9,063)</w:t>
            </w:r>
          </w:p>
        </w:tc>
        <w:tc>
          <w:tcPr>
            <w:tcW w:w="0" w:type="dxa"/>
            <w:vAlign w:val="bottom"/>
          </w:tcPr>
          <w:p>
            <w:pPr>
              <w:spacing w:after="0"/>
              <w:rPr>
                <w:sz w:val="1"/>
                <w:szCs w:val="1"/>
                <w:color w:val="auto"/>
              </w:rPr>
            </w:pPr>
          </w:p>
        </w:tc>
      </w:tr>
      <w:tr>
        <w:trPr>
          <w:trHeight w:val="271"/>
        </w:trPr>
        <w:tc>
          <w:tcPr>
            <w:tcW w:w="382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(404,600)</w:t>
            </w:r>
          </w:p>
        </w:tc>
        <w:tc>
          <w:tcPr>
            <w:tcW w:w="18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(380,715)</w:t>
            </w:r>
          </w:p>
        </w:tc>
        <w:tc>
          <w:tcPr>
            <w:tcW w:w="0" w:type="dxa"/>
            <w:vAlign w:val="bottom"/>
          </w:tcPr>
          <w:p>
            <w:pPr>
              <w:spacing w:after="0"/>
              <w:rPr>
                <w:sz w:val="1"/>
                <w:szCs w:val="1"/>
                <w:color w:val="auto"/>
              </w:rPr>
            </w:pPr>
          </w:p>
        </w:tc>
      </w:tr>
      <w:tr>
        <w:trPr>
          <w:trHeight w:val="250"/>
        </w:trPr>
        <w:tc>
          <w:tcPr>
            <w:tcW w:w="3820" w:type="dxa"/>
            <w:vAlign w:val="bottom"/>
          </w:tcPr>
          <w:p>
            <w:pPr>
              <w:ind w:left="200"/>
              <w:spacing w:after="0"/>
              <w:rPr>
                <w:sz w:val="20"/>
                <w:szCs w:val="20"/>
                <w:color w:val="auto"/>
              </w:rPr>
            </w:pPr>
            <w:r>
              <w:rPr>
                <w:rFonts w:ascii="Arial" w:cs="Arial" w:eastAsia="Arial" w:hAnsi="Arial"/>
                <w:sz w:val="16"/>
                <w:szCs w:val="16"/>
                <w:color w:val="auto"/>
              </w:rPr>
              <w:t>Total Civeo Corporation shareholders' equity</w:t>
            </w: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236,373</w:t>
            </w:r>
          </w:p>
        </w:tc>
        <w:tc>
          <w:tcPr>
            <w:tcW w:w="1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320,171</w:t>
            </w:r>
          </w:p>
        </w:tc>
        <w:tc>
          <w:tcPr>
            <w:tcW w:w="0" w:type="dxa"/>
            <w:vAlign w:val="bottom"/>
          </w:tcPr>
          <w:p>
            <w:pPr>
              <w:spacing w:after="0"/>
              <w:rPr>
                <w:sz w:val="1"/>
                <w:szCs w:val="1"/>
                <w:color w:val="auto"/>
              </w:rPr>
            </w:pPr>
          </w:p>
        </w:tc>
      </w:tr>
      <w:tr>
        <w:trPr>
          <w:trHeight w:val="250"/>
        </w:trPr>
        <w:tc>
          <w:tcPr>
            <w:tcW w:w="382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w:t>
            </w:r>
          </w:p>
        </w:tc>
        <w:tc>
          <w:tcPr>
            <w:tcW w:w="1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2,867</w:t>
            </w:r>
          </w:p>
        </w:tc>
        <w:tc>
          <w:tcPr>
            <w:tcW w:w="0" w:type="dxa"/>
            <w:vAlign w:val="bottom"/>
          </w:tcPr>
          <w:p>
            <w:pPr>
              <w:spacing w:after="0"/>
              <w:rPr>
                <w:sz w:val="1"/>
                <w:szCs w:val="1"/>
                <w:color w:val="auto"/>
              </w:rPr>
            </w:pPr>
          </w:p>
        </w:tc>
      </w:tr>
      <w:tr>
        <w:trPr>
          <w:trHeight w:val="250"/>
        </w:trPr>
        <w:tc>
          <w:tcPr>
            <w:tcW w:w="3820" w:type="dxa"/>
            <w:vAlign w:val="bottom"/>
          </w:tcPr>
          <w:p>
            <w:pPr>
              <w:ind w:left="120"/>
              <w:spacing w:after="0"/>
              <w:rPr>
                <w:sz w:val="20"/>
                <w:szCs w:val="20"/>
                <w:color w:val="auto"/>
              </w:rPr>
            </w:pPr>
            <w:r>
              <w:rPr>
                <w:rFonts w:ascii="Arial" w:cs="Arial" w:eastAsia="Arial" w:hAnsi="Arial"/>
                <w:sz w:val="16"/>
                <w:szCs w:val="16"/>
                <w:color w:val="auto"/>
              </w:rPr>
              <w:t>Total shareholders' equity</w:t>
            </w: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236,998</w:t>
            </w:r>
          </w:p>
        </w:tc>
        <w:tc>
          <w:tcPr>
            <w:tcW w:w="1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323,038</w:t>
            </w:r>
          </w:p>
        </w:tc>
        <w:tc>
          <w:tcPr>
            <w:tcW w:w="0" w:type="dxa"/>
            <w:vAlign w:val="bottom"/>
          </w:tcPr>
          <w:p>
            <w:pPr>
              <w:spacing w:after="0"/>
              <w:rPr>
                <w:sz w:val="1"/>
                <w:szCs w:val="1"/>
                <w:color w:val="auto"/>
              </w:rPr>
            </w:pPr>
          </w:p>
        </w:tc>
      </w:tr>
      <w:tr>
        <w:trPr>
          <w:trHeight w:val="224"/>
        </w:trPr>
        <w:tc>
          <w:tcPr>
            <w:tcW w:w="3820" w:type="dxa"/>
            <w:vAlign w:val="bottom"/>
          </w:tcPr>
          <w:p>
            <w:pPr>
              <w:ind w:left="200"/>
              <w:spacing w:after="0"/>
              <w:rPr>
                <w:sz w:val="20"/>
                <w:szCs w:val="20"/>
                <w:color w:val="auto"/>
              </w:rPr>
            </w:pPr>
            <w:r>
              <w:rPr>
                <w:rFonts w:ascii="Arial" w:cs="Arial" w:eastAsia="Arial" w:hAnsi="Arial"/>
                <w:sz w:val="16"/>
                <w:szCs w:val="16"/>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405,072</w:t>
            </w:r>
          </w:p>
        </w:tc>
        <w:tc>
          <w:tcPr>
            <w:tcW w:w="18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548,062</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95" w:right="1440"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CONSOLIDATED STATEMENTS OF CASH FLOWS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132" w:lineRule="exact"/>
        <w:rPr>
          <w:sz w:val="20"/>
          <w:szCs w:val="20"/>
          <w:color w:val="auto"/>
        </w:rPr>
      </w:pPr>
    </w:p>
    <w:p>
      <w:pPr>
        <w:jc w:val="center"/>
        <w:ind w:left="5920"/>
        <w:spacing w:after="0"/>
        <w:rPr>
          <w:sz w:val="20"/>
          <w:szCs w:val="20"/>
          <w:color w:val="auto"/>
        </w:rPr>
      </w:pPr>
      <w:r>
        <w:rPr>
          <w:rFonts w:ascii="Arial" w:cs="Arial" w:eastAsia="Arial" w:hAnsi="Arial"/>
          <w:sz w:val="16"/>
          <w:szCs w:val="16"/>
          <w:b w:val="1"/>
          <w:bCs w:val="1"/>
          <w:color w:val="auto"/>
        </w:rPr>
        <w:t>Twelve Months Ended</w:t>
      </w:r>
    </w:p>
    <w:p>
      <w:pPr>
        <w:jc w:val="center"/>
        <w:ind w:left="5920"/>
        <w:spacing w:after="0"/>
        <w:rPr>
          <w:sz w:val="20"/>
          <w:szCs w:val="20"/>
          <w:color w:val="auto"/>
        </w:rPr>
      </w:pPr>
      <w:r>
        <w:rPr>
          <w:rFonts w:ascii="Arial" w:cs="Arial" w:eastAsia="Arial" w:hAnsi="Arial"/>
          <w:sz w:val="16"/>
          <w:szCs w:val="16"/>
          <w:b w:val="1"/>
          <w:bCs w:val="1"/>
          <w:color w:val="auto"/>
        </w:rPr>
        <w:t>December 31,</w:t>
      </w:r>
    </w:p>
    <w:p>
      <w:pPr>
        <w:spacing w:after="0" w:line="70" w:lineRule="exact"/>
        <w:rPr>
          <w:sz w:val="20"/>
          <w:szCs w:val="20"/>
          <w:color w:val="auto"/>
        </w:rPr>
      </w:pPr>
    </w:p>
    <w:tbl>
      <w:tblPr>
        <w:tblLayout w:type="fixed"/>
        <w:tblInd w:w="100" w:type="dxa"/>
        <w:tblCellMar>
          <w:top w:w="0" w:type="dxa"/>
          <w:left w:w="0" w:type="dxa"/>
          <w:bottom w:w="0" w:type="dxa"/>
          <w:right w:w="0" w:type="dxa"/>
        </w:tblCellMar>
      </w:tblPr>
      <w:tr>
        <w:trPr>
          <w:trHeight w:val="217"/>
        </w:trPr>
        <w:tc>
          <w:tcPr>
            <w:tcW w:w="5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396"/>
        </w:trPr>
        <w:tc>
          <w:tcPr>
            <w:tcW w:w="592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5920" w:type="dxa"/>
            <w:vAlign w:val="bottom"/>
          </w:tcPr>
          <w:p>
            <w:pPr>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(18,429)</w:t>
            </w:r>
          </w:p>
        </w:tc>
        <w:tc>
          <w:tcPr>
            <w:tcW w:w="18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29,730</w:t>
            </w:r>
          </w:p>
        </w:tc>
      </w:tr>
      <w:tr>
        <w:trPr>
          <w:trHeight w:val="205"/>
        </w:trPr>
        <w:tc>
          <w:tcPr>
            <w:tcW w:w="5920" w:type="dxa"/>
            <w:vAlign w:val="bottom"/>
          </w:tcPr>
          <w:p>
            <w:pPr>
              <w:spacing w:after="0"/>
              <w:rPr>
                <w:sz w:val="20"/>
                <w:szCs w:val="20"/>
                <w:color w:val="auto"/>
              </w:rPr>
            </w:pPr>
            <w:r>
              <w:rPr>
                <w:rFonts w:ascii="Arial" w:cs="Arial" w:eastAsia="Arial" w:hAnsi="Arial"/>
                <w:sz w:val="16"/>
                <w:szCs w:val="16"/>
                <w:color w:val="auto"/>
              </w:rPr>
              <w:t>Adjustments to reconcile net income (loss) to net cash provided by operating</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5"/>
        </w:trPr>
        <w:tc>
          <w:tcPr>
            <w:tcW w:w="5920" w:type="dxa"/>
            <w:vAlign w:val="bottom"/>
          </w:tcPr>
          <w:p>
            <w:pPr>
              <w:spacing w:after="0"/>
              <w:rPr>
                <w:sz w:val="20"/>
                <w:szCs w:val="20"/>
                <w:color w:val="auto"/>
              </w:rPr>
            </w:pPr>
            <w:r>
              <w:rPr>
                <w:rFonts w:ascii="Arial" w:cs="Arial" w:eastAsia="Arial" w:hAnsi="Arial"/>
                <w:sz w:val="16"/>
                <w:szCs w:val="16"/>
                <w:color w:val="auto"/>
              </w:rPr>
              <w:t>activities: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69"/>
        </w:trPr>
        <w:tc>
          <w:tcPr>
            <w:tcW w:w="592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68,038</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75,142</w:t>
            </w:r>
          </w:p>
        </w:tc>
      </w:tr>
      <w:tr>
        <w:trPr>
          <w:trHeight w:val="270"/>
        </w:trPr>
        <w:tc>
          <w:tcPr>
            <w:tcW w:w="5920" w:type="dxa"/>
            <w:vAlign w:val="bottom"/>
          </w:tcPr>
          <w:p>
            <w:pPr>
              <w:ind w:left="120"/>
              <w:spacing w:after="0"/>
              <w:rPr>
                <w:sz w:val="20"/>
                <w:szCs w:val="20"/>
                <w:color w:val="auto"/>
              </w:rPr>
            </w:pPr>
            <w:r>
              <w:rPr>
                <w:rFonts w:ascii="Arial" w:cs="Arial" w:eastAsia="Arial" w:hAnsi="Arial"/>
                <w:sz w:val="16"/>
                <w:szCs w:val="16"/>
                <w:color w:val="auto"/>
              </w:rPr>
              <w:t>Impairment charges</w:t>
            </w:r>
          </w:p>
        </w:tc>
        <w:tc>
          <w:tcPr>
            <w:tcW w:w="3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11,581</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1,395</w:t>
            </w:r>
          </w:p>
        </w:tc>
      </w:tr>
      <w:tr>
        <w:trPr>
          <w:trHeight w:val="270"/>
        </w:trPr>
        <w:tc>
          <w:tcPr>
            <w:tcW w:w="5920" w:type="dxa"/>
            <w:vAlign w:val="bottom"/>
          </w:tcPr>
          <w:p>
            <w:pPr>
              <w:ind w:left="120"/>
              <w:spacing w:after="0"/>
              <w:rPr>
                <w:sz w:val="20"/>
                <w:szCs w:val="20"/>
                <w:color w:val="auto"/>
              </w:rPr>
            </w:pPr>
            <w:r>
              <w:rPr>
                <w:rFonts w:ascii="Arial" w:cs="Arial" w:eastAsia="Arial" w:hAnsi="Arial"/>
                <w:sz w:val="16"/>
                <w:szCs w:val="16"/>
                <w:color w:val="auto"/>
              </w:rPr>
              <w:t>Deferred income tax expense (benefit)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(7,659)</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6,806</w:t>
            </w:r>
          </w:p>
        </w:tc>
      </w:tr>
      <w:tr>
        <w:trPr>
          <w:trHeight w:val="270"/>
        </w:trPr>
        <w:tc>
          <w:tcPr>
            <w:tcW w:w="5920" w:type="dxa"/>
            <w:vAlign w:val="bottom"/>
          </w:tcPr>
          <w:p>
            <w:pPr>
              <w:ind w:left="120"/>
              <w:spacing w:after="0"/>
              <w:rPr>
                <w:sz w:val="20"/>
                <w:szCs w:val="20"/>
                <w:color w:val="auto"/>
              </w:rPr>
            </w:pPr>
            <w:r>
              <w:rPr>
                <w:rFonts w:ascii="Arial" w:cs="Arial" w:eastAsia="Arial" w:hAnsi="Arial"/>
                <w:sz w:val="16"/>
                <w:szCs w:val="16"/>
                <w:color w:val="auto"/>
              </w:rPr>
              <w:t>Non-cash compensation charge</w:t>
            </w:r>
          </w:p>
        </w:tc>
        <w:tc>
          <w:tcPr>
            <w:tcW w:w="3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2,851</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4,460</w:t>
            </w:r>
          </w:p>
        </w:tc>
      </w:tr>
      <w:tr>
        <w:trPr>
          <w:trHeight w:val="270"/>
        </w:trPr>
        <w:tc>
          <w:tcPr>
            <w:tcW w:w="5920" w:type="dxa"/>
            <w:vAlign w:val="bottom"/>
          </w:tcPr>
          <w:p>
            <w:pPr>
              <w:ind w:left="120"/>
              <w:spacing w:after="0"/>
              <w:rPr>
                <w:sz w:val="20"/>
                <w:szCs w:val="20"/>
                <w:color w:val="auto"/>
              </w:rPr>
            </w:pPr>
            <w:r>
              <w:rPr>
                <w:rFonts w:ascii="Arial" w:cs="Arial" w:eastAsia="Arial" w:hAnsi="Arial"/>
                <w:sz w:val="16"/>
                <w:szCs w:val="16"/>
                <w:color w:val="auto"/>
              </w:rPr>
              <w:t>Gain on disposals of assets</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(6,418)</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(21,196)</w:t>
            </w:r>
          </w:p>
        </w:tc>
      </w:tr>
      <w:tr>
        <w:trPr>
          <w:trHeight w:val="270"/>
        </w:trPr>
        <w:tc>
          <w:tcPr>
            <w:tcW w:w="5920" w:type="dxa"/>
            <w:vAlign w:val="bottom"/>
          </w:tcPr>
          <w:p>
            <w:pPr>
              <w:ind w:left="120"/>
              <w:spacing w:after="0"/>
              <w:rPr>
                <w:sz w:val="20"/>
                <w:szCs w:val="20"/>
                <w:color w:val="auto"/>
              </w:rPr>
            </w:pPr>
            <w:r>
              <w:rPr>
                <w:rFonts w:ascii="Arial" w:cs="Arial" w:eastAsia="Arial" w:hAnsi="Arial"/>
                <w:sz w:val="16"/>
                <w:szCs w:val="16"/>
                <w:color w:val="auto"/>
              </w:rPr>
              <w:t>Provision for loss on receivables, net of recoveries</w:t>
            </w:r>
          </w:p>
        </w:tc>
        <w:tc>
          <w:tcPr>
            <w:tcW w:w="3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135</w:t>
            </w:r>
          </w:p>
        </w:tc>
      </w:tr>
      <w:tr>
        <w:trPr>
          <w:trHeight w:val="270"/>
        </w:trPr>
        <w:tc>
          <w:tcPr>
            <w:tcW w:w="592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1,742</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1,660</w:t>
            </w:r>
          </w:p>
        </w:tc>
      </w:tr>
      <w:tr>
        <w:trPr>
          <w:trHeight w:val="270"/>
        </w:trPr>
        <w:tc>
          <w:tcPr>
            <w:tcW w:w="592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592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44,228</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(22,311)</w:t>
            </w:r>
          </w:p>
        </w:tc>
      </w:tr>
      <w:tr>
        <w:trPr>
          <w:trHeight w:val="270"/>
        </w:trPr>
        <w:tc>
          <w:tcPr>
            <w:tcW w:w="592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(1,224)</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70"/>
        </w:trPr>
        <w:tc>
          <w:tcPr>
            <w:tcW w:w="5920" w:type="dxa"/>
            <w:vAlign w:val="bottom"/>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(17,581)</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7,438</w:t>
            </w:r>
          </w:p>
        </w:tc>
      </w:tr>
      <w:tr>
        <w:trPr>
          <w:trHeight w:val="270"/>
        </w:trPr>
        <w:tc>
          <w:tcPr>
            <w:tcW w:w="5920" w:type="dxa"/>
            <w:vAlign w:val="bottom"/>
          </w:tcPr>
          <w:p>
            <w:pPr>
              <w:ind w:left="200"/>
              <w:spacing w:after="0"/>
              <w:rPr>
                <w:sz w:val="20"/>
                <w:szCs w:val="20"/>
                <w:color w:val="auto"/>
              </w:rPr>
            </w:pPr>
            <w:r>
              <w:rPr>
                <w:rFonts w:ascii="Arial" w:cs="Arial" w:eastAsia="Arial" w:hAnsi="Arial"/>
                <w:sz w:val="16"/>
                <w:szCs w:val="16"/>
                <w:color w:val="auto"/>
              </w:rPr>
              <w:t>Taxes payable</w:t>
            </w:r>
          </w:p>
        </w:tc>
        <w:tc>
          <w:tcPr>
            <w:tcW w:w="3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7,878</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3,576</w:t>
            </w:r>
          </w:p>
        </w:tc>
      </w:tr>
      <w:tr>
        <w:trPr>
          <w:trHeight w:val="271"/>
        </w:trPr>
        <w:tc>
          <w:tcPr>
            <w:tcW w:w="5920" w:type="dxa"/>
            <w:vAlign w:val="bottom"/>
          </w:tcPr>
          <w:p>
            <w:pPr>
              <w:ind w:left="200"/>
              <w:spacing w:after="0"/>
              <w:rPr>
                <w:sz w:val="20"/>
                <w:szCs w:val="20"/>
                <w:color w:val="auto"/>
              </w:rPr>
            </w:pPr>
            <w:r>
              <w:rPr>
                <w:rFonts w:ascii="Arial" w:cs="Arial" w:eastAsia="Arial" w:hAnsi="Arial"/>
                <w:sz w:val="16"/>
                <w:szCs w:val="16"/>
                <w:color w:val="auto"/>
              </w:rPr>
              <w:t>Other current assets and liabilities, net</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(1,523)</w:t>
            </w:r>
          </w:p>
        </w:tc>
        <w:tc>
          <w:tcPr>
            <w:tcW w:w="1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9,725</w:t>
            </w:r>
          </w:p>
        </w:tc>
      </w:tr>
      <w:tr>
        <w:trPr>
          <w:trHeight w:val="249"/>
        </w:trPr>
        <w:tc>
          <w:tcPr>
            <w:tcW w:w="5920" w:type="dxa"/>
            <w:vAlign w:val="bottom"/>
          </w:tcPr>
          <w:p>
            <w:pPr>
              <w:ind w:left="320"/>
              <w:spacing w:after="0"/>
              <w:rPr>
                <w:sz w:val="20"/>
                <w:szCs w:val="20"/>
                <w:color w:val="auto"/>
              </w:rPr>
            </w:pPr>
            <w:r>
              <w:rPr>
                <w:rFonts w:ascii="Arial" w:cs="Arial" w:eastAsia="Arial" w:hAnsi="Arial"/>
                <w:sz w:val="16"/>
                <w:szCs w:val="16"/>
                <w:color w:val="auto"/>
              </w:rPr>
              <w:t>Net cash flows provided by operating activities</w:t>
            </w:r>
          </w:p>
        </w:tc>
        <w:tc>
          <w:tcPr>
            <w:tcW w:w="3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83,510</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96,565</w:t>
            </w:r>
          </w:p>
        </w:tc>
      </w:tr>
      <w:tr>
        <w:trPr>
          <w:trHeight w:val="418"/>
        </w:trPr>
        <w:tc>
          <w:tcPr>
            <w:tcW w:w="592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592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(26,138)</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(31,633)</w:t>
            </w:r>
          </w:p>
        </w:tc>
      </w:tr>
      <w:tr>
        <w:trPr>
          <w:trHeight w:val="270"/>
        </w:trPr>
        <w:tc>
          <w:tcPr>
            <w:tcW w:w="5920" w:type="dxa"/>
            <w:vAlign w:val="bottom"/>
          </w:tcPr>
          <w:p>
            <w:pPr>
              <w:ind w:left="120"/>
              <w:spacing w:after="0"/>
              <w:rPr>
                <w:sz w:val="20"/>
                <w:szCs w:val="20"/>
                <w:color w:val="auto"/>
              </w:rPr>
            </w:pPr>
            <w:r>
              <w:rPr>
                <w:rFonts w:ascii="Arial" w:cs="Arial" w:eastAsia="Arial" w:hAnsi="Arial"/>
                <w:sz w:val="16"/>
                <w:szCs w:val="16"/>
                <w:color w:val="auto"/>
              </w:rPr>
              <w:t>Proceeds from disposition of property, plant and equipment</w:t>
            </w:r>
          </w:p>
        </w:tc>
        <w:tc>
          <w:tcPr>
            <w:tcW w:w="3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11,011</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16,740</w:t>
            </w:r>
          </w:p>
        </w:tc>
      </w:tr>
      <w:tr>
        <w:trPr>
          <w:trHeight w:val="271"/>
        </w:trPr>
        <w:tc>
          <w:tcPr>
            <w:tcW w:w="592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183</w:t>
            </w:r>
          </w:p>
        </w:tc>
        <w:tc>
          <w:tcPr>
            <w:tcW w:w="1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372</w:t>
            </w:r>
          </w:p>
        </w:tc>
      </w:tr>
      <w:tr>
        <w:trPr>
          <w:trHeight w:val="249"/>
        </w:trPr>
        <w:tc>
          <w:tcPr>
            <w:tcW w:w="5920" w:type="dxa"/>
            <w:vAlign w:val="bottom"/>
          </w:tcPr>
          <w:p>
            <w:pPr>
              <w:ind w:left="320"/>
              <w:spacing w:after="0"/>
              <w:rPr>
                <w:sz w:val="20"/>
                <w:szCs w:val="20"/>
                <w:color w:val="auto"/>
              </w:rPr>
            </w:pPr>
            <w:r>
              <w:rPr>
                <w:rFonts w:ascii="Arial" w:cs="Arial" w:eastAsia="Arial" w:hAnsi="Arial"/>
                <w:sz w:val="16"/>
                <w:szCs w:val="16"/>
                <w:color w:val="auto"/>
              </w:rPr>
              <w:t>Net cash flows used in investing activities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(14,944)</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(14,521)</w:t>
            </w:r>
          </w:p>
        </w:tc>
      </w:tr>
      <w:tr>
        <w:trPr>
          <w:trHeight w:val="418"/>
        </w:trPr>
        <w:tc>
          <w:tcPr>
            <w:tcW w:w="592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5920" w:type="dxa"/>
            <w:vAlign w:val="bottom"/>
          </w:tcPr>
          <w:p>
            <w:pPr>
              <w:ind w:left="120"/>
              <w:spacing w:after="0"/>
              <w:rPr>
                <w:sz w:val="20"/>
                <w:szCs w:val="20"/>
                <w:color w:val="auto"/>
              </w:rPr>
            </w:pPr>
            <w:r>
              <w:rPr>
                <w:rFonts w:ascii="Arial" w:cs="Arial" w:eastAsia="Arial" w:hAnsi="Arial"/>
                <w:sz w:val="16"/>
                <w:szCs w:val="16"/>
                <w:color w:val="auto"/>
              </w:rPr>
              <w:t>Term loan repayments</w:t>
            </w:r>
          </w:p>
        </w:tc>
        <w:tc>
          <w:tcPr>
            <w:tcW w:w="300" w:type="dxa"/>
            <w:vAlign w:val="bottom"/>
          </w:tcPr>
          <w:p>
            <w:pPr>
              <w:spacing w:after="0"/>
              <w:rPr>
                <w:sz w:val="23"/>
                <w:szCs w:val="23"/>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(29,899)</w:t>
            </w:r>
          </w:p>
        </w:tc>
      </w:tr>
      <w:tr>
        <w:trPr>
          <w:trHeight w:val="270"/>
        </w:trPr>
        <w:tc>
          <w:tcPr>
            <w:tcW w:w="5920" w:type="dxa"/>
            <w:vAlign w:val="bottom"/>
          </w:tcPr>
          <w:p>
            <w:pPr>
              <w:ind w:left="120"/>
              <w:spacing w:after="0"/>
              <w:rPr>
                <w:sz w:val="20"/>
                <w:szCs w:val="20"/>
                <w:color w:val="auto"/>
              </w:rPr>
            </w:pPr>
            <w:r>
              <w:rPr>
                <w:rFonts w:ascii="Arial" w:cs="Arial" w:eastAsia="Arial" w:hAnsi="Arial"/>
                <w:sz w:val="16"/>
                <w:szCs w:val="16"/>
                <w:color w:val="auto"/>
              </w:rPr>
              <w:t>Revolving credit borrowings (repayments), net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(17,117)</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(37,846)</w:t>
            </w:r>
          </w:p>
        </w:tc>
      </w:tr>
      <w:tr>
        <w:trPr>
          <w:trHeight w:val="270"/>
        </w:trPr>
        <w:tc>
          <w:tcPr>
            <w:tcW w:w="5920" w:type="dxa"/>
            <w:vAlign w:val="bottom"/>
          </w:tcPr>
          <w:p>
            <w:pPr>
              <w:ind w:left="120"/>
              <w:spacing w:after="0"/>
              <w:rPr>
                <w:sz w:val="20"/>
                <w:szCs w:val="20"/>
                <w:color w:val="auto"/>
              </w:rPr>
            </w:pPr>
            <w:r>
              <w:rPr>
                <w:rFonts w:ascii="Arial" w:cs="Arial" w:eastAsia="Arial" w:hAnsi="Arial"/>
                <w:sz w:val="16"/>
                <w:szCs w:val="16"/>
                <w:color w:val="auto"/>
              </w:rPr>
              <w:t>Dividends paid</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(14,422)</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(7,423)</w:t>
            </w:r>
          </w:p>
        </w:tc>
      </w:tr>
      <w:tr>
        <w:trPr>
          <w:trHeight w:val="270"/>
        </w:trPr>
        <w:tc>
          <w:tcPr>
            <w:tcW w:w="5920" w:type="dxa"/>
            <w:vAlign w:val="bottom"/>
          </w:tcPr>
          <w:p>
            <w:pPr>
              <w:ind w:left="120"/>
              <w:spacing w:after="0"/>
              <w:rPr>
                <w:sz w:val="20"/>
                <w:szCs w:val="20"/>
                <w:color w:val="auto"/>
              </w:rPr>
            </w:pPr>
            <w:r>
              <w:rPr>
                <w:rFonts w:ascii="Arial" w:cs="Arial" w:eastAsia="Arial" w:hAnsi="Arial"/>
                <w:sz w:val="16"/>
                <w:szCs w:val="16"/>
                <w:color w:val="auto"/>
              </w:rPr>
              <w:t>Debt issuance costs</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(2,976)</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920" w:type="dxa"/>
            <w:vAlign w:val="bottom"/>
          </w:tcPr>
          <w:p>
            <w:pPr>
              <w:ind w:left="120"/>
              <w:spacing w:after="0"/>
              <w:rPr>
                <w:sz w:val="20"/>
                <w:szCs w:val="20"/>
                <w:color w:val="auto"/>
              </w:rPr>
            </w:pPr>
            <w:r>
              <w:rPr>
                <w:rFonts w:ascii="Arial" w:cs="Arial" w:eastAsia="Arial" w:hAnsi="Arial"/>
                <w:sz w:val="16"/>
                <w:szCs w:val="16"/>
                <w:color w:val="auto"/>
              </w:rPr>
              <w:t>Repurchases of common shares</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(29,616)</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(11,634)</w:t>
            </w:r>
          </w:p>
        </w:tc>
      </w:tr>
      <w:tr>
        <w:trPr>
          <w:trHeight w:val="271"/>
        </w:trPr>
        <w:tc>
          <w:tcPr>
            <w:tcW w:w="592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w:t>
            </w:r>
          </w:p>
        </w:tc>
        <w:tc>
          <w:tcPr>
            <w:tcW w:w="1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9"/>
        </w:trPr>
        <w:tc>
          <w:tcPr>
            <w:tcW w:w="5920" w:type="dxa"/>
            <w:vAlign w:val="bottom"/>
          </w:tcPr>
          <w:p>
            <w:pPr>
              <w:ind w:left="320"/>
              <w:spacing w:after="0"/>
              <w:rPr>
                <w:sz w:val="20"/>
                <w:szCs w:val="20"/>
                <w:color w:val="auto"/>
              </w:rPr>
            </w:pPr>
            <w:r>
              <w:rPr>
                <w:rFonts w:ascii="Arial" w:cs="Arial" w:eastAsia="Arial" w:hAnsi="Arial"/>
                <w:sz w:val="16"/>
                <w:szCs w:val="16"/>
                <w:color w:val="auto"/>
              </w:rPr>
              <w:t>Net cash flows used in financing activities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(65,198)</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(86,802)</w:t>
            </w:r>
          </w:p>
        </w:tc>
      </w:tr>
      <w:tr>
        <w:trPr>
          <w:trHeight w:val="420"/>
        </w:trPr>
        <w:tc>
          <w:tcPr>
            <w:tcW w:w="592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(1,487)</w:t>
            </w:r>
          </w:p>
        </w:tc>
        <w:tc>
          <w:tcPr>
            <w:tcW w:w="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127</w:t>
            </w:r>
          </w:p>
        </w:tc>
      </w:tr>
      <w:tr>
        <w:trPr>
          <w:trHeight w:val="249"/>
        </w:trPr>
        <w:tc>
          <w:tcPr>
            <w:tcW w:w="592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3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1,881</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(4,631)</w:t>
            </w:r>
          </w:p>
        </w:tc>
      </w:tr>
      <w:tr>
        <w:trPr>
          <w:trHeight w:val="420"/>
        </w:trPr>
        <w:tc>
          <w:tcPr>
            <w:tcW w:w="592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3,323</w:t>
            </w:r>
          </w:p>
        </w:tc>
        <w:tc>
          <w:tcPr>
            <w:tcW w:w="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7,954</w:t>
            </w:r>
          </w:p>
        </w:tc>
      </w:tr>
      <w:tr>
        <w:trPr>
          <w:trHeight w:val="224"/>
        </w:trPr>
        <w:tc>
          <w:tcPr>
            <w:tcW w:w="592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5,204</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3,323</w:t>
            </w:r>
          </w:p>
        </w:tc>
      </w:tr>
      <w:tr>
        <w:trPr>
          <w:trHeight w:val="20"/>
        </w:trPr>
        <w:tc>
          <w:tcPr>
            <w:tcW w:w="5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895"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SEGMENT DATA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05"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2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5"/>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6"/>
                <w:szCs w:val="16"/>
                <w:color w:val="auto"/>
              </w:rPr>
            </w:pPr>
          </w:p>
        </w:tc>
        <w:tc>
          <w:tcPr>
            <w:tcW w:w="258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23"/>
        </w:trPr>
        <w:tc>
          <w:tcPr>
            <w:tcW w:w="2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48"/>
        </w:trPr>
        <w:tc>
          <w:tcPr>
            <w:tcW w:w="2800" w:type="dxa"/>
            <w:vAlign w:val="bottom"/>
          </w:tcPr>
          <w:p>
            <w:pPr>
              <w:spacing w:after="0"/>
              <w:rPr>
                <w:sz w:val="20"/>
                <w:szCs w:val="20"/>
                <w:color w:val="auto"/>
              </w:rPr>
            </w:pPr>
            <w:r>
              <w:rPr>
                <w:rFonts w:ascii="Arial" w:cs="Arial" w:eastAsia="Arial" w:hAnsi="Arial"/>
                <w:sz w:val="16"/>
                <w:szCs w:val="16"/>
                <w:color w:val="auto"/>
              </w:rPr>
              <w:t>Revenues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00" w:type="dxa"/>
            <w:vAlign w:val="bottom"/>
          </w:tcPr>
          <w:p>
            <w:pPr>
              <w:ind w:left="22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40,664</w:t>
            </w:r>
          </w:p>
        </w:tc>
        <w:tc>
          <w:tcPr>
            <w:tcW w:w="220" w:type="dxa"/>
            <w:vAlign w:val="bottom"/>
          </w:tcPr>
          <w:p>
            <w:pPr>
              <w:spacing w:after="0"/>
              <w:rPr>
                <w:sz w:val="23"/>
                <w:szCs w:val="23"/>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72,728</w:t>
            </w:r>
          </w:p>
        </w:tc>
        <w:tc>
          <w:tcPr>
            <w:tcW w:w="20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245,087</w:t>
            </w:r>
          </w:p>
        </w:tc>
        <w:tc>
          <w:tcPr>
            <w:tcW w:w="200" w:type="dxa"/>
            <w:vAlign w:val="bottom"/>
          </w:tcPr>
          <w:p>
            <w:pPr>
              <w:spacing w:after="0"/>
              <w:rPr>
                <w:sz w:val="23"/>
                <w:szCs w:val="23"/>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352,795</w:t>
            </w:r>
          </w:p>
        </w:tc>
        <w:tc>
          <w:tcPr>
            <w:tcW w:w="0" w:type="dxa"/>
            <w:vAlign w:val="bottom"/>
          </w:tcPr>
          <w:p>
            <w:pPr>
              <w:spacing w:after="0"/>
              <w:rPr>
                <w:sz w:val="1"/>
                <w:szCs w:val="1"/>
                <w:color w:val="auto"/>
              </w:rPr>
            </w:pPr>
          </w:p>
        </w:tc>
      </w:tr>
      <w:tr>
        <w:trPr>
          <w:trHeight w:val="270"/>
        </w:trPr>
        <w:tc>
          <w:tcPr>
            <w:tcW w:w="280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109,989</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89,345</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426,956</w:t>
            </w: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336,763</w:t>
            </w:r>
          </w:p>
        </w:tc>
        <w:tc>
          <w:tcPr>
            <w:tcW w:w="0" w:type="dxa"/>
            <w:vAlign w:val="bottom"/>
          </w:tcPr>
          <w:p>
            <w:pPr>
              <w:spacing w:after="0"/>
              <w:rPr>
                <w:sz w:val="1"/>
                <w:szCs w:val="1"/>
                <w:color w:val="auto"/>
              </w:rPr>
            </w:pPr>
          </w:p>
        </w:tc>
      </w:tr>
      <w:tr>
        <w:trPr>
          <w:trHeight w:val="271"/>
        </w:trPr>
        <w:tc>
          <w:tcPr>
            <w:tcW w:w="2800" w:type="dxa"/>
            <w:vAlign w:val="bottom"/>
          </w:tcPr>
          <w:p>
            <w:pPr>
              <w:ind w:left="2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w:t>
            </w:r>
          </w:p>
        </w:tc>
        <w:tc>
          <w:tcPr>
            <w:tcW w:w="2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8,726</w:t>
            </w:r>
          </w:p>
        </w:tc>
        <w:tc>
          <w:tcPr>
            <w:tcW w:w="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10,079</w:t>
            </w:r>
          </w:p>
        </w:tc>
        <w:tc>
          <w:tcPr>
            <w:tcW w:w="2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11,247</w:t>
            </w:r>
          </w:p>
        </w:tc>
        <w:tc>
          <w:tcPr>
            <w:tcW w:w="0" w:type="dxa"/>
            <w:vAlign w:val="bottom"/>
          </w:tcPr>
          <w:p>
            <w:pPr>
              <w:spacing w:after="0"/>
              <w:rPr>
                <w:sz w:val="1"/>
                <w:szCs w:val="1"/>
                <w:color w:val="auto"/>
              </w:rPr>
            </w:pPr>
          </w:p>
        </w:tc>
      </w:tr>
      <w:tr>
        <w:trPr>
          <w:trHeight w:val="224"/>
        </w:trPr>
        <w:tc>
          <w:tcPr>
            <w:tcW w:w="2800" w:type="dxa"/>
            <w:vAlign w:val="bottom"/>
          </w:tcPr>
          <w:p>
            <w:pPr>
              <w:ind w:left="440"/>
              <w:spacing w:after="0"/>
              <w:rPr>
                <w:sz w:val="20"/>
                <w:szCs w:val="20"/>
                <w:color w:val="auto"/>
              </w:rPr>
            </w:pPr>
            <w:r>
              <w:rPr>
                <w:rFonts w:ascii="Arial" w:cs="Arial" w:eastAsia="Arial" w:hAnsi="Arial"/>
                <w:sz w:val="16"/>
                <w:szCs w:val="16"/>
                <w:color w:val="auto"/>
              </w:rPr>
              <w:t>Total revenues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150,951</w:t>
            </w:r>
          </w:p>
        </w:tc>
        <w:tc>
          <w:tcPr>
            <w:tcW w:w="220" w:type="dxa"/>
            <w:vAlign w:val="bottom"/>
          </w:tcPr>
          <w:p>
            <w:pPr>
              <w:spacing w:after="0"/>
              <w:rPr>
                <w:sz w:val="19"/>
                <w:szCs w:val="19"/>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170,799</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682,122</w:t>
            </w:r>
          </w:p>
        </w:tc>
        <w:tc>
          <w:tcPr>
            <w:tcW w:w="200" w:type="dxa"/>
            <w:vAlign w:val="bottom"/>
          </w:tcPr>
          <w:p>
            <w:pPr>
              <w:spacing w:after="0"/>
              <w:rPr>
                <w:sz w:val="19"/>
                <w:szCs w:val="19"/>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700,805</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6"/>
                <w:szCs w:val="16"/>
                <w:color w:val="auto"/>
              </w:rPr>
              <w:t>EBITDA (1)</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4"/>
        </w:trPr>
        <w:tc>
          <w:tcPr>
            <w:tcW w:w="2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00" w:type="dxa"/>
            <w:vAlign w:val="bottom"/>
          </w:tcPr>
          <w:p>
            <w:pPr>
              <w:ind w:left="22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(8,146)</w:t>
            </w:r>
          </w:p>
        </w:tc>
        <w:tc>
          <w:tcPr>
            <w:tcW w:w="220" w:type="dxa"/>
            <w:vAlign w:val="bottom"/>
          </w:tcPr>
          <w:p>
            <w:pPr>
              <w:spacing w:after="0"/>
              <w:rPr>
                <w:sz w:val="23"/>
                <w:szCs w:val="23"/>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36,519</w:t>
            </w:r>
          </w:p>
        </w:tc>
        <w:tc>
          <w:tcPr>
            <w:tcW w:w="20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23,798</w:t>
            </w:r>
          </w:p>
        </w:tc>
        <w:tc>
          <w:tcPr>
            <w:tcW w:w="200" w:type="dxa"/>
            <w:vAlign w:val="bottom"/>
          </w:tcPr>
          <w:p>
            <w:pPr>
              <w:spacing w:after="0"/>
              <w:rPr>
                <w:sz w:val="23"/>
                <w:szCs w:val="23"/>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86,502</w:t>
            </w:r>
          </w:p>
        </w:tc>
        <w:tc>
          <w:tcPr>
            <w:tcW w:w="0" w:type="dxa"/>
            <w:vAlign w:val="bottom"/>
          </w:tcPr>
          <w:p>
            <w:pPr>
              <w:spacing w:after="0"/>
              <w:rPr>
                <w:sz w:val="1"/>
                <w:szCs w:val="1"/>
                <w:color w:val="auto"/>
              </w:rPr>
            </w:pPr>
          </w:p>
        </w:tc>
      </w:tr>
      <w:tr>
        <w:trPr>
          <w:trHeight w:val="270"/>
        </w:trPr>
        <w:tc>
          <w:tcPr>
            <w:tcW w:w="280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22,128</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21,469</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80,622</w:t>
            </w: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74,069</w:t>
            </w:r>
          </w:p>
        </w:tc>
        <w:tc>
          <w:tcPr>
            <w:tcW w:w="0" w:type="dxa"/>
            <w:vAlign w:val="bottom"/>
          </w:tcPr>
          <w:p>
            <w:pPr>
              <w:spacing w:after="0"/>
              <w:rPr>
                <w:sz w:val="1"/>
                <w:szCs w:val="1"/>
                <w:color w:val="auto"/>
              </w:rPr>
            </w:pPr>
          </w:p>
        </w:tc>
      </w:tr>
      <w:tr>
        <w:trPr>
          <w:trHeight w:val="164"/>
        </w:trPr>
        <w:tc>
          <w:tcPr>
            <w:tcW w:w="2800" w:type="dxa"/>
            <w:vAlign w:val="bottom"/>
          </w:tcPr>
          <w:p>
            <w:pPr>
              <w:ind w:left="220"/>
              <w:spacing w:after="0" w:line="164" w:lineRule="exact"/>
              <w:rPr>
                <w:sz w:val="20"/>
                <w:szCs w:val="20"/>
                <w:color w:val="auto"/>
              </w:rPr>
            </w:pPr>
            <w:r>
              <w:rPr>
                <w:rFonts w:ascii="Arial" w:cs="Arial" w:eastAsia="Arial" w:hAnsi="Arial"/>
                <w:sz w:val="16"/>
                <w:szCs w:val="16"/>
                <w:color w:val="auto"/>
              </w:rPr>
              <w:t>Corporate, other and</w:t>
            </w:r>
          </w:p>
        </w:tc>
        <w:tc>
          <w:tcPr>
            <w:tcW w:w="3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(7,345)</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(8,856)</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(33,171)</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(31,634)</w:t>
            </w:r>
          </w:p>
        </w:tc>
        <w:tc>
          <w:tcPr>
            <w:tcW w:w="0" w:type="dxa"/>
            <w:vAlign w:val="bottom"/>
          </w:tcPr>
          <w:p>
            <w:pPr>
              <w:spacing w:after="0"/>
              <w:rPr>
                <w:sz w:val="1"/>
                <w:szCs w:val="1"/>
                <w:color w:val="auto"/>
              </w:rPr>
            </w:pPr>
          </w:p>
        </w:tc>
      </w:tr>
      <w:tr>
        <w:trPr>
          <w:trHeight w:val="215"/>
        </w:trPr>
        <w:tc>
          <w:tcPr>
            <w:tcW w:w="2800" w:type="dxa"/>
            <w:vAlign w:val="bottom"/>
          </w:tcPr>
          <w:p>
            <w:pPr>
              <w:spacing w:after="0"/>
              <w:rPr>
                <w:sz w:val="20"/>
                <w:szCs w:val="20"/>
                <w:color w:val="auto"/>
              </w:rPr>
            </w:pPr>
            <w:r>
              <w:rPr>
                <w:rFonts w:ascii="Arial" w:cs="Arial" w:eastAsia="Arial" w:hAnsi="Arial"/>
                <w:sz w:val="16"/>
                <w:szCs w:val="16"/>
                <w:color w:val="auto"/>
              </w:rPr>
              <w:t>eliminations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00" w:type="dxa"/>
            <w:vAlign w:val="bottom"/>
          </w:tcPr>
          <w:p>
            <w:pPr>
              <w:ind w:left="440"/>
              <w:spacing w:after="0"/>
              <w:rPr>
                <w:sz w:val="20"/>
                <w:szCs w:val="20"/>
                <w:color w:val="auto"/>
              </w:rPr>
            </w:pPr>
            <w:r>
              <w:rPr>
                <w:rFonts w:ascii="Arial" w:cs="Arial" w:eastAsia="Arial" w:hAnsi="Arial"/>
                <w:sz w:val="16"/>
                <w:szCs w:val="16"/>
                <w:color w:val="auto"/>
              </w:rPr>
              <w:t>Total EBITDA</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6,637</w:t>
            </w:r>
          </w:p>
        </w:tc>
        <w:tc>
          <w:tcPr>
            <w:tcW w:w="220" w:type="dxa"/>
            <w:vAlign w:val="bottom"/>
          </w:tcPr>
          <w:p>
            <w:pPr>
              <w:spacing w:after="0"/>
              <w:rPr>
                <w:sz w:val="19"/>
                <w:szCs w:val="19"/>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49,132</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71,249</w:t>
            </w:r>
          </w:p>
        </w:tc>
        <w:tc>
          <w:tcPr>
            <w:tcW w:w="200" w:type="dxa"/>
            <w:vAlign w:val="bottom"/>
          </w:tcPr>
          <w:p>
            <w:pPr>
              <w:spacing w:after="0"/>
              <w:rPr>
                <w:sz w:val="19"/>
                <w:szCs w:val="19"/>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128,937</w:t>
            </w:r>
          </w:p>
        </w:tc>
        <w:tc>
          <w:tcPr>
            <w:tcW w:w="0" w:type="dxa"/>
            <w:vAlign w:val="bottom"/>
          </w:tcPr>
          <w:p>
            <w:pPr>
              <w:spacing w:after="0"/>
              <w:rPr>
                <w:sz w:val="1"/>
                <w:szCs w:val="1"/>
                <w:color w:val="auto"/>
              </w:rPr>
            </w:pPr>
          </w:p>
        </w:tc>
      </w:tr>
      <w:tr>
        <w:trPr>
          <w:trHeight w:val="21"/>
        </w:trPr>
        <w:tc>
          <w:tcPr>
            <w:tcW w:w="2800" w:type="dxa"/>
            <w:vAlign w:val="bottom"/>
            <w:vMerge w:val="restart"/>
          </w:tcPr>
          <w:p>
            <w:pPr>
              <w:spacing w:after="0"/>
              <w:rPr>
                <w:sz w:val="20"/>
                <w:szCs w:val="20"/>
                <w:color w:val="auto"/>
              </w:rPr>
            </w:pPr>
            <w:r>
              <w:rPr>
                <w:rFonts w:ascii="Arial" w:cs="Arial" w:eastAsia="Arial" w:hAnsi="Arial"/>
                <w:sz w:val="16"/>
                <w:szCs w:val="16"/>
                <w:color w:val="auto"/>
              </w:rPr>
              <w:t>Adjusted EBITDA (1)</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4"/>
        </w:trPr>
        <w:tc>
          <w:tcPr>
            <w:tcW w:w="2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00" w:type="dxa"/>
            <w:vAlign w:val="bottom"/>
          </w:tcPr>
          <w:p>
            <w:pPr>
              <w:ind w:left="22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(4,711)</w:t>
            </w:r>
          </w:p>
        </w:tc>
        <w:tc>
          <w:tcPr>
            <w:tcW w:w="220" w:type="dxa"/>
            <w:vAlign w:val="bottom"/>
          </w:tcPr>
          <w:p>
            <w:pPr>
              <w:spacing w:after="0"/>
              <w:rPr>
                <w:sz w:val="23"/>
                <w:szCs w:val="23"/>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3,507</w:t>
            </w:r>
          </w:p>
        </w:tc>
        <w:tc>
          <w:tcPr>
            <w:tcW w:w="20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21,743</w:t>
            </w:r>
          </w:p>
        </w:tc>
        <w:tc>
          <w:tcPr>
            <w:tcW w:w="200" w:type="dxa"/>
            <w:vAlign w:val="bottom"/>
          </w:tcPr>
          <w:p>
            <w:pPr>
              <w:spacing w:after="0"/>
              <w:rPr>
                <w:sz w:val="23"/>
                <w:szCs w:val="23"/>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58,827</w:t>
            </w:r>
          </w:p>
        </w:tc>
        <w:tc>
          <w:tcPr>
            <w:tcW w:w="0" w:type="dxa"/>
            <w:vAlign w:val="bottom"/>
          </w:tcPr>
          <w:p>
            <w:pPr>
              <w:spacing w:after="0"/>
              <w:rPr>
                <w:sz w:val="1"/>
                <w:szCs w:val="1"/>
                <w:color w:val="auto"/>
              </w:rPr>
            </w:pPr>
          </w:p>
        </w:tc>
      </w:tr>
      <w:tr>
        <w:trPr>
          <w:trHeight w:val="270"/>
        </w:trPr>
        <w:tc>
          <w:tcPr>
            <w:tcW w:w="280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22,205</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21,540</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86,622</w:t>
            </w: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74,357</w:t>
            </w:r>
          </w:p>
        </w:tc>
        <w:tc>
          <w:tcPr>
            <w:tcW w:w="0" w:type="dxa"/>
            <w:vAlign w:val="bottom"/>
          </w:tcPr>
          <w:p>
            <w:pPr>
              <w:spacing w:after="0"/>
              <w:rPr>
                <w:sz w:val="1"/>
                <w:szCs w:val="1"/>
                <w:color w:val="auto"/>
              </w:rPr>
            </w:pPr>
          </w:p>
        </w:tc>
      </w:tr>
      <w:tr>
        <w:trPr>
          <w:trHeight w:val="164"/>
        </w:trPr>
        <w:tc>
          <w:tcPr>
            <w:tcW w:w="2800" w:type="dxa"/>
            <w:vAlign w:val="bottom"/>
          </w:tcPr>
          <w:p>
            <w:pPr>
              <w:ind w:left="220"/>
              <w:spacing w:after="0" w:line="164" w:lineRule="exact"/>
              <w:rPr>
                <w:sz w:val="20"/>
                <w:szCs w:val="20"/>
                <w:color w:val="auto"/>
              </w:rPr>
            </w:pPr>
            <w:r>
              <w:rPr>
                <w:rFonts w:ascii="Arial" w:cs="Arial" w:eastAsia="Arial" w:hAnsi="Arial"/>
                <w:sz w:val="16"/>
                <w:szCs w:val="16"/>
                <w:color w:val="auto"/>
              </w:rPr>
              <w:t>Corporate, other and</w:t>
            </w:r>
          </w:p>
        </w:tc>
        <w:tc>
          <w:tcPr>
            <w:tcW w:w="3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(6,054)</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(6,523)</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(28,428)</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(26,690)</w:t>
            </w:r>
          </w:p>
        </w:tc>
        <w:tc>
          <w:tcPr>
            <w:tcW w:w="0" w:type="dxa"/>
            <w:vAlign w:val="bottom"/>
          </w:tcPr>
          <w:p>
            <w:pPr>
              <w:spacing w:after="0"/>
              <w:rPr>
                <w:sz w:val="1"/>
                <w:szCs w:val="1"/>
                <w:color w:val="auto"/>
              </w:rPr>
            </w:pPr>
          </w:p>
        </w:tc>
      </w:tr>
      <w:tr>
        <w:trPr>
          <w:trHeight w:val="215"/>
        </w:trPr>
        <w:tc>
          <w:tcPr>
            <w:tcW w:w="2800" w:type="dxa"/>
            <w:vAlign w:val="bottom"/>
          </w:tcPr>
          <w:p>
            <w:pPr>
              <w:ind w:left="220"/>
              <w:spacing w:after="0"/>
              <w:rPr>
                <w:sz w:val="20"/>
                <w:szCs w:val="20"/>
                <w:color w:val="auto"/>
              </w:rPr>
            </w:pPr>
            <w:r>
              <w:rPr>
                <w:rFonts w:ascii="Arial" w:cs="Arial" w:eastAsia="Arial" w:hAnsi="Arial"/>
                <w:sz w:val="16"/>
                <w:szCs w:val="16"/>
                <w:color w:val="auto"/>
              </w:rPr>
              <w:t>eliminations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00" w:type="dxa"/>
            <w:vAlign w:val="bottom"/>
          </w:tcPr>
          <w:p>
            <w:pPr>
              <w:ind w:left="440"/>
              <w:spacing w:after="0"/>
              <w:rPr>
                <w:sz w:val="20"/>
                <w:szCs w:val="20"/>
                <w:color w:val="auto"/>
              </w:rPr>
            </w:pPr>
            <w:r>
              <w:rPr>
                <w:rFonts w:ascii="Arial" w:cs="Arial" w:eastAsia="Arial" w:hAnsi="Arial"/>
                <w:sz w:val="16"/>
                <w:szCs w:val="16"/>
                <w:color w:val="auto"/>
              </w:rPr>
              <w:t>Total adjusted EBITDA</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11,440</w:t>
            </w:r>
          </w:p>
        </w:tc>
        <w:tc>
          <w:tcPr>
            <w:tcW w:w="220" w:type="dxa"/>
            <w:vAlign w:val="bottom"/>
          </w:tcPr>
          <w:p>
            <w:pPr>
              <w:spacing w:after="0"/>
              <w:rPr>
                <w:sz w:val="19"/>
                <w:szCs w:val="19"/>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18,524</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79,937</w:t>
            </w:r>
          </w:p>
        </w:tc>
        <w:tc>
          <w:tcPr>
            <w:tcW w:w="200" w:type="dxa"/>
            <w:vAlign w:val="bottom"/>
          </w:tcPr>
          <w:p>
            <w:pPr>
              <w:spacing w:after="0"/>
              <w:rPr>
                <w:sz w:val="19"/>
                <w:szCs w:val="19"/>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106,494</w:t>
            </w:r>
          </w:p>
        </w:tc>
        <w:tc>
          <w:tcPr>
            <w:tcW w:w="0" w:type="dxa"/>
            <w:vAlign w:val="bottom"/>
          </w:tcPr>
          <w:p>
            <w:pPr>
              <w:spacing w:after="0"/>
              <w:rPr>
                <w:sz w:val="1"/>
                <w:szCs w:val="1"/>
                <w:color w:val="auto"/>
              </w:rPr>
            </w:pPr>
          </w:p>
        </w:tc>
      </w:tr>
      <w:tr>
        <w:trPr>
          <w:trHeight w:val="21"/>
        </w:trPr>
        <w:tc>
          <w:tcPr>
            <w:tcW w:w="2800" w:type="dxa"/>
            <w:vAlign w:val="bottom"/>
            <w:vMerge w:val="restart"/>
          </w:tcPr>
          <w:p>
            <w:pPr>
              <w:spacing w:after="0"/>
              <w:rPr>
                <w:sz w:val="20"/>
                <w:szCs w:val="20"/>
                <w:color w:val="auto"/>
              </w:rPr>
            </w:pPr>
            <w:r>
              <w:rPr>
                <w:rFonts w:ascii="Arial" w:cs="Arial" w:eastAsia="Arial" w:hAnsi="Arial"/>
                <w:sz w:val="16"/>
                <w:szCs w:val="16"/>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5"/>
        </w:trPr>
        <w:tc>
          <w:tcPr>
            <w:tcW w:w="2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00" w:type="dxa"/>
            <w:vAlign w:val="bottom"/>
          </w:tcPr>
          <w:p>
            <w:pPr>
              <w:ind w:left="22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(16,809)</w:t>
            </w:r>
          </w:p>
        </w:tc>
        <w:tc>
          <w:tcPr>
            <w:tcW w:w="220" w:type="dxa"/>
            <w:vAlign w:val="bottom"/>
          </w:tcPr>
          <w:p>
            <w:pPr>
              <w:spacing w:after="0"/>
              <w:rPr>
                <w:sz w:val="23"/>
                <w:szCs w:val="23"/>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16,050</w:t>
            </w:r>
          </w:p>
        </w:tc>
        <w:tc>
          <w:tcPr>
            <w:tcW w:w="20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(14,727)</w:t>
            </w:r>
          </w:p>
        </w:tc>
        <w:tc>
          <w:tcPr>
            <w:tcW w:w="200" w:type="dxa"/>
            <w:vAlign w:val="bottom"/>
          </w:tcPr>
          <w:p>
            <w:pPr>
              <w:spacing w:after="0"/>
              <w:rPr>
                <w:sz w:val="23"/>
                <w:szCs w:val="23"/>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27,977</w:t>
            </w:r>
          </w:p>
        </w:tc>
        <w:tc>
          <w:tcPr>
            <w:tcW w:w="0" w:type="dxa"/>
            <w:vAlign w:val="bottom"/>
          </w:tcPr>
          <w:p>
            <w:pPr>
              <w:spacing w:after="0"/>
              <w:rPr>
                <w:sz w:val="1"/>
                <w:szCs w:val="1"/>
                <w:color w:val="auto"/>
              </w:rPr>
            </w:pPr>
          </w:p>
        </w:tc>
      </w:tr>
      <w:tr>
        <w:trPr>
          <w:trHeight w:val="270"/>
        </w:trPr>
        <w:tc>
          <w:tcPr>
            <w:tcW w:w="280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14,062</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14,870</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49,524</w:t>
            </w: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44,982</w:t>
            </w:r>
          </w:p>
        </w:tc>
        <w:tc>
          <w:tcPr>
            <w:tcW w:w="0" w:type="dxa"/>
            <w:vAlign w:val="bottom"/>
          </w:tcPr>
          <w:p>
            <w:pPr>
              <w:spacing w:after="0"/>
              <w:rPr>
                <w:sz w:val="1"/>
                <w:szCs w:val="1"/>
                <w:color w:val="auto"/>
              </w:rPr>
            </w:pPr>
          </w:p>
        </w:tc>
      </w:tr>
      <w:tr>
        <w:trPr>
          <w:trHeight w:val="164"/>
        </w:trPr>
        <w:tc>
          <w:tcPr>
            <w:tcW w:w="2800" w:type="dxa"/>
            <w:vAlign w:val="bottom"/>
          </w:tcPr>
          <w:p>
            <w:pPr>
              <w:ind w:left="220"/>
              <w:spacing w:after="0" w:line="164" w:lineRule="exact"/>
              <w:rPr>
                <w:sz w:val="20"/>
                <w:szCs w:val="20"/>
                <w:color w:val="auto"/>
              </w:rPr>
            </w:pPr>
            <w:r>
              <w:rPr>
                <w:rFonts w:ascii="Arial" w:cs="Arial" w:eastAsia="Arial" w:hAnsi="Arial"/>
                <w:sz w:val="16"/>
                <w:szCs w:val="16"/>
                <w:color w:val="auto"/>
              </w:rPr>
              <w:t>Corporate, other and</w:t>
            </w:r>
          </w:p>
        </w:tc>
        <w:tc>
          <w:tcPr>
            <w:tcW w:w="3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(7,296)</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(8,872)</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(33,465)</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(33,472)</w:t>
            </w:r>
          </w:p>
        </w:tc>
        <w:tc>
          <w:tcPr>
            <w:tcW w:w="0" w:type="dxa"/>
            <w:vAlign w:val="bottom"/>
          </w:tcPr>
          <w:p>
            <w:pPr>
              <w:spacing w:after="0"/>
              <w:rPr>
                <w:sz w:val="1"/>
                <w:szCs w:val="1"/>
                <w:color w:val="auto"/>
              </w:rPr>
            </w:pPr>
          </w:p>
        </w:tc>
      </w:tr>
      <w:tr>
        <w:trPr>
          <w:trHeight w:val="215"/>
        </w:trPr>
        <w:tc>
          <w:tcPr>
            <w:tcW w:w="2800" w:type="dxa"/>
            <w:vAlign w:val="bottom"/>
          </w:tcPr>
          <w:p>
            <w:pPr>
              <w:ind w:left="220"/>
              <w:spacing w:after="0"/>
              <w:rPr>
                <w:sz w:val="20"/>
                <w:szCs w:val="20"/>
                <w:color w:val="auto"/>
              </w:rPr>
            </w:pPr>
            <w:r>
              <w:rPr>
                <w:rFonts w:ascii="Arial" w:cs="Arial" w:eastAsia="Arial" w:hAnsi="Arial"/>
                <w:sz w:val="16"/>
                <w:szCs w:val="16"/>
                <w:color w:val="auto"/>
              </w:rPr>
              <w:t>eliminations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00" w:type="dxa"/>
            <w:vAlign w:val="bottom"/>
          </w:tcPr>
          <w:p>
            <w:pPr>
              <w:ind w:left="440"/>
              <w:spacing w:after="0"/>
              <w:rPr>
                <w:sz w:val="20"/>
                <w:szCs w:val="20"/>
                <w:color w:val="auto"/>
              </w:rPr>
            </w:pPr>
            <w:r>
              <w:rPr>
                <w:rFonts w:ascii="Arial" w:cs="Arial" w:eastAsia="Arial" w:hAnsi="Arial"/>
                <w:sz w:val="16"/>
                <w:szCs w:val="16"/>
                <w:color w:val="auto"/>
              </w:rPr>
              <w:t>Total operating income (loss)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(10,043)</w:t>
            </w:r>
          </w:p>
        </w:tc>
        <w:tc>
          <w:tcPr>
            <w:tcW w:w="220" w:type="dxa"/>
            <w:vAlign w:val="bottom"/>
          </w:tcPr>
          <w:p>
            <w:pPr>
              <w:spacing w:after="0"/>
              <w:rPr>
                <w:sz w:val="19"/>
                <w:szCs w:val="19"/>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22,048</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1,332</w:t>
            </w:r>
          </w:p>
        </w:tc>
        <w:tc>
          <w:tcPr>
            <w:tcW w:w="200" w:type="dxa"/>
            <w:vAlign w:val="bottom"/>
          </w:tcPr>
          <w:p>
            <w:pPr>
              <w:spacing w:after="0"/>
              <w:rPr>
                <w:sz w:val="19"/>
                <w:szCs w:val="19"/>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39,487</w:t>
            </w:r>
          </w:p>
        </w:tc>
        <w:tc>
          <w:tcPr>
            <w:tcW w:w="0" w:type="dxa"/>
            <w:vAlign w:val="bottom"/>
          </w:tcPr>
          <w:p>
            <w:pPr>
              <w:spacing w:after="0"/>
              <w:rPr>
                <w:sz w:val="1"/>
                <w:szCs w:val="1"/>
                <w:color w:val="auto"/>
              </w:rPr>
            </w:pPr>
          </w:p>
        </w:tc>
      </w:tr>
      <w:tr>
        <w:trPr>
          <w:trHeight w:val="21"/>
        </w:trPr>
        <w:tc>
          <w:tcPr>
            <w:tcW w:w="2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 Please see Non-GAAP Reconciliation Schedule.</w:t>
      </w:r>
    </w:p>
    <w:p>
      <w:pPr>
        <w:sectPr>
          <w:pgSz w:w="11900" w:h="16838" w:orient="portrait"/>
          <w:cols w:equalWidth="0" w:num="1">
            <w:col w:w="9019"/>
          </w:cols>
          <w:pgMar w:left="1440" w:top="895" w:right="1440" w:bottom="1440" w:gutter="0" w:footer="0" w:header="0"/>
        </w:sectPr>
      </w:pPr>
    </w:p>
    <w:bookmarkStart w:id="12" w:name="page13"/>
    <w:bookmarkEnd w:id="12"/>
    <w:p>
      <w:pPr>
        <w:jc w:val="center"/>
        <w:ind w:right="-171"/>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SUPPLEMENTAL QUARTERLY SEGMENT AND OPERATING DATA</w:t>
      </w:r>
    </w:p>
    <w:p>
      <w:pPr>
        <w:spacing w:after="0" w:line="19"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(U.S. dollars in thousands, except for room counts and average daily rates)</w:t>
      </w:r>
    </w:p>
    <w:p>
      <w:pPr>
        <w:spacing w:after="0" w:line="5"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(unaudited)</w:t>
      </w:r>
    </w:p>
    <w:p>
      <w:pPr>
        <w:spacing w:after="0" w:line="359" w:lineRule="exact"/>
        <w:rPr>
          <w:sz w:val="20"/>
          <w:szCs w:val="20"/>
          <w:color w:val="auto"/>
        </w:rPr>
      </w:pPr>
    </w:p>
    <w:tbl>
      <w:tblPr>
        <w:tblLayout w:type="fixed"/>
        <w:tblInd w:w="1292" w:type="dxa"/>
        <w:tblCellMar>
          <w:top w:w="0" w:type="dxa"/>
          <w:left w:w="0" w:type="dxa"/>
          <w:bottom w:w="0" w:type="dxa"/>
          <w:right w:w="0" w:type="dxa"/>
        </w:tblCellMar>
      </w:tblPr>
      <w:tr>
        <w:trPr>
          <w:trHeight w:val="184"/>
        </w:trPr>
        <w:tc>
          <w:tcPr>
            <w:tcW w:w="3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6"/>
                <w:szCs w:val="16"/>
                <w:color w:val="auto"/>
              </w:rPr>
            </w:pPr>
          </w:p>
        </w:tc>
        <w:tc>
          <w:tcPr>
            <w:tcW w:w="222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0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w w:val="99"/>
              </w:rPr>
              <w:t>December 31,</w:t>
            </w:r>
          </w:p>
        </w:tc>
        <w:tc>
          <w:tcPr>
            <w:tcW w:w="200" w:type="dxa"/>
            <w:vAlign w:val="bottom"/>
          </w:tcPr>
          <w:p>
            <w:pPr>
              <w:spacing w:after="0"/>
              <w:rPr>
                <w:sz w:val="19"/>
                <w:szCs w:val="19"/>
                <w:color w:val="auto"/>
              </w:rPr>
            </w:pPr>
          </w:p>
        </w:tc>
        <w:tc>
          <w:tcPr>
            <w:tcW w:w="222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63"/>
        </w:trPr>
        <w:tc>
          <w:tcPr>
            <w:tcW w:w="37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50"/>
        </w:trPr>
        <w:tc>
          <w:tcPr>
            <w:tcW w:w="3720" w:type="dxa"/>
            <w:vAlign w:val="bottom"/>
          </w:tcPr>
          <w:p>
            <w:pPr>
              <w:spacing w:after="0"/>
              <w:rPr>
                <w:sz w:val="20"/>
                <w:szCs w:val="20"/>
                <w:color w:val="auto"/>
              </w:rPr>
            </w:pPr>
            <w:r>
              <w:rPr>
                <w:rFonts w:ascii="Arial" w:cs="Arial" w:eastAsia="Arial" w:hAnsi="Arial"/>
                <w:sz w:val="16"/>
                <w:szCs w:val="16"/>
                <w:color w:val="auto"/>
              </w:rPr>
              <w:t>Supplemental Operating Data - Australian</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720" w:type="dxa"/>
            <w:vAlign w:val="bottom"/>
          </w:tcPr>
          <w:p>
            <w:pPr>
              <w:spacing w:after="0"/>
              <w:rPr>
                <w:sz w:val="20"/>
                <w:szCs w:val="20"/>
                <w:color w:val="auto"/>
              </w:rPr>
            </w:pPr>
            <w:r>
              <w:rPr>
                <w:rFonts w:ascii="Arial" w:cs="Arial" w:eastAsia="Arial" w:hAnsi="Arial"/>
                <w:sz w:val="16"/>
                <w:szCs w:val="16"/>
                <w:color w:val="auto"/>
              </w:rPr>
              <w:t>Segment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720" w:type="dxa"/>
            <w:vAlign w:val="bottom"/>
          </w:tcPr>
          <w:p>
            <w:pPr>
              <w:ind w:left="440"/>
              <w:spacing w:after="0" w:line="164" w:lineRule="exact"/>
              <w:rPr>
                <w:sz w:val="20"/>
                <w:szCs w:val="20"/>
                <w:color w:val="auto"/>
              </w:rPr>
            </w:pPr>
            <w:r>
              <w:rPr>
                <w:rFonts w:ascii="Arial" w:cs="Arial" w:eastAsia="Arial" w:hAnsi="Arial"/>
                <w:sz w:val="16"/>
                <w:szCs w:val="16"/>
                <w:color w:val="auto"/>
              </w:rPr>
              <w:t>Accommodation and other services</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49,293</w:t>
            </w:r>
          </w:p>
        </w:tc>
        <w:tc>
          <w:tcPr>
            <w:tcW w:w="18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ind w:right="19"/>
              <w:spacing w:after="0"/>
              <w:rPr>
                <w:sz w:val="20"/>
                <w:szCs w:val="20"/>
                <w:color w:val="auto"/>
              </w:rPr>
            </w:pPr>
            <w:r>
              <w:rPr>
                <w:rFonts w:ascii="Arial" w:cs="Arial" w:eastAsia="Arial" w:hAnsi="Arial"/>
                <w:sz w:val="16"/>
                <w:szCs w:val="16"/>
                <w:color w:val="auto"/>
              </w:rPr>
              <w:t>46,881</w:t>
            </w:r>
          </w:p>
        </w:tc>
        <w:tc>
          <w:tcPr>
            <w:tcW w:w="18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color w:val="auto"/>
              </w:rPr>
              <w:t>196,684</w:t>
            </w:r>
          </w:p>
        </w:tc>
        <w:tc>
          <w:tcPr>
            <w:tcW w:w="20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color w:val="auto"/>
              </w:rPr>
              <w:t>177,834</w:t>
            </w:r>
          </w:p>
        </w:tc>
        <w:tc>
          <w:tcPr>
            <w:tcW w:w="0" w:type="dxa"/>
            <w:vAlign w:val="bottom"/>
          </w:tcPr>
          <w:p>
            <w:pPr>
              <w:spacing w:after="0"/>
              <w:rPr>
                <w:sz w:val="1"/>
                <w:szCs w:val="1"/>
                <w:color w:val="auto"/>
              </w:rPr>
            </w:pPr>
          </w:p>
        </w:tc>
      </w:tr>
      <w:tr>
        <w:trPr>
          <w:trHeight w:val="215"/>
        </w:trPr>
        <w:tc>
          <w:tcPr>
            <w:tcW w:w="3720" w:type="dxa"/>
            <w:vAlign w:val="bottom"/>
          </w:tcPr>
          <w:p>
            <w:pPr>
              <w:spacing w:after="0"/>
              <w:rPr>
                <w:sz w:val="20"/>
                <w:szCs w:val="20"/>
                <w:color w:val="auto"/>
              </w:rPr>
            </w:pPr>
            <w:r>
              <w:rPr>
                <w:rFonts w:ascii="Arial" w:cs="Arial" w:eastAsia="Arial" w:hAnsi="Arial"/>
                <w:sz w:val="16"/>
                <w:szCs w:val="16"/>
                <w:color w:val="auto"/>
              </w:rPr>
              <w:t>revenue (1)</w:t>
            </w:r>
          </w:p>
        </w:tc>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72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60,696</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42,464</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230,272</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158,929</w:t>
            </w:r>
          </w:p>
        </w:tc>
        <w:tc>
          <w:tcPr>
            <w:tcW w:w="0" w:type="dxa"/>
            <w:vAlign w:val="bottom"/>
          </w:tcPr>
          <w:p>
            <w:pPr>
              <w:spacing w:after="0"/>
              <w:rPr>
                <w:sz w:val="1"/>
                <w:szCs w:val="1"/>
                <w:color w:val="auto"/>
              </w:rPr>
            </w:pPr>
          </w:p>
        </w:tc>
      </w:tr>
      <w:tr>
        <w:trPr>
          <w:trHeight w:val="249"/>
        </w:trPr>
        <w:tc>
          <w:tcPr>
            <w:tcW w:w="3720" w:type="dxa"/>
            <w:vAlign w:val="bottom"/>
          </w:tcPr>
          <w:p>
            <w:pPr>
              <w:ind w:left="680"/>
              <w:spacing w:after="0"/>
              <w:rPr>
                <w:sz w:val="20"/>
                <w:szCs w:val="20"/>
                <w:color w:val="auto"/>
              </w:rPr>
            </w:pPr>
            <w:r>
              <w:rPr>
                <w:rFonts w:ascii="Arial" w:cs="Arial" w:eastAsia="Arial" w:hAnsi="Arial"/>
                <w:sz w:val="16"/>
                <w:szCs w:val="16"/>
                <w:color w:val="auto"/>
              </w:rPr>
              <w:t>Total Australian revenues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109,989</w:t>
            </w:r>
          </w:p>
        </w:tc>
        <w:tc>
          <w:tcPr>
            <w:tcW w:w="18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89,345</w:t>
            </w:r>
          </w:p>
        </w:tc>
        <w:tc>
          <w:tcPr>
            <w:tcW w:w="18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426,956</w:t>
            </w:r>
          </w:p>
        </w:tc>
        <w:tc>
          <w:tcPr>
            <w:tcW w:w="20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336,763</w:t>
            </w:r>
          </w:p>
        </w:tc>
        <w:tc>
          <w:tcPr>
            <w:tcW w:w="0" w:type="dxa"/>
            <w:vAlign w:val="bottom"/>
          </w:tcPr>
          <w:p>
            <w:pPr>
              <w:spacing w:after="0"/>
              <w:rPr>
                <w:sz w:val="1"/>
                <w:szCs w:val="1"/>
                <w:color w:val="auto"/>
              </w:rPr>
            </w:pPr>
          </w:p>
        </w:tc>
      </w:tr>
      <w:tr>
        <w:trPr>
          <w:trHeight w:val="378"/>
        </w:trPr>
        <w:tc>
          <w:tcPr>
            <w:tcW w:w="3720" w:type="dxa"/>
            <w:vAlign w:val="bottom"/>
          </w:tcPr>
          <w:p>
            <w:pPr>
              <w:ind w:left="20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20" w:type="dxa"/>
            <w:vAlign w:val="bottom"/>
          </w:tcPr>
          <w:p>
            <w:pPr>
              <w:ind w:left="440"/>
              <w:spacing w:after="0"/>
              <w:rPr>
                <w:sz w:val="20"/>
                <w:szCs w:val="20"/>
                <w:color w:val="auto"/>
              </w:rPr>
            </w:pPr>
            <w:r>
              <w:rPr>
                <w:rFonts w:ascii="Arial" w:cs="Arial" w:eastAsia="Arial" w:hAnsi="Arial"/>
                <w:sz w:val="16"/>
                <w:szCs w:val="16"/>
                <w:color w:val="auto"/>
              </w:rPr>
              <w:t>Accommodation and other services cost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23,354</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21,791</w:t>
            </w:r>
          </w:p>
        </w:tc>
        <w:tc>
          <w:tcPr>
            <w:tcW w:w="18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94,344</w:t>
            </w:r>
          </w:p>
        </w:tc>
        <w:tc>
          <w:tcPr>
            <w:tcW w:w="20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85,461</w:t>
            </w:r>
          </w:p>
        </w:tc>
        <w:tc>
          <w:tcPr>
            <w:tcW w:w="0" w:type="dxa"/>
            <w:vAlign w:val="bottom"/>
          </w:tcPr>
          <w:p>
            <w:pPr>
              <w:spacing w:after="0"/>
              <w:rPr>
                <w:sz w:val="1"/>
                <w:szCs w:val="1"/>
                <w:color w:val="auto"/>
              </w:rPr>
            </w:pPr>
          </w:p>
        </w:tc>
      </w:tr>
      <w:tr>
        <w:trPr>
          <w:trHeight w:val="270"/>
        </w:trPr>
        <w:tc>
          <w:tcPr>
            <w:tcW w:w="3720" w:type="dxa"/>
            <w:vAlign w:val="bottom"/>
          </w:tcPr>
          <w:p>
            <w:pPr>
              <w:ind w:left="440"/>
              <w:spacing w:after="0"/>
              <w:rPr>
                <w:sz w:val="20"/>
                <w:szCs w:val="20"/>
                <w:color w:val="auto"/>
              </w:rPr>
            </w:pPr>
            <w:r>
              <w:rPr>
                <w:rFonts w:ascii="Arial" w:cs="Arial" w:eastAsia="Arial" w:hAnsi="Arial"/>
                <w:sz w:val="16"/>
                <w:szCs w:val="16"/>
                <w:color w:val="auto"/>
              </w:rPr>
              <w:t>Food and other services cost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54,409</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38,467</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208,627</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148,599</w:t>
            </w:r>
          </w:p>
        </w:tc>
        <w:tc>
          <w:tcPr>
            <w:tcW w:w="0" w:type="dxa"/>
            <w:vAlign w:val="bottom"/>
          </w:tcPr>
          <w:p>
            <w:pPr>
              <w:spacing w:after="0"/>
              <w:rPr>
                <w:sz w:val="1"/>
                <w:szCs w:val="1"/>
                <w:color w:val="auto"/>
              </w:rPr>
            </w:pPr>
          </w:p>
        </w:tc>
      </w:tr>
      <w:tr>
        <w:trPr>
          <w:trHeight w:val="270"/>
        </w:trPr>
        <w:tc>
          <w:tcPr>
            <w:tcW w:w="372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3,394</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2,305</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12,403</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8,951</w:t>
            </w:r>
          </w:p>
        </w:tc>
        <w:tc>
          <w:tcPr>
            <w:tcW w:w="0" w:type="dxa"/>
            <w:vAlign w:val="bottom"/>
          </w:tcPr>
          <w:p>
            <w:pPr>
              <w:spacing w:after="0"/>
              <w:rPr>
                <w:sz w:val="1"/>
                <w:szCs w:val="1"/>
                <w:color w:val="auto"/>
              </w:rPr>
            </w:pPr>
          </w:p>
        </w:tc>
      </w:tr>
      <w:tr>
        <w:trPr>
          <w:trHeight w:val="144"/>
        </w:trPr>
        <w:tc>
          <w:tcPr>
            <w:tcW w:w="3720" w:type="dxa"/>
            <w:vAlign w:val="bottom"/>
          </w:tcPr>
          <w:p>
            <w:pPr>
              <w:ind w:left="640"/>
              <w:spacing w:after="0" w:line="144" w:lineRule="exact"/>
              <w:rPr>
                <w:sz w:val="20"/>
                <w:szCs w:val="20"/>
                <w:color w:val="auto"/>
              </w:rPr>
            </w:pPr>
            <w:r>
              <w:rPr>
                <w:rFonts w:ascii="Arial" w:cs="Arial" w:eastAsia="Arial" w:hAnsi="Arial"/>
                <w:sz w:val="16"/>
                <w:szCs w:val="16"/>
                <w:color w:val="auto"/>
              </w:rPr>
              <w:t>Total Australian cost of sales and</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81,157</w:t>
            </w:r>
          </w:p>
        </w:tc>
        <w:tc>
          <w:tcPr>
            <w:tcW w:w="180" w:type="dxa"/>
            <w:vAlign w:val="bottom"/>
          </w:tcPr>
          <w:p>
            <w:pPr>
              <w:spacing w:after="0"/>
              <w:rPr>
                <w:sz w:val="12"/>
                <w:szCs w:val="12"/>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ind w:right="19"/>
              <w:spacing w:after="0"/>
              <w:rPr>
                <w:sz w:val="20"/>
                <w:szCs w:val="20"/>
                <w:color w:val="auto"/>
              </w:rPr>
            </w:pPr>
            <w:r>
              <w:rPr>
                <w:rFonts w:ascii="Arial" w:cs="Arial" w:eastAsia="Arial" w:hAnsi="Arial"/>
                <w:sz w:val="16"/>
                <w:szCs w:val="16"/>
                <w:color w:val="auto"/>
              </w:rPr>
              <w:t>62,563</w:t>
            </w:r>
          </w:p>
        </w:tc>
        <w:tc>
          <w:tcPr>
            <w:tcW w:w="180" w:type="dxa"/>
            <w:vAlign w:val="bottom"/>
          </w:tcPr>
          <w:p>
            <w:pPr>
              <w:spacing w:after="0"/>
              <w:rPr>
                <w:sz w:val="12"/>
                <w:szCs w:val="12"/>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color w:val="auto"/>
              </w:rPr>
              <w:t>315,374</w:t>
            </w:r>
          </w:p>
        </w:tc>
        <w:tc>
          <w:tcPr>
            <w:tcW w:w="200" w:type="dxa"/>
            <w:vAlign w:val="bottom"/>
          </w:tcPr>
          <w:p>
            <w:pPr>
              <w:spacing w:after="0"/>
              <w:rPr>
                <w:sz w:val="12"/>
                <w:szCs w:val="12"/>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color w:val="auto"/>
              </w:rPr>
              <w:t>243,011</w:t>
            </w:r>
          </w:p>
        </w:tc>
        <w:tc>
          <w:tcPr>
            <w:tcW w:w="0" w:type="dxa"/>
            <w:vAlign w:val="bottom"/>
          </w:tcPr>
          <w:p>
            <w:pPr>
              <w:spacing w:after="0"/>
              <w:rPr>
                <w:sz w:val="1"/>
                <w:szCs w:val="1"/>
                <w:color w:val="auto"/>
              </w:rPr>
            </w:pPr>
          </w:p>
        </w:tc>
      </w:tr>
      <w:tr>
        <w:trPr>
          <w:trHeight w:val="215"/>
        </w:trPr>
        <w:tc>
          <w:tcPr>
            <w:tcW w:w="3720" w:type="dxa"/>
            <w:vAlign w:val="bottom"/>
          </w:tcPr>
          <w:p>
            <w:pPr>
              <w:ind w:left="640"/>
              <w:spacing w:after="0"/>
              <w:rPr>
                <w:sz w:val="20"/>
                <w:szCs w:val="20"/>
                <w:color w:val="auto"/>
              </w:rPr>
            </w:pPr>
            <w:r>
              <w:rPr>
                <w:rFonts w:ascii="Arial" w:cs="Arial" w:eastAsia="Arial" w:hAnsi="Arial"/>
                <w:sz w:val="16"/>
                <w:szCs w:val="16"/>
                <w:color w:val="auto"/>
              </w:rPr>
              <w:t>services</w:t>
            </w:r>
          </w:p>
        </w:tc>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372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77</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74</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78</w:t>
            </w:r>
          </w:p>
        </w:tc>
        <w:tc>
          <w:tcPr>
            <w:tcW w:w="2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378"/>
        </w:trPr>
        <w:tc>
          <w:tcPr>
            <w:tcW w:w="3720" w:type="dxa"/>
            <w:vAlign w:val="bottom"/>
          </w:tcPr>
          <w:p>
            <w:pPr>
              <w:ind w:left="220"/>
              <w:spacing w:after="0"/>
              <w:rPr>
                <w:sz w:val="20"/>
                <w:szCs w:val="20"/>
                <w:color w:val="auto"/>
              </w:rPr>
            </w:pPr>
            <w:r>
              <w:rPr>
                <w:rFonts w:ascii="Arial" w:cs="Arial" w:eastAsia="Arial" w:hAnsi="Arial"/>
                <w:sz w:val="16"/>
                <w:szCs w:val="16"/>
                <w:color w:val="auto"/>
              </w:rPr>
              <w:t>Billed rooms (5)</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637,461</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637,759</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2,524,108</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2,371,763</w:t>
            </w:r>
          </w:p>
        </w:tc>
        <w:tc>
          <w:tcPr>
            <w:tcW w:w="0" w:type="dxa"/>
            <w:vAlign w:val="bottom"/>
          </w:tcPr>
          <w:p>
            <w:pPr>
              <w:spacing w:after="0"/>
              <w:rPr>
                <w:sz w:val="1"/>
                <w:szCs w:val="1"/>
                <w:color w:val="auto"/>
              </w:rPr>
            </w:pPr>
          </w:p>
        </w:tc>
      </w:tr>
      <w:tr>
        <w:trPr>
          <w:trHeight w:val="378"/>
        </w:trPr>
        <w:tc>
          <w:tcPr>
            <w:tcW w:w="3720" w:type="dxa"/>
            <w:vAlign w:val="bottom"/>
          </w:tcPr>
          <w:p>
            <w:pPr>
              <w:ind w:left="220"/>
              <w:spacing w:after="0"/>
              <w:rPr>
                <w:sz w:val="20"/>
                <w:szCs w:val="20"/>
                <w:color w:val="auto"/>
              </w:rPr>
            </w:pPr>
            <w:r>
              <w:rPr>
                <w:rFonts w:ascii="Arial" w:cs="Arial" w:eastAsia="Arial" w:hAnsi="Arial"/>
                <w:sz w:val="16"/>
                <w:szCs w:val="16"/>
                <w:color w:val="auto"/>
              </w:rPr>
              <w:t>Australian dollar to U.S. dollar</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0.652</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0.651</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0.660</w:t>
            </w:r>
          </w:p>
        </w:tc>
        <w:tc>
          <w:tcPr>
            <w:tcW w:w="2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0.665</w:t>
            </w:r>
          </w:p>
        </w:tc>
        <w:tc>
          <w:tcPr>
            <w:tcW w:w="0" w:type="dxa"/>
            <w:vAlign w:val="bottom"/>
          </w:tcPr>
          <w:p>
            <w:pPr>
              <w:spacing w:after="0"/>
              <w:rPr>
                <w:sz w:val="1"/>
                <w:szCs w:val="1"/>
                <w:color w:val="auto"/>
              </w:rPr>
            </w:pPr>
          </w:p>
        </w:tc>
      </w:tr>
      <w:tr>
        <w:trPr>
          <w:trHeight w:val="488"/>
        </w:trPr>
        <w:tc>
          <w:tcPr>
            <w:tcW w:w="3720" w:type="dxa"/>
            <w:vAlign w:val="bottom"/>
          </w:tcPr>
          <w:p>
            <w:pPr>
              <w:spacing w:after="0"/>
              <w:rPr>
                <w:sz w:val="20"/>
                <w:szCs w:val="20"/>
                <w:color w:val="auto"/>
              </w:rPr>
            </w:pPr>
            <w:r>
              <w:rPr>
                <w:rFonts w:ascii="Arial" w:cs="Arial" w:eastAsia="Arial" w:hAnsi="Arial"/>
                <w:sz w:val="16"/>
                <w:szCs w:val="16"/>
                <w:color w:val="auto"/>
              </w:rPr>
              <w:t>Supplemental Operating Data - Canadian</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720" w:type="dxa"/>
            <w:vAlign w:val="bottom"/>
          </w:tcPr>
          <w:p>
            <w:pPr>
              <w:spacing w:after="0"/>
              <w:rPr>
                <w:sz w:val="20"/>
                <w:szCs w:val="20"/>
                <w:color w:val="auto"/>
              </w:rPr>
            </w:pPr>
            <w:r>
              <w:rPr>
                <w:rFonts w:ascii="Arial" w:cs="Arial" w:eastAsia="Arial" w:hAnsi="Arial"/>
                <w:sz w:val="16"/>
                <w:szCs w:val="16"/>
                <w:color w:val="auto"/>
              </w:rPr>
              <w:t>Segment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3720" w:type="dxa"/>
            <w:vAlign w:val="bottom"/>
          </w:tcPr>
          <w:p>
            <w:pPr>
              <w:ind w:left="220"/>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3720" w:type="dxa"/>
            <w:vAlign w:val="bottom"/>
          </w:tcPr>
          <w:p>
            <w:pPr>
              <w:ind w:left="440"/>
              <w:spacing w:after="0" w:line="164" w:lineRule="exact"/>
              <w:rPr>
                <w:sz w:val="20"/>
                <w:szCs w:val="20"/>
                <w:color w:val="auto"/>
              </w:rPr>
            </w:pPr>
            <w:r>
              <w:rPr>
                <w:rFonts w:ascii="Arial" w:cs="Arial" w:eastAsia="Arial" w:hAnsi="Arial"/>
                <w:sz w:val="16"/>
                <w:szCs w:val="16"/>
                <w:color w:val="auto"/>
              </w:rPr>
              <w:t>Accommodation and other services</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33,981</w:t>
            </w:r>
          </w:p>
        </w:tc>
        <w:tc>
          <w:tcPr>
            <w:tcW w:w="18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ind w:right="19"/>
              <w:spacing w:after="0"/>
              <w:rPr>
                <w:sz w:val="20"/>
                <w:szCs w:val="20"/>
                <w:color w:val="auto"/>
              </w:rPr>
            </w:pPr>
            <w:r>
              <w:rPr>
                <w:rFonts w:ascii="Arial" w:cs="Arial" w:eastAsia="Arial" w:hAnsi="Arial"/>
                <w:sz w:val="16"/>
                <w:szCs w:val="16"/>
                <w:color w:val="auto"/>
              </w:rPr>
              <w:t>58,926</w:t>
            </w:r>
          </w:p>
        </w:tc>
        <w:tc>
          <w:tcPr>
            <w:tcW w:w="18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color w:val="auto"/>
              </w:rPr>
              <w:t>214,774</w:t>
            </w:r>
          </w:p>
        </w:tc>
        <w:tc>
          <w:tcPr>
            <w:tcW w:w="20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color w:val="auto"/>
              </w:rPr>
              <w:t>266,926</w:t>
            </w:r>
          </w:p>
        </w:tc>
        <w:tc>
          <w:tcPr>
            <w:tcW w:w="0" w:type="dxa"/>
            <w:vAlign w:val="bottom"/>
          </w:tcPr>
          <w:p>
            <w:pPr>
              <w:spacing w:after="0"/>
              <w:rPr>
                <w:sz w:val="1"/>
                <w:szCs w:val="1"/>
                <w:color w:val="auto"/>
              </w:rPr>
            </w:pPr>
          </w:p>
        </w:tc>
      </w:tr>
      <w:tr>
        <w:trPr>
          <w:trHeight w:val="215"/>
        </w:trPr>
        <w:tc>
          <w:tcPr>
            <w:tcW w:w="3720" w:type="dxa"/>
            <w:vAlign w:val="bottom"/>
          </w:tcPr>
          <w:p>
            <w:pPr>
              <w:spacing w:after="0"/>
              <w:rPr>
                <w:sz w:val="20"/>
                <w:szCs w:val="20"/>
                <w:color w:val="auto"/>
              </w:rPr>
            </w:pPr>
            <w:r>
              <w:rPr>
                <w:rFonts w:ascii="Arial" w:cs="Arial" w:eastAsia="Arial" w:hAnsi="Arial"/>
                <w:sz w:val="16"/>
                <w:szCs w:val="16"/>
                <w:color w:val="auto"/>
              </w:rPr>
              <w:t>revenue (1)</w:t>
            </w:r>
          </w:p>
        </w:tc>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3720" w:type="dxa"/>
            <w:vAlign w:val="bottom"/>
          </w:tcPr>
          <w:p>
            <w:pPr>
              <w:ind w:left="460"/>
              <w:spacing w:after="0"/>
              <w:rPr>
                <w:sz w:val="20"/>
                <w:szCs w:val="20"/>
                <w:color w:val="auto"/>
              </w:rPr>
            </w:pPr>
            <w:r>
              <w:rPr>
                <w:rFonts w:ascii="Arial" w:cs="Arial" w:eastAsia="Arial" w:hAnsi="Arial"/>
                <w:sz w:val="16"/>
                <w:szCs w:val="16"/>
                <w:color w:val="auto"/>
              </w:rPr>
              <w:t>Mobile facility rental revenue (2)</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7,147</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1,523</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61,899</w:t>
            </w:r>
          </w:p>
        </w:tc>
        <w:tc>
          <w:tcPr>
            <w:tcW w:w="0" w:type="dxa"/>
            <w:vAlign w:val="bottom"/>
          </w:tcPr>
          <w:p>
            <w:pPr>
              <w:spacing w:after="0"/>
              <w:rPr>
                <w:sz w:val="1"/>
                <w:szCs w:val="1"/>
                <w:color w:val="auto"/>
              </w:rPr>
            </w:pPr>
          </w:p>
        </w:tc>
      </w:tr>
      <w:tr>
        <w:trPr>
          <w:trHeight w:val="271"/>
        </w:trPr>
        <w:tc>
          <w:tcPr>
            <w:tcW w:w="372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6,633</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6,655</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28,790</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23,970</w:t>
            </w:r>
          </w:p>
        </w:tc>
        <w:tc>
          <w:tcPr>
            <w:tcW w:w="0" w:type="dxa"/>
            <w:vAlign w:val="bottom"/>
          </w:tcPr>
          <w:p>
            <w:pPr>
              <w:spacing w:after="0"/>
              <w:rPr>
                <w:sz w:val="1"/>
                <w:szCs w:val="1"/>
                <w:color w:val="auto"/>
              </w:rPr>
            </w:pPr>
          </w:p>
        </w:tc>
      </w:tr>
      <w:tr>
        <w:trPr>
          <w:trHeight w:val="249"/>
        </w:trPr>
        <w:tc>
          <w:tcPr>
            <w:tcW w:w="3720" w:type="dxa"/>
            <w:vAlign w:val="bottom"/>
          </w:tcPr>
          <w:p>
            <w:pPr>
              <w:ind w:left="680"/>
              <w:spacing w:after="0"/>
              <w:rPr>
                <w:sz w:val="20"/>
                <w:szCs w:val="20"/>
                <w:color w:val="auto"/>
              </w:rPr>
            </w:pPr>
            <w:r>
              <w:rPr>
                <w:rFonts w:ascii="Arial" w:cs="Arial" w:eastAsia="Arial" w:hAnsi="Arial"/>
                <w:sz w:val="16"/>
                <w:szCs w:val="16"/>
                <w:color w:val="auto"/>
              </w:rPr>
              <w:t>Total Canadian revenues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40,664</w:t>
            </w:r>
          </w:p>
        </w:tc>
        <w:tc>
          <w:tcPr>
            <w:tcW w:w="18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72,728</w:t>
            </w:r>
          </w:p>
        </w:tc>
        <w:tc>
          <w:tcPr>
            <w:tcW w:w="18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245,087</w:t>
            </w:r>
          </w:p>
        </w:tc>
        <w:tc>
          <w:tcPr>
            <w:tcW w:w="20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352,795</w:t>
            </w:r>
          </w:p>
        </w:tc>
        <w:tc>
          <w:tcPr>
            <w:tcW w:w="0" w:type="dxa"/>
            <w:vAlign w:val="bottom"/>
          </w:tcPr>
          <w:p>
            <w:pPr>
              <w:spacing w:after="0"/>
              <w:rPr>
                <w:sz w:val="1"/>
                <w:szCs w:val="1"/>
                <w:color w:val="auto"/>
              </w:rPr>
            </w:pPr>
          </w:p>
        </w:tc>
      </w:tr>
      <w:tr>
        <w:trPr>
          <w:trHeight w:val="378"/>
        </w:trPr>
        <w:tc>
          <w:tcPr>
            <w:tcW w:w="3720" w:type="dxa"/>
            <w:vAlign w:val="bottom"/>
          </w:tcPr>
          <w:p>
            <w:pPr>
              <w:ind w:left="20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20" w:type="dxa"/>
            <w:vAlign w:val="bottom"/>
          </w:tcPr>
          <w:p>
            <w:pPr>
              <w:ind w:left="440"/>
              <w:spacing w:after="0"/>
              <w:rPr>
                <w:sz w:val="20"/>
                <w:szCs w:val="20"/>
                <w:color w:val="auto"/>
              </w:rPr>
            </w:pPr>
            <w:r>
              <w:rPr>
                <w:rFonts w:ascii="Arial" w:cs="Arial" w:eastAsia="Arial" w:hAnsi="Arial"/>
                <w:sz w:val="16"/>
                <w:szCs w:val="16"/>
                <w:color w:val="auto"/>
              </w:rPr>
              <w:t>Accommodation and other services cost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31,410</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45,251</w:t>
            </w:r>
          </w:p>
        </w:tc>
        <w:tc>
          <w:tcPr>
            <w:tcW w:w="18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164,089</w:t>
            </w:r>
          </w:p>
        </w:tc>
        <w:tc>
          <w:tcPr>
            <w:tcW w:w="20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195,843</w:t>
            </w:r>
          </w:p>
        </w:tc>
        <w:tc>
          <w:tcPr>
            <w:tcW w:w="0" w:type="dxa"/>
            <w:vAlign w:val="bottom"/>
          </w:tcPr>
          <w:p>
            <w:pPr>
              <w:spacing w:after="0"/>
              <w:rPr>
                <w:sz w:val="1"/>
                <w:szCs w:val="1"/>
                <w:color w:val="auto"/>
              </w:rPr>
            </w:pPr>
          </w:p>
        </w:tc>
      </w:tr>
      <w:tr>
        <w:trPr>
          <w:trHeight w:val="270"/>
        </w:trPr>
        <w:tc>
          <w:tcPr>
            <w:tcW w:w="3720" w:type="dxa"/>
            <w:vAlign w:val="bottom"/>
          </w:tcPr>
          <w:p>
            <w:pPr>
              <w:ind w:left="440"/>
              <w:spacing w:after="0"/>
              <w:rPr>
                <w:sz w:val="20"/>
                <w:szCs w:val="20"/>
                <w:color w:val="auto"/>
              </w:rPr>
            </w:pPr>
            <w:r>
              <w:rPr>
                <w:rFonts w:ascii="Arial" w:cs="Arial" w:eastAsia="Arial" w:hAnsi="Arial"/>
                <w:sz w:val="16"/>
                <w:szCs w:val="16"/>
                <w:color w:val="auto"/>
              </w:rPr>
              <w:t>Mobile facility rental cost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527</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11,337</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4,940</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49,073</w:t>
            </w:r>
          </w:p>
        </w:tc>
        <w:tc>
          <w:tcPr>
            <w:tcW w:w="0" w:type="dxa"/>
            <w:vAlign w:val="bottom"/>
          </w:tcPr>
          <w:p>
            <w:pPr>
              <w:spacing w:after="0"/>
              <w:rPr>
                <w:sz w:val="1"/>
                <w:szCs w:val="1"/>
                <w:color w:val="auto"/>
              </w:rPr>
            </w:pPr>
          </w:p>
        </w:tc>
      </w:tr>
      <w:tr>
        <w:trPr>
          <w:trHeight w:val="270"/>
        </w:trPr>
        <w:tc>
          <w:tcPr>
            <w:tcW w:w="3720" w:type="dxa"/>
            <w:vAlign w:val="bottom"/>
          </w:tcPr>
          <w:p>
            <w:pPr>
              <w:ind w:left="440"/>
              <w:spacing w:after="0"/>
              <w:rPr>
                <w:sz w:val="20"/>
                <w:szCs w:val="20"/>
                <w:color w:val="auto"/>
              </w:rPr>
            </w:pPr>
            <w:r>
              <w:rPr>
                <w:rFonts w:ascii="Arial" w:cs="Arial" w:eastAsia="Arial" w:hAnsi="Arial"/>
                <w:sz w:val="16"/>
                <w:szCs w:val="16"/>
                <w:color w:val="auto"/>
              </w:rPr>
              <w:t>Food and other services cost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6,362</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6,120</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27,201</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21,821</w:t>
            </w:r>
          </w:p>
        </w:tc>
        <w:tc>
          <w:tcPr>
            <w:tcW w:w="0" w:type="dxa"/>
            <w:vAlign w:val="bottom"/>
          </w:tcPr>
          <w:p>
            <w:pPr>
              <w:spacing w:after="0"/>
              <w:rPr>
                <w:sz w:val="1"/>
                <w:szCs w:val="1"/>
                <w:color w:val="auto"/>
              </w:rPr>
            </w:pPr>
          </w:p>
        </w:tc>
      </w:tr>
      <w:tr>
        <w:trPr>
          <w:trHeight w:val="270"/>
        </w:trPr>
        <w:tc>
          <w:tcPr>
            <w:tcW w:w="372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2,678</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2,637</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10,905</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10,330</w:t>
            </w:r>
          </w:p>
        </w:tc>
        <w:tc>
          <w:tcPr>
            <w:tcW w:w="0" w:type="dxa"/>
            <w:vAlign w:val="bottom"/>
          </w:tcPr>
          <w:p>
            <w:pPr>
              <w:spacing w:after="0"/>
              <w:rPr>
                <w:sz w:val="1"/>
                <w:szCs w:val="1"/>
                <w:color w:val="auto"/>
              </w:rPr>
            </w:pPr>
          </w:p>
        </w:tc>
      </w:tr>
      <w:tr>
        <w:trPr>
          <w:trHeight w:val="144"/>
        </w:trPr>
        <w:tc>
          <w:tcPr>
            <w:tcW w:w="3720" w:type="dxa"/>
            <w:vAlign w:val="bottom"/>
          </w:tcPr>
          <w:p>
            <w:pPr>
              <w:ind w:left="640"/>
              <w:spacing w:after="0" w:line="144" w:lineRule="exact"/>
              <w:rPr>
                <w:sz w:val="20"/>
                <w:szCs w:val="20"/>
                <w:color w:val="auto"/>
              </w:rPr>
            </w:pPr>
            <w:r>
              <w:rPr>
                <w:rFonts w:ascii="Arial" w:cs="Arial" w:eastAsia="Arial" w:hAnsi="Arial"/>
                <w:sz w:val="16"/>
                <w:szCs w:val="16"/>
                <w:color w:val="auto"/>
              </w:rPr>
              <w:t>Total Canadian cost of sales and</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40,977</w:t>
            </w:r>
          </w:p>
        </w:tc>
        <w:tc>
          <w:tcPr>
            <w:tcW w:w="180" w:type="dxa"/>
            <w:vAlign w:val="bottom"/>
          </w:tcPr>
          <w:p>
            <w:pPr>
              <w:spacing w:after="0"/>
              <w:rPr>
                <w:sz w:val="12"/>
                <w:szCs w:val="12"/>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ind w:right="19"/>
              <w:spacing w:after="0"/>
              <w:rPr>
                <w:sz w:val="20"/>
                <w:szCs w:val="20"/>
                <w:color w:val="auto"/>
              </w:rPr>
            </w:pPr>
            <w:r>
              <w:rPr>
                <w:rFonts w:ascii="Arial" w:cs="Arial" w:eastAsia="Arial" w:hAnsi="Arial"/>
                <w:sz w:val="16"/>
                <w:szCs w:val="16"/>
                <w:color w:val="auto"/>
              </w:rPr>
              <w:t>65,345</w:t>
            </w:r>
          </w:p>
        </w:tc>
        <w:tc>
          <w:tcPr>
            <w:tcW w:w="180" w:type="dxa"/>
            <w:vAlign w:val="bottom"/>
          </w:tcPr>
          <w:p>
            <w:pPr>
              <w:spacing w:after="0"/>
              <w:rPr>
                <w:sz w:val="12"/>
                <w:szCs w:val="12"/>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color w:val="auto"/>
              </w:rPr>
              <w:t>207,135</w:t>
            </w:r>
          </w:p>
        </w:tc>
        <w:tc>
          <w:tcPr>
            <w:tcW w:w="200" w:type="dxa"/>
            <w:vAlign w:val="bottom"/>
          </w:tcPr>
          <w:p>
            <w:pPr>
              <w:spacing w:after="0"/>
              <w:rPr>
                <w:sz w:val="12"/>
                <w:szCs w:val="12"/>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color w:val="auto"/>
              </w:rPr>
              <w:t>277,067</w:t>
            </w:r>
          </w:p>
        </w:tc>
        <w:tc>
          <w:tcPr>
            <w:tcW w:w="0" w:type="dxa"/>
            <w:vAlign w:val="bottom"/>
          </w:tcPr>
          <w:p>
            <w:pPr>
              <w:spacing w:after="0"/>
              <w:rPr>
                <w:sz w:val="1"/>
                <w:szCs w:val="1"/>
                <w:color w:val="auto"/>
              </w:rPr>
            </w:pPr>
          </w:p>
        </w:tc>
      </w:tr>
      <w:tr>
        <w:trPr>
          <w:trHeight w:val="215"/>
        </w:trPr>
        <w:tc>
          <w:tcPr>
            <w:tcW w:w="3720" w:type="dxa"/>
            <w:vAlign w:val="bottom"/>
          </w:tcPr>
          <w:p>
            <w:pPr>
              <w:ind w:left="640"/>
              <w:spacing w:after="0"/>
              <w:rPr>
                <w:sz w:val="20"/>
                <w:szCs w:val="20"/>
                <w:color w:val="auto"/>
              </w:rPr>
            </w:pPr>
            <w:r>
              <w:rPr>
                <w:rFonts w:ascii="Arial" w:cs="Arial" w:eastAsia="Arial" w:hAnsi="Arial"/>
                <w:sz w:val="16"/>
                <w:szCs w:val="16"/>
                <w:color w:val="auto"/>
              </w:rPr>
              <w:t>services</w:t>
            </w:r>
          </w:p>
        </w:tc>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372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94</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97</w:t>
            </w:r>
          </w:p>
        </w:tc>
        <w:tc>
          <w:tcPr>
            <w:tcW w:w="2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378"/>
        </w:trPr>
        <w:tc>
          <w:tcPr>
            <w:tcW w:w="3720" w:type="dxa"/>
            <w:vAlign w:val="bottom"/>
          </w:tcPr>
          <w:p>
            <w:pPr>
              <w:ind w:left="220"/>
              <w:spacing w:after="0"/>
              <w:rPr>
                <w:sz w:val="20"/>
                <w:szCs w:val="20"/>
                <w:color w:val="auto"/>
              </w:rPr>
            </w:pPr>
            <w:r>
              <w:rPr>
                <w:rFonts w:ascii="Arial" w:cs="Arial" w:eastAsia="Arial" w:hAnsi="Arial"/>
                <w:sz w:val="16"/>
                <w:szCs w:val="16"/>
                <w:color w:val="auto"/>
              </w:rPr>
              <w:t>Billed rooms (5)</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359,537</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617,325</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2,205,700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2,710,784</w:t>
            </w:r>
          </w:p>
        </w:tc>
        <w:tc>
          <w:tcPr>
            <w:tcW w:w="0" w:type="dxa"/>
            <w:vAlign w:val="bottom"/>
          </w:tcPr>
          <w:p>
            <w:pPr>
              <w:spacing w:after="0"/>
              <w:rPr>
                <w:sz w:val="1"/>
                <w:szCs w:val="1"/>
                <w:color w:val="auto"/>
              </w:rPr>
            </w:pPr>
          </w:p>
        </w:tc>
      </w:tr>
      <w:tr>
        <w:trPr>
          <w:trHeight w:val="378"/>
        </w:trPr>
        <w:tc>
          <w:tcPr>
            <w:tcW w:w="3720" w:type="dxa"/>
            <w:vAlign w:val="bottom"/>
          </w:tcPr>
          <w:p>
            <w:pPr>
              <w:ind w:left="220"/>
              <w:spacing w:after="0"/>
              <w:rPr>
                <w:sz w:val="20"/>
                <w:szCs w:val="20"/>
                <w:color w:val="auto"/>
              </w:rPr>
            </w:pPr>
            <w:r>
              <w:rPr>
                <w:rFonts w:ascii="Arial" w:cs="Arial" w:eastAsia="Arial" w:hAnsi="Arial"/>
                <w:sz w:val="16"/>
                <w:szCs w:val="16"/>
                <w:color w:val="auto"/>
              </w:rPr>
              <w:t>Canadian dollar to U.S. dollar</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0.715</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0.734</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0.730</w:t>
            </w:r>
          </w:p>
        </w:tc>
        <w:tc>
          <w:tcPr>
            <w:tcW w:w="2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0.741</w:t>
            </w:r>
          </w:p>
        </w:tc>
        <w:tc>
          <w:tcPr>
            <w:tcW w:w="0" w:type="dxa"/>
            <w:vAlign w:val="bottom"/>
          </w:tcPr>
          <w:p>
            <w:pPr>
              <w:spacing w:after="0"/>
              <w:rPr>
                <w:sz w:val="1"/>
                <w:szCs w:val="1"/>
                <w:color w:val="auto"/>
              </w:rPr>
            </w:pPr>
          </w:p>
        </w:tc>
      </w:tr>
    </w:tbl>
    <w:p>
      <w:pPr>
        <w:spacing w:after="0" w:line="312" w:lineRule="exact"/>
        <w:rPr>
          <w:sz w:val="20"/>
          <w:szCs w:val="20"/>
          <w:color w:val="auto"/>
        </w:rPr>
      </w:pPr>
    </w:p>
    <w:p>
      <w:pPr>
        <w:ind w:left="312" w:hanging="312"/>
        <w:spacing w:after="0"/>
        <w:tabs>
          <w:tab w:leader="none" w:pos="312"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revenues related to lodge and village rooms and hospitality services for owned rooms for the periods presented.</w:t>
      </w:r>
    </w:p>
    <w:p>
      <w:pPr>
        <w:spacing w:after="0" w:line="30" w:lineRule="exact"/>
        <w:rPr>
          <w:rFonts w:ascii="Arial" w:cs="Arial" w:eastAsia="Arial" w:hAnsi="Arial"/>
          <w:sz w:val="16"/>
          <w:szCs w:val="16"/>
          <w:color w:val="auto"/>
        </w:rPr>
      </w:pPr>
    </w:p>
    <w:p>
      <w:pPr>
        <w:ind w:left="312" w:hanging="312"/>
        <w:spacing w:after="0"/>
        <w:tabs>
          <w:tab w:leader="none" w:pos="312"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revenues related to mobile camps for the periods presented.</w:t>
      </w:r>
    </w:p>
    <w:p>
      <w:pPr>
        <w:spacing w:after="0" w:line="8" w:lineRule="exact"/>
        <w:rPr>
          <w:rFonts w:ascii="Arial" w:cs="Arial" w:eastAsia="Arial" w:hAnsi="Arial"/>
          <w:sz w:val="16"/>
          <w:szCs w:val="16"/>
          <w:color w:val="auto"/>
        </w:rPr>
      </w:pPr>
    </w:p>
    <w:p>
      <w:pPr>
        <w:ind w:left="312" w:hanging="312"/>
        <w:spacing w:after="0"/>
        <w:tabs>
          <w:tab w:leader="none" w:pos="312"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revenues related to food service, laundry and water and wastewater treatment services, and facilities management for the periods presented.</w:t>
      </w:r>
    </w:p>
    <w:p>
      <w:pPr>
        <w:spacing w:after="0" w:line="5" w:lineRule="exact"/>
        <w:rPr>
          <w:rFonts w:ascii="Arial" w:cs="Arial" w:eastAsia="Arial" w:hAnsi="Arial"/>
          <w:sz w:val="16"/>
          <w:szCs w:val="16"/>
          <w:color w:val="auto"/>
        </w:rPr>
      </w:pPr>
    </w:p>
    <w:p>
      <w:pPr>
        <w:ind w:left="312" w:hanging="312"/>
        <w:spacing w:after="0"/>
        <w:tabs>
          <w:tab w:leader="none" w:pos="312" w:val="left"/>
        </w:tabs>
        <w:numPr>
          <w:ilvl w:val="0"/>
          <w:numId w:val="4"/>
        </w:numPr>
        <w:rPr>
          <w:rFonts w:ascii="Arial" w:cs="Arial" w:eastAsia="Arial" w:hAnsi="Arial"/>
          <w:sz w:val="16"/>
          <w:szCs w:val="16"/>
          <w:color w:val="auto"/>
        </w:rPr>
      </w:pPr>
      <w:r>
        <w:rPr>
          <w:rFonts w:ascii="Arial" w:cs="Arial" w:eastAsia="Arial" w:hAnsi="Arial"/>
          <w:sz w:val="16"/>
          <w:szCs w:val="16"/>
          <w:color w:val="auto"/>
        </w:rPr>
        <w:t>Average daily rate is based on billed rooms and accommodation and other services revenue.</w:t>
      </w:r>
    </w:p>
    <w:p>
      <w:pPr>
        <w:spacing w:after="0" w:line="14" w:lineRule="exact"/>
        <w:rPr>
          <w:rFonts w:ascii="Arial" w:cs="Arial" w:eastAsia="Arial" w:hAnsi="Arial"/>
          <w:sz w:val="16"/>
          <w:szCs w:val="16"/>
          <w:color w:val="auto"/>
        </w:rPr>
      </w:pPr>
    </w:p>
    <w:p>
      <w:pPr>
        <w:ind w:left="312" w:hanging="312"/>
        <w:spacing w:after="0"/>
        <w:tabs>
          <w:tab w:leader="none" w:pos="312" w:val="left"/>
        </w:tabs>
        <w:numPr>
          <w:ilvl w:val="0"/>
          <w:numId w:val="4"/>
        </w:numPr>
        <w:rPr>
          <w:rFonts w:ascii="Arial" w:cs="Arial" w:eastAsia="Arial" w:hAnsi="Arial"/>
          <w:sz w:val="16"/>
          <w:szCs w:val="16"/>
          <w:color w:val="auto"/>
        </w:rPr>
      </w:pPr>
      <w:r>
        <w:rPr>
          <w:rFonts w:ascii="Arial" w:cs="Arial" w:eastAsia="Arial" w:hAnsi="Arial"/>
          <w:sz w:val="16"/>
          <w:szCs w:val="16"/>
          <w:color w:val="auto"/>
        </w:rPr>
        <w:t>Billed rooms represents total billed days for Civeo owned Canadian lodges and Australian villages for the periods presented.</w:t>
      </w:r>
    </w:p>
    <w:p>
      <w:pPr>
        <w:sectPr>
          <w:pgSz w:w="11900" w:h="16838" w:orient="portrait"/>
          <w:cols w:equalWidth="0" w:num="1">
            <w:col w:w="11052"/>
          </w:cols>
          <w:pgMar w:left="328" w:top="895" w:right="51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OPERATIONS BY SERVICE TYPE BY REGION DATA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 dollars 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27" w:lineRule="exact"/>
        <w:rPr>
          <w:sz w:val="20"/>
          <w:szCs w:val="20"/>
          <w:color w:val="auto"/>
        </w:rPr>
      </w:pPr>
    </w:p>
    <w:p>
      <w:pPr>
        <w:ind w:right="420"/>
        <w:spacing w:after="0" w:line="251" w:lineRule="auto"/>
        <w:rPr>
          <w:sz w:val="20"/>
          <w:szCs w:val="20"/>
          <w:color w:val="auto"/>
        </w:rPr>
      </w:pPr>
      <w:r>
        <w:rPr>
          <w:rFonts w:ascii="Arial" w:cs="Arial" w:eastAsia="Arial" w:hAnsi="Arial"/>
          <w:sz w:val="17"/>
          <w:szCs w:val="17"/>
          <w:color w:val="auto"/>
        </w:rPr>
        <w:t>The following table sets forth certain supplemental data for our Australia and Canada segment revenues attributable to the asset-light (“Catering and Facility Management”) portion of the Company’s business and the asset-intensive (“Accommodations and Infrastructure”)</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portion of the Company’s business. We provide Catering and Facility Management services to both customer-owned assets and Company-owned villages and lodges. When we provide Catering and Facility Management services to customer-owned assets, it is reflected in “Food and other services” in our Supplemental Quarterly Segment and Operating Data. However, when we provide those same services to customers at our owned villages and lodges, it is reflected in “Accommodation and other services”, which also includes the Accommodations and Infrastructure component of our owned villages and lodges. This is because we bill our customers in one combined rate for both Accommodations and Infrastructure services and Catering and Facility Management services at Company-owned villages and lodges.</w:t>
      </w:r>
    </w:p>
    <w:p>
      <w:pPr>
        <w:spacing w:after="0" w:line="199"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The purpose of the disclosure below is to disaggregate the embedded Catering and Facility Management revenues from the “Accommodation and other services” revenues associated with our owned villages and lodges that is included in our Supplemental Quarterly Segment and Operating Data. To do so, we apply a margin that is equal to Civeo’s margin in similar services we provide to customer-owned assets to the cost of sales that are associated with Catering and Facility Management services within “Accommodation and other services” for our owned villages and lodges. This table provides investors a supplemental view of the services provided by the Company which could assist with their valuation analysis.</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6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5"/>
          </w:tcPr>
          <w:p>
            <w:pPr>
              <w:jc w:val="right"/>
              <w:ind w:right="400"/>
              <w:spacing w:after="0"/>
              <w:rPr>
                <w:sz w:val="20"/>
                <w:szCs w:val="20"/>
                <w:color w:val="auto"/>
              </w:rPr>
            </w:pPr>
            <w:r>
              <w:rPr>
                <w:rFonts w:ascii="Arial" w:cs="Arial" w:eastAsia="Arial" w:hAnsi="Arial"/>
                <w:sz w:val="13"/>
                <w:szCs w:val="13"/>
                <w:b w:val="1"/>
                <w:bCs w:val="1"/>
                <w:color w:val="auto"/>
              </w:rPr>
              <w:t>Twelve Months Ended</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5"/>
              </w:rPr>
              <w:t>Twelve Months Ended</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ind w:left="200"/>
              <w:spacing w:after="0"/>
              <w:rPr>
                <w:sz w:val="20"/>
                <w:szCs w:val="20"/>
                <w:color w:val="auto"/>
              </w:rPr>
            </w:pPr>
            <w:r>
              <w:rPr>
                <w:rFonts w:ascii="Arial" w:cs="Arial" w:eastAsia="Arial" w:hAnsi="Arial"/>
                <w:sz w:val="13"/>
                <w:szCs w:val="13"/>
                <w:b w:val="1"/>
                <w:bCs w:val="1"/>
                <w:color w:val="auto"/>
              </w:rPr>
              <w:t>December 31, 2024</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3"/>
                <w:szCs w:val="13"/>
                <w:b w:val="1"/>
                <w:bCs w:val="1"/>
                <w:color w:val="auto"/>
                <w:w w:val="97"/>
              </w:rPr>
              <w:t>December 31, 2023</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Australia</w:t>
            </w:r>
          </w:p>
        </w:tc>
        <w:tc>
          <w:tcPr>
            <w:tcW w:w="1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b w:val="1"/>
                <w:bCs w:val="1"/>
                <w:color w:val="auto"/>
              </w:rPr>
              <w:t>Canada</w:t>
            </w:r>
          </w:p>
        </w:tc>
        <w:tc>
          <w:tcPr>
            <w:tcW w:w="18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4"/>
                <w:szCs w:val="14"/>
                <w:color w:val="auto"/>
              </w:rPr>
            </w:pPr>
          </w:p>
        </w:tc>
        <w:tc>
          <w:tcPr>
            <w:tcW w:w="680" w:type="dxa"/>
            <w:vAlign w:val="bottom"/>
          </w:tcPr>
          <w:p>
            <w:pPr>
              <w:ind w:left="120"/>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Australia</w:t>
            </w:r>
          </w:p>
        </w:tc>
        <w:tc>
          <w:tcPr>
            <w:tcW w:w="14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3"/>
                <w:szCs w:val="13"/>
                <w:b w:val="1"/>
                <w:bCs w:val="1"/>
                <w:color w:val="auto"/>
              </w:rPr>
              <w:t>Canada</w:t>
            </w:r>
          </w:p>
        </w:tc>
        <w:tc>
          <w:tcPr>
            <w:tcW w:w="18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4"/>
                <w:szCs w:val="14"/>
                <w:color w:val="auto"/>
              </w:rPr>
            </w:pPr>
          </w:p>
        </w:tc>
        <w:tc>
          <w:tcPr>
            <w:tcW w:w="680" w:type="dxa"/>
            <w:vAlign w:val="bottom"/>
          </w:tcPr>
          <w:p>
            <w:pPr>
              <w:ind w:lef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19"/>
        </w:trPr>
        <w:tc>
          <w:tcPr>
            <w:tcW w:w="35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Revenues</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312,993</w:t>
            </w:r>
          </w:p>
        </w:tc>
        <w:tc>
          <w:tcPr>
            <w:tcW w:w="16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vMerge w:val="restart"/>
          </w:tcPr>
          <w:p>
            <w:pPr>
              <w:ind w:left="140"/>
              <w:spacing w:after="0"/>
              <w:rPr>
                <w:sz w:val="20"/>
                <w:szCs w:val="20"/>
                <w:color w:val="auto"/>
              </w:rPr>
            </w:pPr>
            <w:r>
              <w:rPr>
                <w:rFonts w:ascii="Arial" w:cs="Arial" w:eastAsia="Arial" w:hAnsi="Arial"/>
                <w:sz w:val="13"/>
                <w:szCs w:val="13"/>
                <w:color w:val="auto"/>
              </w:rPr>
              <w:t>146,469</w:t>
            </w:r>
          </w:p>
        </w:tc>
        <w:tc>
          <w:tcPr>
            <w:tcW w:w="140" w:type="dxa"/>
            <w:vAlign w:val="bottom"/>
          </w:tcPr>
          <w:p>
            <w:pPr>
              <w:spacing w:after="0"/>
              <w:rPr>
                <w:sz w:val="10"/>
                <w:szCs w:val="10"/>
                <w:color w:val="auto"/>
              </w:rPr>
            </w:pPr>
          </w:p>
        </w:tc>
        <w:tc>
          <w:tcPr>
            <w:tcW w:w="18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2,407</w:t>
            </w:r>
          </w:p>
        </w:tc>
        <w:tc>
          <w:tcPr>
            <w:tcW w:w="16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vMerge w:val="restart"/>
          </w:tcPr>
          <w:p>
            <w:pPr>
              <w:ind w:left="120"/>
              <w:spacing w:after="0"/>
              <w:rPr>
                <w:sz w:val="20"/>
                <w:szCs w:val="20"/>
                <w:color w:val="auto"/>
              </w:rPr>
            </w:pPr>
            <w:r>
              <w:rPr>
                <w:rFonts w:ascii="Arial" w:cs="Arial" w:eastAsia="Arial" w:hAnsi="Arial"/>
                <w:sz w:val="13"/>
                <w:szCs w:val="13"/>
                <w:color w:val="auto"/>
              </w:rPr>
              <w:t>461,869</w:t>
            </w:r>
          </w:p>
        </w:tc>
        <w:tc>
          <w:tcPr>
            <w:tcW w:w="20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232,730</w:t>
            </w:r>
          </w:p>
        </w:tc>
        <w:tc>
          <w:tcPr>
            <w:tcW w:w="16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162,589</w:t>
            </w:r>
          </w:p>
        </w:tc>
        <w:tc>
          <w:tcPr>
            <w:tcW w:w="140" w:type="dxa"/>
            <w:vAlign w:val="bottom"/>
          </w:tcPr>
          <w:p>
            <w:pPr>
              <w:spacing w:after="0"/>
              <w:rPr>
                <w:sz w:val="10"/>
                <w:szCs w:val="10"/>
                <w:color w:val="auto"/>
              </w:rPr>
            </w:pPr>
          </w:p>
        </w:tc>
        <w:tc>
          <w:tcPr>
            <w:tcW w:w="18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3,044</w:t>
            </w:r>
          </w:p>
        </w:tc>
        <w:tc>
          <w:tcPr>
            <w:tcW w:w="12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vMerge w:val="restart"/>
          </w:tcPr>
          <w:p>
            <w:pPr>
              <w:ind w:left="120"/>
              <w:spacing w:after="0"/>
              <w:rPr>
                <w:sz w:val="20"/>
                <w:szCs w:val="20"/>
                <w:color w:val="auto"/>
              </w:rPr>
            </w:pPr>
            <w:r>
              <w:rPr>
                <w:rFonts w:ascii="Arial" w:cs="Arial" w:eastAsia="Arial" w:hAnsi="Arial"/>
                <w:sz w:val="13"/>
                <w:szCs w:val="13"/>
                <w:color w:val="auto"/>
              </w:rPr>
              <w:t>398,363</w:t>
            </w: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580" w:type="dxa"/>
            <w:vAlign w:val="bottom"/>
            <w:gridSpan w:val="2"/>
          </w:tcPr>
          <w:p>
            <w:pPr>
              <w:spacing w:after="0"/>
              <w:rPr>
                <w:sz w:val="20"/>
                <w:szCs w:val="20"/>
                <w:color w:val="auto"/>
              </w:rPr>
            </w:pPr>
            <w:r>
              <w:rPr>
                <w:rFonts w:ascii="Arial" w:cs="Arial" w:eastAsia="Arial" w:hAnsi="Arial"/>
                <w:sz w:val="13"/>
                <w:szCs w:val="13"/>
                <w:color w:val="auto"/>
              </w:rPr>
              <w:t>Asset Light: Catering and Facility management</w:t>
            </w:r>
          </w:p>
        </w:tc>
        <w:tc>
          <w:tcPr>
            <w:tcW w:w="12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80" w:type="dxa"/>
            <w:vAlign w:val="bottom"/>
            <w:gridSpan w:val="2"/>
          </w:tcPr>
          <w:p>
            <w:pPr>
              <w:spacing w:after="0"/>
              <w:rPr>
                <w:sz w:val="20"/>
                <w:szCs w:val="20"/>
                <w:color w:val="auto"/>
              </w:rPr>
            </w:pPr>
            <w:r>
              <w:rPr>
                <w:rFonts w:ascii="Arial" w:cs="Arial" w:eastAsia="Arial" w:hAnsi="Arial"/>
                <w:sz w:val="13"/>
                <w:szCs w:val="13"/>
                <w:color w:val="auto"/>
              </w:rPr>
              <w:t>Asset Intensive: Accommodations and Infrastructure</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113,963</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98,618</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7,672</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220,253</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104,033</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190,206</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8,203</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302,442</w:t>
            </w:r>
          </w:p>
        </w:tc>
        <w:tc>
          <w:tcPr>
            <w:tcW w:w="0" w:type="dxa"/>
            <w:vAlign w:val="bottom"/>
          </w:tcPr>
          <w:p>
            <w:pPr>
              <w:spacing w:after="0"/>
              <w:rPr>
                <w:sz w:val="1"/>
                <w:szCs w:val="1"/>
                <w:color w:val="auto"/>
              </w:rPr>
            </w:pPr>
          </w:p>
        </w:tc>
      </w:tr>
      <w:tr>
        <w:trPr>
          <w:trHeight w:val="176"/>
        </w:trPr>
        <w:tc>
          <w:tcPr>
            <w:tcW w:w="3580" w:type="dxa"/>
            <w:vAlign w:val="bottom"/>
            <w:gridSpan w:val="2"/>
          </w:tcPr>
          <w:p>
            <w:pPr>
              <w:spacing w:after="0"/>
              <w:rPr>
                <w:sz w:val="20"/>
                <w:szCs w:val="20"/>
                <w:color w:val="auto"/>
              </w:rPr>
            </w:pPr>
            <w:r>
              <w:rPr>
                <w:rFonts w:ascii="Arial" w:cs="Arial" w:eastAsia="Arial" w:hAnsi="Arial"/>
                <w:sz w:val="13"/>
                <w:szCs w:val="13"/>
                <w:color w:val="auto"/>
              </w:rPr>
              <w:t>Total revenues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426,956</w:t>
            </w:r>
          </w:p>
        </w:tc>
        <w:tc>
          <w:tcPr>
            <w:tcW w:w="1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ind w:left="140"/>
              <w:spacing w:after="0"/>
              <w:rPr>
                <w:sz w:val="20"/>
                <w:szCs w:val="20"/>
                <w:color w:val="auto"/>
              </w:rPr>
            </w:pPr>
            <w:r>
              <w:rPr>
                <w:rFonts w:ascii="Arial" w:cs="Arial" w:eastAsia="Arial" w:hAnsi="Arial"/>
                <w:sz w:val="13"/>
                <w:szCs w:val="13"/>
                <w:color w:val="auto"/>
              </w:rPr>
              <w:t>245,087</w:t>
            </w:r>
          </w:p>
        </w:tc>
        <w:tc>
          <w:tcPr>
            <w:tcW w:w="140" w:type="dxa"/>
            <w:vAlign w:val="bottom"/>
          </w:tcPr>
          <w:p>
            <w:pPr>
              <w:spacing w:after="0"/>
              <w:rPr>
                <w:sz w:val="15"/>
                <w:szCs w:val="15"/>
                <w:color w:val="auto"/>
              </w:rPr>
            </w:pP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10,079</w:t>
            </w:r>
          </w:p>
        </w:tc>
        <w:tc>
          <w:tcPr>
            <w:tcW w:w="1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ind w:left="120"/>
              <w:spacing w:after="0"/>
              <w:rPr>
                <w:sz w:val="20"/>
                <w:szCs w:val="20"/>
                <w:color w:val="auto"/>
              </w:rPr>
            </w:pPr>
            <w:r>
              <w:rPr>
                <w:rFonts w:ascii="Arial" w:cs="Arial" w:eastAsia="Arial" w:hAnsi="Arial"/>
                <w:sz w:val="13"/>
                <w:szCs w:val="13"/>
                <w:color w:val="auto"/>
              </w:rPr>
              <w:t>682,122</w:t>
            </w:r>
          </w:p>
        </w:tc>
        <w:tc>
          <w:tcPr>
            <w:tcW w:w="2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336,763</w:t>
            </w:r>
          </w:p>
        </w:tc>
        <w:tc>
          <w:tcPr>
            <w:tcW w:w="1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352,795</w:t>
            </w:r>
          </w:p>
        </w:tc>
        <w:tc>
          <w:tcPr>
            <w:tcW w:w="140" w:type="dxa"/>
            <w:vAlign w:val="bottom"/>
          </w:tcPr>
          <w:p>
            <w:pPr>
              <w:spacing w:after="0"/>
              <w:rPr>
                <w:sz w:val="15"/>
                <w:szCs w:val="15"/>
                <w:color w:val="auto"/>
              </w:rPr>
            </w:pP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11,247</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ind w:left="120"/>
              <w:spacing w:after="0"/>
              <w:rPr>
                <w:sz w:val="20"/>
                <w:szCs w:val="20"/>
                <w:color w:val="auto"/>
              </w:rPr>
            </w:pPr>
            <w:r>
              <w:rPr>
                <w:rFonts w:ascii="Arial" w:cs="Arial" w:eastAsia="Arial" w:hAnsi="Arial"/>
                <w:sz w:val="13"/>
                <w:szCs w:val="13"/>
                <w:color w:val="auto"/>
              </w:rPr>
              <w:t>700,805</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5" w:right="339" w:bottom="1440" w:gutter="0" w:footer="0" w:header="0"/>
        </w:sectPr>
      </w:pPr>
    </w:p>
    <w:bookmarkStart w:id="14" w:name="page15"/>
    <w:bookmarkEnd w:id="14"/>
    <w:p>
      <w:pPr>
        <w:jc w:val="center"/>
        <w:ind w:right="-11"/>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NON-GAAP RECONCILIATIONS</w:t>
      </w:r>
    </w:p>
    <w:p>
      <w:pPr>
        <w:spacing w:after="0" w:line="19"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(unaudited)</w:t>
      </w:r>
    </w:p>
    <w:p>
      <w:pPr>
        <w:spacing w:after="0" w:line="265" w:lineRule="exact"/>
        <w:rPr>
          <w:sz w:val="20"/>
          <w:szCs w:val="20"/>
          <w:color w:val="auto"/>
        </w:rPr>
      </w:pPr>
    </w:p>
    <w:tbl>
      <w:tblPr>
        <w:tblLayout w:type="fixed"/>
        <w:tblInd w:w="2332" w:type="dxa"/>
        <w:tblCellMar>
          <w:top w:w="0" w:type="dxa"/>
          <w:left w:w="0" w:type="dxa"/>
          <w:bottom w:w="0" w:type="dxa"/>
          <w:right w:w="0" w:type="dxa"/>
        </w:tblCellMar>
      </w:tblPr>
      <w:tr>
        <w:trPr>
          <w:trHeight w:val="184"/>
        </w:trPr>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210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20" w:type="dxa"/>
            <w:vAlign w:val="bottom"/>
            <w:gridSpan w:val="5"/>
          </w:tcPr>
          <w:p>
            <w:pPr>
              <w:ind w:left="400"/>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9"/>
                <w:szCs w:val="19"/>
                <w:color w:val="auto"/>
              </w:rPr>
            </w:pPr>
          </w:p>
        </w:tc>
        <w:tc>
          <w:tcPr>
            <w:tcW w:w="210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63"/>
        </w:trPr>
        <w:tc>
          <w:tcPr>
            <w:tcW w:w="18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518"/>
        </w:trPr>
        <w:tc>
          <w:tcPr>
            <w:tcW w:w="1820" w:type="dxa"/>
            <w:vAlign w:val="bottom"/>
          </w:tcPr>
          <w:p>
            <w:pPr>
              <w:spacing w:after="0"/>
              <w:rPr>
                <w:sz w:val="20"/>
                <w:szCs w:val="20"/>
                <w:color w:val="auto"/>
              </w:rPr>
            </w:pPr>
            <w:r>
              <w:rPr>
                <w:rFonts w:ascii="Arial" w:cs="Arial" w:eastAsia="Arial" w:hAnsi="Arial"/>
                <w:sz w:val="16"/>
                <w:szCs w:val="16"/>
                <w:color w:val="auto"/>
              </w:rPr>
              <w:t>EBITDA (1)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6,637</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49,132</w:t>
            </w:r>
          </w:p>
        </w:tc>
        <w:tc>
          <w:tcPr>
            <w:tcW w:w="16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71,249</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128,937</w:t>
            </w: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6"/>
                <w:szCs w:val="16"/>
                <w:color w:val="auto"/>
              </w:rPr>
              <w:t>Adjusted EBITDA (1)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11,440</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18,524</w:t>
            </w:r>
          </w:p>
        </w:tc>
        <w:tc>
          <w:tcPr>
            <w:tcW w:w="16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79,937</w:t>
            </w:r>
          </w:p>
        </w:tc>
        <w:tc>
          <w:tcPr>
            <w:tcW w:w="18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106,494</w:t>
            </w: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6"/>
                <w:szCs w:val="16"/>
                <w:color w:val="auto"/>
              </w:rPr>
              <w:t>Free Cash Flow (2)</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2,074</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39,188</w:t>
            </w:r>
          </w:p>
        </w:tc>
        <w:tc>
          <w:tcPr>
            <w:tcW w:w="16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68,383</w:t>
            </w:r>
          </w:p>
        </w:tc>
        <w:tc>
          <w:tcPr>
            <w:tcW w:w="18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81,672</w:t>
            </w:r>
          </w:p>
        </w:tc>
        <w:tc>
          <w:tcPr>
            <w:tcW w:w="0" w:type="dxa"/>
            <w:vAlign w:val="bottom"/>
          </w:tcPr>
          <w:p>
            <w:pPr>
              <w:spacing w:after="0"/>
              <w:rPr>
                <w:sz w:val="1"/>
                <w:szCs w:val="1"/>
                <w:color w:val="auto"/>
              </w:rPr>
            </w:pPr>
          </w:p>
        </w:tc>
      </w:tr>
      <w:tr>
        <w:trPr>
          <w:trHeight w:val="164"/>
        </w:trPr>
        <w:tc>
          <w:tcPr>
            <w:tcW w:w="1820" w:type="dxa"/>
            <w:vAlign w:val="bottom"/>
          </w:tcPr>
          <w:p>
            <w:pPr>
              <w:spacing w:after="0" w:line="164" w:lineRule="exact"/>
              <w:rPr>
                <w:sz w:val="20"/>
                <w:szCs w:val="20"/>
                <w:color w:val="auto"/>
              </w:rPr>
            </w:pPr>
            <w:r>
              <w:rPr>
                <w:rFonts w:ascii="Arial" w:cs="Arial" w:eastAsia="Arial" w:hAnsi="Arial"/>
                <w:sz w:val="16"/>
                <w:szCs w:val="16"/>
                <w:color w:val="auto"/>
              </w:rPr>
              <w:t>Net Leverage Ratio</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restart"/>
          </w:tcPr>
          <w:p>
            <w:pPr>
              <w:ind w:left="520"/>
              <w:spacing w:after="0"/>
              <w:rPr>
                <w:sz w:val="20"/>
                <w:szCs w:val="20"/>
                <w:color w:val="auto"/>
              </w:rPr>
            </w:pPr>
            <w:r>
              <w:rPr>
                <w:rFonts w:ascii="Arial" w:cs="Arial" w:eastAsia="Arial" w:hAnsi="Arial"/>
                <w:sz w:val="16"/>
                <w:szCs w:val="16"/>
                <w:color w:val="auto"/>
              </w:rPr>
              <w:t>0.5x</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820" w:type="dxa"/>
            <w:vAlign w:val="bottom"/>
          </w:tcPr>
          <w:p>
            <w:pPr>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32" w:right="2260" w:hanging="332"/>
        <w:spacing w:after="0" w:line="265" w:lineRule="auto"/>
        <w:tabs>
          <w:tab w:leader="none" w:pos="327"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term EBITDA is a non-GAAP financial measure that is defined as net income (loss) attributable to Civeo Corporation plus interest, taxes, depreciation and amortization. The term Adjusted EBITDA is a non-GAAP financial measure that is</w:t>
      </w:r>
    </w:p>
    <w:p>
      <w:pPr>
        <w:spacing w:after="0" w:line="1" w:lineRule="exact"/>
        <w:rPr>
          <w:rFonts w:ascii="Arial" w:cs="Arial" w:eastAsia="Arial" w:hAnsi="Arial"/>
          <w:sz w:val="16"/>
          <w:szCs w:val="16"/>
          <w:color w:val="auto"/>
        </w:rPr>
      </w:pPr>
    </w:p>
    <w:p>
      <w:pPr>
        <w:ind w:left="332" w:right="80"/>
        <w:spacing w:after="0" w:line="255" w:lineRule="auto"/>
        <w:rPr>
          <w:rFonts w:ascii="Arial" w:cs="Arial" w:eastAsia="Arial" w:hAnsi="Arial"/>
          <w:sz w:val="16"/>
          <w:szCs w:val="16"/>
          <w:color w:val="auto"/>
        </w:rPr>
      </w:pPr>
      <w:r>
        <w:rPr>
          <w:rFonts w:ascii="Arial" w:cs="Arial" w:eastAsia="Arial" w:hAnsi="Arial"/>
          <w:sz w:val="16"/>
          <w:szCs w:val="16"/>
          <w:color w:val="auto"/>
        </w:rPr>
        <w:t>defined as EBITDA adjusted to exclude certain other unusual or non-operating items.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Civeo has included EBITDA and Adjusted EBITDA as supplemental disclosures because its management believes that EBITDA and Adjusted EBITDA provide useful information regarding its ability to service debt and to fund capital expenditures and provide investors a helpful measure for comparing Civeo's operating performance with the performance of other companies that have different financing and capital structures or tax rates. Civeo uses EBITDA and Adjusted EBITDA to compare and to monitor the performance of its business segments to other comparable public companies and as a benchmark for the award of incentive compensation under Civeo's annual incentive compensation plan.</w:t>
      </w:r>
    </w:p>
    <w:p>
      <w:pPr>
        <w:spacing w:after="0" w:line="222" w:lineRule="exact"/>
        <w:rPr>
          <w:rFonts w:ascii="Arial" w:cs="Arial" w:eastAsia="Arial" w:hAnsi="Arial"/>
          <w:sz w:val="16"/>
          <w:szCs w:val="16"/>
          <w:color w:val="auto"/>
        </w:rPr>
      </w:pPr>
    </w:p>
    <w:p>
      <w:pPr>
        <w:ind w:left="332" w:right="100"/>
        <w:spacing w:after="0" w:line="286"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EBITDA and Adjusted EBITDA to net income (loss) attributable to Civeo Corporation, which is the most directly comparable measure of financial performance calculated under generally accepted accounting principles (in thousands) (unaudited):</w:t>
      </w:r>
    </w:p>
    <w:p>
      <w:pPr>
        <w:spacing w:after="0" w:line="200" w:lineRule="exact"/>
        <w:rPr>
          <w:sz w:val="20"/>
          <w:szCs w:val="20"/>
          <w:color w:val="auto"/>
        </w:rPr>
      </w:pPr>
    </w:p>
    <w:p>
      <w:pPr>
        <w:spacing w:after="0" w:line="204" w:lineRule="exact"/>
        <w:rPr>
          <w:sz w:val="20"/>
          <w:szCs w:val="20"/>
          <w:color w:val="auto"/>
        </w:rPr>
      </w:pPr>
    </w:p>
    <w:tbl>
      <w:tblPr>
        <w:tblLayout w:type="fixed"/>
        <w:tblInd w:w="1772"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208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9"/>
                <w:szCs w:val="19"/>
                <w:color w:val="auto"/>
              </w:rPr>
            </w:pPr>
          </w:p>
        </w:tc>
        <w:tc>
          <w:tcPr>
            <w:tcW w:w="208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63"/>
        </w:trPr>
        <w:tc>
          <w:tcPr>
            <w:tcW w:w="30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453"/>
        </w:trPr>
        <w:tc>
          <w:tcPr>
            <w:tcW w:w="3000" w:type="dxa"/>
            <w:vAlign w:val="bottom"/>
          </w:tcPr>
          <w:p>
            <w:pPr>
              <w:spacing w:after="0"/>
              <w:rPr>
                <w:sz w:val="20"/>
                <w:szCs w:val="20"/>
                <w:color w:val="auto"/>
              </w:rPr>
            </w:pPr>
            <w:r>
              <w:rPr>
                <w:rFonts w:ascii="Arial" w:cs="Arial" w:eastAsia="Arial" w:hAnsi="Arial"/>
                <w:sz w:val="16"/>
                <w:szCs w:val="16"/>
                <w:color w:val="auto"/>
              </w:rPr>
              <w:t>Net income (loss) attributable to Civeo</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(15,070)</w:t>
            </w:r>
          </w:p>
        </w:tc>
        <w:tc>
          <w:tcPr>
            <w:tcW w:w="160" w:type="dxa"/>
            <w:vAlign w:val="bottom"/>
          </w:tcPr>
          <w:p>
            <w:pPr>
              <w:spacing w:after="0"/>
              <w:rPr>
                <w:sz w:val="24"/>
                <w:szCs w:val="24"/>
                <w:color w:val="auto"/>
              </w:rPr>
            </w:pP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19"/>
              <w:spacing w:after="0"/>
              <w:rPr>
                <w:sz w:val="20"/>
                <w:szCs w:val="20"/>
                <w:color w:val="auto"/>
              </w:rPr>
            </w:pPr>
            <w:r>
              <w:rPr>
                <w:rFonts w:ascii="Arial" w:cs="Arial" w:eastAsia="Arial" w:hAnsi="Arial"/>
                <w:sz w:val="16"/>
                <w:szCs w:val="16"/>
                <w:color w:val="auto"/>
              </w:rPr>
              <w:t>23,025</w:t>
            </w:r>
          </w:p>
        </w:tc>
        <w:tc>
          <w:tcPr>
            <w:tcW w:w="160" w:type="dxa"/>
            <w:vAlign w:val="bottom"/>
          </w:tcPr>
          <w:p>
            <w:pPr>
              <w:spacing w:after="0"/>
              <w:rPr>
                <w:sz w:val="24"/>
                <w:szCs w:val="24"/>
                <w:color w:val="auto"/>
              </w:rPr>
            </w:pP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(17,067)</w:t>
            </w:r>
          </w:p>
        </w:tc>
        <w:tc>
          <w:tcPr>
            <w:tcW w:w="180" w:type="dxa"/>
            <w:vAlign w:val="bottom"/>
          </w:tcPr>
          <w:p>
            <w:pPr>
              <w:spacing w:after="0"/>
              <w:rPr>
                <w:sz w:val="24"/>
                <w:szCs w:val="2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30,157</w:t>
            </w:r>
          </w:p>
        </w:tc>
        <w:tc>
          <w:tcPr>
            <w:tcW w:w="0" w:type="dxa"/>
            <w:vAlign w:val="bottom"/>
          </w:tcPr>
          <w:p>
            <w:pPr>
              <w:spacing w:after="0"/>
              <w:rPr>
                <w:sz w:val="1"/>
                <w:szCs w:val="1"/>
                <w:color w:val="auto"/>
              </w:rPr>
            </w:pPr>
          </w:p>
        </w:tc>
      </w:tr>
      <w:tr>
        <w:trPr>
          <w:trHeight w:val="215"/>
        </w:trPr>
        <w:tc>
          <w:tcPr>
            <w:tcW w:w="3000" w:type="dxa"/>
            <w:vAlign w:val="bottom"/>
          </w:tcPr>
          <w:p>
            <w:pPr>
              <w:spacing w:after="0"/>
              <w:rPr>
                <w:sz w:val="20"/>
                <w:szCs w:val="20"/>
                <w:color w:val="auto"/>
              </w:rPr>
            </w:pPr>
            <w:r>
              <w:rPr>
                <w:rFonts w:ascii="Arial" w:cs="Arial" w:eastAsia="Arial" w:hAnsi="Arial"/>
                <w:sz w:val="16"/>
                <w:szCs w:val="16"/>
                <w:color w:val="auto"/>
              </w:rPr>
              <w:t>Corporation</w:t>
            </w:r>
          </w:p>
        </w:tc>
        <w:tc>
          <w:tcPr>
            <w:tcW w:w="2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3000" w:type="dxa"/>
            <w:vAlign w:val="bottom"/>
          </w:tcPr>
          <w:p>
            <w:pPr>
              <w:spacing w:after="0"/>
              <w:rPr>
                <w:sz w:val="20"/>
                <w:szCs w:val="20"/>
                <w:color w:val="auto"/>
              </w:rPr>
            </w:pPr>
            <w:r>
              <w:rPr>
                <w:rFonts w:ascii="Arial" w:cs="Arial" w:eastAsia="Arial" w:hAnsi="Arial"/>
                <w:sz w:val="16"/>
                <w:szCs w:val="16"/>
                <w:color w:val="auto"/>
              </w:rPr>
              <w:t>Income tax provision (benefit)</w:t>
            </w:r>
          </w:p>
        </w:tc>
        <w:tc>
          <w:tcPr>
            <w:tcW w:w="20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3,293</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7,736</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12,492</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10,633</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16,769</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15,865</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68,038</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75,142</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(187)</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71"/>
        </w:trPr>
        <w:tc>
          <w:tcPr>
            <w:tcW w:w="3000" w:type="dxa"/>
            <w:vAlign w:val="bottom"/>
          </w:tcPr>
          <w:p>
            <w:pPr>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1,685</w:t>
            </w:r>
          </w:p>
        </w:tc>
        <w:tc>
          <w:tcPr>
            <w:tcW w:w="1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2,552</w:t>
            </w:r>
          </w:p>
        </w:tc>
        <w:tc>
          <w:tcPr>
            <w:tcW w:w="1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7,973</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13,177</w:t>
            </w:r>
          </w:p>
        </w:tc>
        <w:tc>
          <w:tcPr>
            <w:tcW w:w="0" w:type="dxa"/>
            <w:vAlign w:val="bottom"/>
          </w:tcPr>
          <w:p>
            <w:pPr>
              <w:spacing w:after="0"/>
              <w:rPr>
                <w:sz w:val="1"/>
                <w:szCs w:val="1"/>
                <w:color w:val="auto"/>
              </w:rPr>
            </w:pPr>
          </w:p>
        </w:tc>
      </w:tr>
      <w:tr>
        <w:trPr>
          <w:trHeight w:val="249"/>
        </w:trPr>
        <w:tc>
          <w:tcPr>
            <w:tcW w:w="3000" w:type="dxa"/>
            <w:vAlign w:val="bottom"/>
          </w:tcPr>
          <w:p>
            <w:pPr>
              <w:ind w:left="220"/>
              <w:spacing w:after="0"/>
              <w:rPr>
                <w:sz w:val="20"/>
                <w:szCs w:val="20"/>
                <w:color w:val="auto"/>
              </w:rPr>
            </w:pPr>
            <w:r>
              <w:rPr>
                <w:rFonts w:ascii="Arial" w:cs="Arial" w:eastAsia="Arial" w:hAnsi="Arial"/>
                <w:sz w:val="16"/>
                <w:szCs w:val="16"/>
                <w:color w:val="auto"/>
              </w:rPr>
              <w:t>EBITDA</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6,637</w:t>
            </w:r>
          </w:p>
        </w:tc>
        <w:tc>
          <w:tcPr>
            <w:tcW w:w="16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49,132</w:t>
            </w:r>
          </w:p>
        </w:tc>
        <w:tc>
          <w:tcPr>
            <w:tcW w:w="16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71,249</w:t>
            </w:r>
          </w:p>
        </w:tc>
        <w:tc>
          <w:tcPr>
            <w:tcW w:w="18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128,937</w:t>
            </w:r>
          </w:p>
        </w:tc>
        <w:tc>
          <w:tcPr>
            <w:tcW w:w="0" w:type="dxa"/>
            <w:vAlign w:val="bottom"/>
          </w:tcPr>
          <w:p>
            <w:pPr>
              <w:spacing w:after="0"/>
              <w:rPr>
                <w:sz w:val="1"/>
                <w:szCs w:val="1"/>
                <w:color w:val="auto"/>
              </w:rPr>
            </w:pPr>
          </w:p>
        </w:tc>
      </w:tr>
      <w:tr>
        <w:trPr>
          <w:trHeight w:val="250"/>
        </w:trPr>
        <w:tc>
          <w:tcPr>
            <w:tcW w:w="3000" w:type="dxa"/>
            <w:vAlign w:val="bottom"/>
          </w:tcPr>
          <w:p>
            <w:pPr>
              <w:spacing w:after="0"/>
              <w:rPr>
                <w:sz w:val="20"/>
                <w:szCs w:val="20"/>
                <w:color w:val="auto"/>
              </w:rPr>
            </w:pPr>
            <w:r>
              <w:rPr>
                <w:rFonts w:ascii="Arial" w:cs="Arial" w:eastAsia="Arial" w:hAnsi="Arial"/>
                <w:sz w:val="16"/>
                <w:szCs w:val="16"/>
                <w:color w:val="auto"/>
              </w:rPr>
              <w:t>Adjustments to EBITDA</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000" w:type="dxa"/>
            <w:vAlign w:val="bottom"/>
          </w:tcPr>
          <w:p>
            <w:pPr>
              <w:ind w:left="220"/>
              <w:spacing w:after="0"/>
              <w:rPr>
                <w:sz w:val="20"/>
                <w:szCs w:val="20"/>
                <w:color w:val="auto"/>
              </w:rPr>
            </w:pPr>
            <w:r>
              <w:rPr>
                <w:rFonts w:ascii="Arial" w:cs="Arial" w:eastAsia="Arial" w:hAnsi="Arial"/>
                <w:sz w:val="16"/>
                <w:szCs w:val="16"/>
                <w:color w:val="auto"/>
              </w:rPr>
              <w:t>Impairment of long-lived assets (a)</w:t>
            </w:r>
          </w:p>
        </w:tc>
        <w:tc>
          <w:tcPr>
            <w:tcW w:w="20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3,758</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1,395</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11,581</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1,395</w:t>
            </w:r>
          </w:p>
        </w:tc>
        <w:tc>
          <w:tcPr>
            <w:tcW w:w="0" w:type="dxa"/>
            <w:vAlign w:val="bottom"/>
          </w:tcPr>
          <w:p>
            <w:pPr>
              <w:spacing w:after="0"/>
              <w:rPr>
                <w:sz w:val="1"/>
                <w:szCs w:val="1"/>
                <w:color w:val="auto"/>
              </w:rPr>
            </w:pPr>
          </w:p>
        </w:tc>
      </w:tr>
      <w:tr>
        <w:trPr>
          <w:trHeight w:val="164"/>
        </w:trPr>
        <w:tc>
          <w:tcPr>
            <w:tcW w:w="3000" w:type="dxa"/>
            <w:vAlign w:val="bottom"/>
          </w:tcPr>
          <w:p>
            <w:pPr>
              <w:ind w:left="220"/>
              <w:spacing w:after="0" w:line="164" w:lineRule="exact"/>
              <w:rPr>
                <w:sz w:val="20"/>
                <w:szCs w:val="20"/>
                <w:color w:val="auto"/>
              </w:rPr>
            </w:pPr>
            <w:r>
              <w:rPr>
                <w:rFonts w:ascii="Arial" w:cs="Arial" w:eastAsia="Arial" w:hAnsi="Arial"/>
                <w:sz w:val="16"/>
                <w:szCs w:val="16"/>
                <w:color w:val="auto"/>
              </w:rPr>
              <w:t>Net (gain) loss on disposition of</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3000" w:type="dxa"/>
            <w:vAlign w:val="bottom"/>
          </w:tcPr>
          <w:p>
            <w:pPr>
              <w:ind w:left="220"/>
              <w:spacing w:after="0"/>
              <w:rPr>
                <w:sz w:val="20"/>
                <w:szCs w:val="20"/>
                <w:color w:val="auto"/>
              </w:rPr>
            </w:pPr>
            <w:r>
              <w:rPr>
                <w:rFonts w:ascii="Arial" w:cs="Arial" w:eastAsia="Arial" w:hAnsi="Arial"/>
                <w:sz w:val="16"/>
                <w:szCs w:val="16"/>
                <w:color w:val="auto"/>
              </w:rPr>
              <w:t>McClelland Lake Lodge assets (b)</w:t>
            </w:r>
          </w:p>
        </w:tc>
        <w:tc>
          <w:tcPr>
            <w:tcW w:w="20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(33,166)</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(5,744)</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(28,298)</w:t>
            </w:r>
          </w:p>
        </w:tc>
        <w:tc>
          <w:tcPr>
            <w:tcW w:w="0" w:type="dxa"/>
            <w:vAlign w:val="bottom"/>
          </w:tcPr>
          <w:p>
            <w:pPr>
              <w:spacing w:after="0"/>
              <w:rPr>
                <w:sz w:val="1"/>
                <w:szCs w:val="1"/>
                <w:color w:val="auto"/>
              </w:rPr>
            </w:pPr>
          </w:p>
        </w:tc>
      </w:tr>
      <w:tr>
        <w:trPr>
          <w:trHeight w:val="271"/>
        </w:trPr>
        <w:tc>
          <w:tcPr>
            <w:tcW w:w="3000" w:type="dxa"/>
            <w:vAlign w:val="bottom"/>
          </w:tcPr>
          <w:p>
            <w:pPr>
              <w:ind w:left="220"/>
              <w:spacing w:after="0"/>
              <w:rPr>
                <w:sz w:val="20"/>
                <w:szCs w:val="20"/>
                <w:color w:val="auto"/>
              </w:rPr>
            </w:pPr>
            <w:r>
              <w:rPr>
                <w:rFonts w:ascii="Arial" w:cs="Arial" w:eastAsia="Arial" w:hAnsi="Arial"/>
                <w:sz w:val="16"/>
                <w:szCs w:val="16"/>
                <w:color w:val="auto"/>
              </w:rPr>
              <w:t>Share-based compensation (c)</w:t>
            </w: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972</w:t>
            </w:r>
          </w:p>
        </w:tc>
        <w:tc>
          <w:tcPr>
            <w:tcW w:w="1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1,163</w:t>
            </w:r>
          </w:p>
        </w:tc>
        <w:tc>
          <w:tcPr>
            <w:tcW w:w="1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2,851</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4,460</w:t>
            </w:r>
          </w:p>
        </w:tc>
        <w:tc>
          <w:tcPr>
            <w:tcW w:w="0" w:type="dxa"/>
            <w:vAlign w:val="bottom"/>
          </w:tcPr>
          <w:p>
            <w:pPr>
              <w:spacing w:after="0"/>
              <w:rPr>
                <w:sz w:val="1"/>
                <w:szCs w:val="1"/>
                <w:color w:val="auto"/>
              </w:rPr>
            </w:pPr>
          </w:p>
        </w:tc>
      </w:tr>
      <w:tr>
        <w:trPr>
          <w:trHeight w:val="224"/>
        </w:trPr>
        <w:tc>
          <w:tcPr>
            <w:tcW w:w="3000" w:type="dxa"/>
            <w:vAlign w:val="bottom"/>
          </w:tcPr>
          <w:p>
            <w:pPr>
              <w:ind w:left="440"/>
              <w:spacing w:after="0"/>
              <w:rPr>
                <w:sz w:val="20"/>
                <w:szCs w:val="20"/>
                <w:color w:val="auto"/>
              </w:rPr>
            </w:pPr>
            <w:r>
              <w:rPr>
                <w:rFonts w:ascii="Arial" w:cs="Arial" w:eastAsia="Arial" w:hAnsi="Arial"/>
                <w:sz w:val="16"/>
                <w:szCs w:val="16"/>
                <w:color w:val="auto"/>
              </w:rPr>
              <w:t>Adjusted EBITDA</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11,440</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18,524</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79,937</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106,494</w:t>
            </w: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652" w:hanging="328"/>
        <w:spacing w:after="0" w:line="265" w:lineRule="auto"/>
        <w:tabs>
          <w:tab w:leader="none" w:pos="647" w:val="left"/>
        </w:tabs>
        <w:numPr>
          <w:ilvl w:val="0"/>
          <w:numId w:val="6"/>
        </w:numPr>
        <w:rPr>
          <w:rFonts w:ascii="Arial" w:cs="Arial" w:eastAsia="Arial" w:hAnsi="Arial"/>
          <w:sz w:val="16"/>
          <w:szCs w:val="16"/>
          <w:color w:val="auto"/>
        </w:rPr>
      </w:pPr>
      <w:r>
        <w:rPr>
          <w:rFonts w:ascii="Arial" w:cs="Arial" w:eastAsia="Arial" w:hAnsi="Arial"/>
          <w:sz w:val="16"/>
          <w:szCs w:val="16"/>
          <w:color w:val="auto"/>
        </w:rPr>
        <w:t>Relates to asset impairments in the first and fourth quarters of 2024 and the fourth quarter of 2023. In the fourth quarter of 2024, we recorded a pre-tax loss related to the impairment of long-lived assets in our Canadian segment of $3.2 million and a pre-tax loss related to the impairment of long-lived assets in the U.S. of $0.5 million. In the first quarter of 2024, we recorded a pre-tax loss related to the impairment of long-lived assets in our Australian segment of $5.7 million and a pre-tax loss related to the impairment of long-lived assets in the U.S. of $2.1 million. In the fourth quarter of 2023, we recorded a pre-tax loss related to the impairment of long-lived assets in the U.S. of $1.4 million.</w:t>
      </w:r>
    </w:p>
    <w:p>
      <w:pPr>
        <w:sectPr>
          <w:pgSz w:w="11900" w:h="16838" w:orient="portrait"/>
          <w:cols w:equalWidth="0" w:num="1">
            <w:col w:w="11212"/>
          </w:cols>
          <w:pgMar w:left="328" w:top="895" w:right="359" w:bottom="1440" w:gutter="0" w:footer="0" w:header="0"/>
        </w:sectPr>
      </w:pPr>
    </w:p>
    <w:bookmarkStart w:id="15" w:name="page16"/>
    <w:bookmarkEnd w:id="15"/>
    <w:p>
      <w:pPr>
        <w:ind w:left="652" w:hanging="328"/>
        <w:spacing w:after="0" w:line="256" w:lineRule="auto"/>
        <w:tabs>
          <w:tab w:leader="none" w:pos="647" w:val="left"/>
        </w:tabs>
        <w:numPr>
          <w:ilvl w:val="1"/>
          <w:numId w:val="7"/>
        </w:numPr>
        <w:rPr>
          <w:rFonts w:ascii="Arial" w:cs="Arial" w:eastAsia="Arial" w:hAnsi="Arial"/>
          <w:sz w:val="16"/>
          <w:szCs w:val="16"/>
          <w:color w:val="auto"/>
        </w:rPr>
      </w:pPr>
      <w:r>
        <w:rPr>
          <w:rFonts w:ascii="Arial" w:cs="Arial" w:eastAsia="Arial" w:hAnsi="Arial"/>
          <w:sz w:val="16"/>
          <w:szCs w:val="16"/>
          <w:color w:val="auto"/>
        </w:rPr>
        <w:t>Relates to proceeds received and expenses incurred associated with the dismantlement and sale of the McClelland Lake Lodge. In the fourth, third and second quarters of 2024, we recorded expenses associated with the sale of our McClelland Lake Lodge of $0.1 million, $0.2 million and $0.1 million, respectively, which are included in (Gain) loss on sale of McClelland Lake Lodge assets, net on the unaudited statements of operations. In the first quarter of 2024, we recorded gains associated with the sale of the McClelland Lake Lodge of $6.1 million, which are included in (Gain) loss on sale of McClelland Lake Lodge assets, net on the unaudited statements of operations. In the fourth quarter of 2023, we recorded gains associated with the sale of the McClelland Lake Lodge of $33.2 million, which are included in (Gain) loss on sale of McClelland Lake Lodge assets, net ($23.5 million) and Other income ($9.7 million) on the unaudited statements of operations. In the third quarter of 2023, we recorded expenses associated with the sale of our McClelland Lake Lodge of $4.9 million, which are included in (Gain) loss on sale of McClelland Lake Lodge assets, net on the unaudited statements of operations.</w:t>
      </w:r>
    </w:p>
    <w:p>
      <w:pPr>
        <w:ind w:left="652" w:right="2100" w:hanging="328"/>
        <w:spacing w:after="0" w:line="270" w:lineRule="auto"/>
        <w:tabs>
          <w:tab w:leader="none" w:pos="652" w:val="left"/>
        </w:tabs>
        <w:numPr>
          <w:ilvl w:val="1"/>
          <w:numId w:val="7"/>
        </w:numPr>
        <w:rPr>
          <w:rFonts w:ascii="Arial" w:cs="Arial" w:eastAsia="Arial" w:hAnsi="Arial"/>
          <w:sz w:val="16"/>
          <w:szCs w:val="16"/>
          <w:color w:val="auto"/>
        </w:rPr>
      </w:pPr>
      <w:r>
        <w:rPr>
          <w:rFonts w:ascii="Arial" w:cs="Arial" w:eastAsia="Arial" w:hAnsi="Arial"/>
          <w:sz w:val="16"/>
          <w:szCs w:val="16"/>
          <w:color w:val="auto"/>
        </w:rPr>
        <w:t>Represents share-based compensation expense associated with performance share awards, restricted share awards, restricted share units and deferred share awards.</w:t>
      </w:r>
    </w:p>
    <w:p>
      <w:pPr>
        <w:spacing w:after="0" w:line="194" w:lineRule="exact"/>
        <w:rPr>
          <w:rFonts w:ascii="Arial" w:cs="Arial" w:eastAsia="Arial" w:hAnsi="Arial"/>
          <w:sz w:val="16"/>
          <w:szCs w:val="16"/>
          <w:color w:val="auto"/>
        </w:rPr>
      </w:pPr>
    </w:p>
    <w:p>
      <w:pPr>
        <w:ind w:left="332" w:right="1980" w:hanging="332"/>
        <w:spacing w:after="0" w:line="258" w:lineRule="auto"/>
        <w:tabs>
          <w:tab w:leader="none" w:pos="327"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term Free Cash Flow is a non-GAAP financial measure that is defined as net cash flows provided by operating activities less capital expenditures plus proceeds from asset sales. Free Cash Flow is not a measure of financial performance under generally accepted accounting principles and should not be considered in isolation from or as a substitute for cash flow measures prepared in accordance with generally accepted accounting principles or as a measure of profitability or liquidity. Additionally, Free Cash Flow may not be comparable to other similarly titled measures of other companies. Civeo has included Free Cash Flow as a supplemental disclosure because its management believes that Free Cash Flow provides useful information regarding the cash flow generating ability of its business relative to its capital expenditure and debt service obligations. Civeo uses Free Cash Flow to compare and to understand, manage, make operating decisions and evaluate Civeo's business. It is also used as a benchmark for the award of incentive compensation under its annual incentive compensation plan.</w:t>
      </w:r>
    </w:p>
    <w:p>
      <w:pPr>
        <w:spacing w:after="0" w:line="209" w:lineRule="exact"/>
        <w:rPr>
          <w:rFonts w:ascii="Arial" w:cs="Arial" w:eastAsia="Arial" w:hAnsi="Arial"/>
          <w:sz w:val="16"/>
          <w:szCs w:val="16"/>
          <w:color w:val="auto"/>
        </w:rPr>
      </w:pPr>
    </w:p>
    <w:p>
      <w:pPr>
        <w:ind w:left="332" w:right="700"/>
        <w:spacing w:after="0" w:line="304"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Free Cash Flow to Net Cash Flows Provided by Operating Activities, which is the most directly comparable measure of financial performance calculated under generally accepted accounting principles (in thousands) (unaudited):</w:t>
      </w:r>
    </w:p>
    <w:p>
      <w:pPr>
        <w:spacing w:after="0" w:line="228" w:lineRule="exact"/>
        <w:rPr>
          <w:sz w:val="20"/>
          <w:szCs w:val="20"/>
          <w:color w:val="auto"/>
        </w:rPr>
      </w:pPr>
    </w:p>
    <w:tbl>
      <w:tblPr>
        <w:tblLayout w:type="fixed"/>
        <w:tblInd w:w="1032"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2160" w:type="dxa"/>
            <w:vAlign w:val="bottom"/>
            <w:gridSpan w:val="4"/>
          </w:tcPr>
          <w:p>
            <w:pPr>
              <w:jc w:val="center"/>
              <w:ind w:right="159"/>
              <w:spacing w:after="0"/>
              <w:rPr>
                <w:sz w:val="20"/>
                <w:szCs w:val="20"/>
                <w:color w:val="auto"/>
              </w:rPr>
            </w:pPr>
            <w:r>
              <w:rPr>
                <w:rFonts w:ascii="Arial" w:cs="Arial" w:eastAsia="Arial" w:hAnsi="Arial"/>
                <w:sz w:val="16"/>
                <w:szCs w:val="16"/>
                <w:b w:val="1"/>
                <w:bCs w:val="1"/>
                <w:color w:val="auto"/>
                <w:w w:val="99"/>
              </w:rPr>
              <w:t>Twelve Months Ended</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9"/>
                <w:szCs w:val="19"/>
                <w:color w:val="auto"/>
              </w:rPr>
            </w:pPr>
          </w:p>
        </w:tc>
        <w:tc>
          <w:tcPr>
            <w:tcW w:w="2160" w:type="dxa"/>
            <w:vAlign w:val="bottom"/>
            <w:gridSpan w:val="4"/>
          </w:tcPr>
          <w:p>
            <w:pPr>
              <w:jc w:val="center"/>
              <w:ind w:right="159"/>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63"/>
        </w:trPr>
        <w:tc>
          <w:tcPr>
            <w:tcW w:w="4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518"/>
        </w:trPr>
        <w:tc>
          <w:tcPr>
            <w:tcW w:w="4200" w:type="dxa"/>
            <w:vAlign w:val="bottom"/>
          </w:tcPr>
          <w:p>
            <w:pPr>
              <w:spacing w:after="0"/>
              <w:rPr>
                <w:sz w:val="20"/>
                <w:szCs w:val="20"/>
                <w:color w:val="auto"/>
              </w:rPr>
            </w:pPr>
            <w:r>
              <w:rPr>
                <w:rFonts w:ascii="Arial" w:cs="Arial" w:eastAsia="Arial" w:hAnsi="Arial"/>
                <w:sz w:val="16"/>
                <w:szCs w:val="16"/>
                <w:color w:val="auto"/>
              </w:rPr>
              <w:t>Net Cash Flows Provided by Operating Activities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9,496</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39,972</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83,510</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center"/>
              <w:ind w:left="119"/>
              <w:spacing w:after="0"/>
              <w:rPr>
                <w:sz w:val="20"/>
                <w:szCs w:val="20"/>
                <w:color w:val="auto"/>
              </w:rPr>
            </w:pPr>
            <w:r>
              <w:rPr>
                <w:rFonts w:ascii="Arial" w:cs="Arial" w:eastAsia="Arial" w:hAnsi="Arial"/>
                <w:sz w:val="16"/>
                <w:szCs w:val="16"/>
                <w:color w:val="auto"/>
              </w:rPr>
              <w:t>96,565</w:t>
            </w:r>
          </w:p>
        </w:tc>
        <w:tc>
          <w:tcPr>
            <w:tcW w:w="0" w:type="dxa"/>
            <w:vAlign w:val="bottom"/>
          </w:tcPr>
          <w:p>
            <w:pPr>
              <w:spacing w:after="0"/>
              <w:rPr>
                <w:sz w:val="1"/>
                <w:szCs w:val="1"/>
                <w:color w:val="auto"/>
              </w:rPr>
            </w:pPr>
          </w:p>
        </w:tc>
      </w:tr>
      <w:tr>
        <w:trPr>
          <w:trHeight w:val="270"/>
        </w:trPr>
        <w:tc>
          <w:tcPr>
            <w:tcW w:w="4200" w:type="dxa"/>
            <w:vAlign w:val="bottom"/>
          </w:tcPr>
          <w:p>
            <w:pPr>
              <w:ind w:left="240"/>
              <w:spacing w:after="0"/>
              <w:rPr>
                <w:sz w:val="20"/>
                <w:szCs w:val="20"/>
                <w:color w:val="auto"/>
              </w:rPr>
            </w:pPr>
            <w:r>
              <w:rPr>
                <w:rFonts w:ascii="Arial" w:cs="Arial" w:eastAsia="Arial" w:hAnsi="Arial"/>
                <w:sz w:val="16"/>
                <w:szCs w:val="16"/>
                <w:color w:val="auto"/>
              </w:rPr>
              <w:t>Capital expenditures</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(7,733)</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(10,454)</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(26,138)</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center"/>
              <w:ind w:left="99"/>
              <w:spacing w:after="0"/>
              <w:rPr>
                <w:sz w:val="20"/>
                <w:szCs w:val="20"/>
                <w:color w:val="auto"/>
              </w:rPr>
            </w:pPr>
            <w:r>
              <w:rPr>
                <w:rFonts w:ascii="Arial" w:cs="Arial" w:eastAsia="Arial" w:hAnsi="Arial"/>
                <w:sz w:val="16"/>
                <w:szCs w:val="16"/>
                <w:color w:val="auto"/>
              </w:rPr>
              <w:t>(31,633)</w:t>
            </w:r>
          </w:p>
        </w:tc>
        <w:tc>
          <w:tcPr>
            <w:tcW w:w="0" w:type="dxa"/>
            <w:vAlign w:val="bottom"/>
          </w:tcPr>
          <w:p>
            <w:pPr>
              <w:spacing w:after="0"/>
              <w:rPr>
                <w:sz w:val="1"/>
                <w:szCs w:val="1"/>
                <w:color w:val="auto"/>
              </w:rPr>
            </w:pPr>
          </w:p>
        </w:tc>
      </w:tr>
      <w:tr>
        <w:trPr>
          <w:trHeight w:val="164"/>
        </w:trPr>
        <w:tc>
          <w:tcPr>
            <w:tcW w:w="4200" w:type="dxa"/>
            <w:vAlign w:val="bottom"/>
          </w:tcPr>
          <w:p>
            <w:pPr>
              <w:ind w:left="240"/>
              <w:spacing w:after="0" w:line="164" w:lineRule="exact"/>
              <w:rPr>
                <w:sz w:val="20"/>
                <w:szCs w:val="20"/>
                <w:color w:val="auto"/>
              </w:rPr>
            </w:pPr>
            <w:r>
              <w:rPr>
                <w:rFonts w:ascii="Arial" w:cs="Arial" w:eastAsia="Arial" w:hAnsi="Arial"/>
                <w:sz w:val="16"/>
                <w:szCs w:val="16"/>
                <w:color w:val="auto"/>
              </w:rPr>
              <w:t>Proceeds from disposition of property, plant and</w:t>
            </w:r>
          </w:p>
        </w:tc>
        <w:tc>
          <w:tcPr>
            <w:tcW w:w="240" w:type="dxa"/>
            <w:vAlign w:val="bottom"/>
          </w:tcPr>
          <w:p>
            <w:pPr>
              <w:spacing w:after="0"/>
              <w:rPr>
                <w:sz w:val="14"/>
                <w:szCs w:val="14"/>
                <w:color w:val="auto"/>
              </w:rPr>
            </w:pPr>
          </w:p>
        </w:tc>
        <w:tc>
          <w:tcPr>
            <w:tcW w:w="860" w:type="dxa"/>
            <w:vAlign w:val="bottom"/>
            <w:vMerge w:val="restart"/>
          </w:tcPr>
          <w:p>
            <w:pPr>
              <w:jc w:val="right"/>
              <w:ind w:right="19"/>
              <w:spacing w:after="0"/>
              <w:rPr>
                <w:sz w:val="20"/>
                <w:szCs w:val="20"/>
                <w:color w:val="auto"/>
              </w:rPr>
            </w:pPr>
            <w:r>
              <w:rPr>
                <w:rFonts w:ascii="Arial" w:cs="Arial" w:eastAsia="Arial" w:hAnsi="Arial"/>
                <w:sz w:val="16"/>
                <w:szCs w:val="16"/>
                <w:color w:val="auto"/>
              </w:rPr>
              <w:t>311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ind w:right="19"/>
              <w:spacing w:after="0"/>
              <w:rPr>
                <w:sz w:val="20"/>
                <w:szCs w:val="20"/>
                <w:color w:val="auto"/>
              </w:rPr>
            </w:pPr>
            <w:r>
              <w:rPr>
                <w:rFonts w:ascii="Arial" w:cs="Arial" w:eastAsia="Arial" w:hAnsi="Arial"/>
                <w:sz w:val="16"/>
                <w:szCs w:val="16"/>
                <w:color w:val="auto"/>
              </w:rPr>
              <w:t>9,670</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ind w:right="19"/>
              <w:spacing w:after="0"/>
              <w:rPr>
                <w:sz w:val="20"/>
                <w:szCs w:val="20"/>
                <w:color w:val="auto"/>
              </w:rPr>
            </w:pPr>
            <w:r>
              <w:rPr>
                <w:rFonts w:ascii="Arial" w:cs="Arial" w:eastAsia="Arial" w:hAnsi="Arial"/>
                <w:sz w:val="16"/>
                <w:szCs w:val="16"/>
                <w:color w:val="auto"/>
              </w:rPr>
              <w:t>11,011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center"/>
              <w:ind w:left="119"/>
              <w:spacing w:after="0"/>
              <w:rPr>
                <w:sz w:val="20"/>
                <w:szCs w:val="20"/>
                <w:color w:val="auto"/>
              </w:rPr>
            </w:pPr>
            <w:r>
              <w:rPr>
                <w:rFonts w:ascii="Arial" w:cs="Arial" w:eastAsia="Arial" w:hAnsi="Arial"/>
                <w:sz w:val="16"/>
                <w:szCs w:val="16"/>
                <w:color w:val="auto"/>
              </w:rPr>
              <w:t>16,740</w:t>
            </w:r>
          </w:p>
        </w:tc>
        <w:tc>
          <w:tcPr>
            <w:tcW w:w="0" w:type="dxa"/>
            <w:vAlign w:val="bottom"/>
          </w:tcPr>
          <w:p>
            <w:pPr>
              <w:spacing w:after="0"/>
              <w:rPr>
                <w:sz w:val="1"/>
                <w:szCs w:val="1"/>
                <w:color w:val="auto"/>
              </w:rPr>
            </w:pPr>
          </w:p>
        </w:tc>
      </w:tr>
      <w:tr>
        <w:trPr>
          <w:trHeight w:val="215"/>
        </w:trPr>
        <w:tc>
          <w:tcPr>
            <w:tcW w:w="4200" w:type="dxa"/>
            <w:vAlign w:val="bottom"/>
          </w:tcPr>
          <w:p>
            <w:pPr>
              <w:spacing w:after="0"/>
              <w:rPr>
                <w:sz w:val="20"/>
                <w:szCs w:val="20"/>
                <w:color w:val="auto"/>
              </w:rPr>
            </w:pPr>
            <w:r>
              <w:rPr>
                <w:rFonts w:ascii="Arial" w:cs="Arial" w:eastAsia="Arial" w:hAnsi="Arial"/>
                <w:sz w:val="16"/>
                <w:szCs w:val="16"/>
                <w:color w:val="auto"/>
              </w:rPr>
              <w:t>equipment</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00" w:type="dxa"/>
            <w:vAlign w:val="bottom"/>
          </w:tcPr>
          <w:p>
            <w:pPr>
              <w:ind w:left="240"/>
              <w:spacing w:after="0"/>
              <w:rPr>
                <w:sz w:val="20"/>
                <w:szCs w:val="20"/>
                <w:color w:val="auto"/>
              </w:rPr>
            </w:pPr>
            <w:r>
              <w:rPr>
                <w:rFonts w:ascii="Arial" w:cs="Arial" w:eastAsia="Arial" w:hAnsi="Arial"/>
                <w:sz w:val="16"/>
                <w:szCs w:val="16"/>
                <w:color w:val="auto"/>
              </w:rPr>
              <w:t>Free Cash Flow</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2,074</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39,188</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68,383</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color w:val="auto"/>
              </w:rPr>
              <w:t>81,672</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332" w:right="1940" w:hanging="332"/>
        <w:spacing w:after="0" w:line="258" w:lineRule="auto"/>
        <w:tabs>
          <w:tab w:leader="none" w:pos="327"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term net leverage ratio is a non-GAAP financial measure that is defined as net debt divided by bank-adjusted EBITDA. Net debt, bank-adjusted EBITDA and net leverage ratio are not financial measures under GAAP and should not be considered in isolation from or as a substitute for total debt, net income (loss) or cash flow measures prepared in accordance with GAAP or as a measure of profitability or liquidity. Additionally, net debt, bank-adjusted EBITDA and net leverage ratio may not be comparable to other similarly titled measures of other companies. Civeo has included net debt, bank-adjusted EBITDA and net leverage ratio as a supplemental disclosure because its management believes that this data provides useful information regarding the level of the Company’s indebtedness and its ability to service debt. Additionally, per Civeo’s credit agreement, the Company is required to maintain a net leverage ratio below 3.0x every quarter to remain in compliance with the credit agreement.</w:t>
      </w:r>
    </w:p>
    <w:p>
      <w:pPr>
        <w:sectPr>
          <w:pgSz w:w="11900" w:h="16838" w:orient="portrait"/>
          <w:cols w:equalWidth="0" w:num="1">
            <w:col w:w="11172"/>
          </w:cols>
          <w:pgMar w:left="328" w:top="895" w:right="399" w:bottom="1440" w:gutter="0" w:footer="0" w:header="0"/>
        </w:sectPr>
      </w:pPr>
    </w:p>
    <w:bookmarkStart w:id="16" w:name="page17"/>
    <w:bookmarkEnd w:id="16"/>
    <w:p>
      <w:pPr>
        <w:spacing w:after="0" w:line="286" w:lineRule="auto"/>
        <w:rPr>
          <w:sz w:val="20"/>
          <w:szCs w:val="20"/>
          <w:color w:val="auto"/>
        </w:rPr>
      </w:pPr>
      <w:r>
        <w:rPr>
          <w:rFonts w:ascii="Arial" w:cs="Arial" w:eastAsia="Arial" w:hAnsi="Arial"/>
          <w:sz w:val="16"/>
          <w:szCs w:val="16"/>
          <w:color w:val="auto"/>
        </w:rPr>
        <w:t>The following table sets forth a reconciliation of net debt, bank-adjusted EBITDA and net leverage ratio to the most directly comparable measures of financial performance calculated under GAAP (in thousands) (unaudited):</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b w:val="1"/>
                <w:bCs w:val="1"/>
                <w:color w:val="auto"/>
              </w:rPr>
              <w:t>As of December</w:t>
            </w:r>
          </w:p>
        </w:tc>
      </w:tr>
      <w:tr>
        <w:trPr>
          <w:trHeight w:val="215"/>
        </w:trPr>
        <w:tc>
          <w:tcPr>
            <w:tcW w:w="6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579"/>
              <w:spacing w:after="0"/>
              <w:rPr>
                <w:sz w:val="20"/>
                <w:szCs w:val="20"/>
                <w:color w:val="auto"/>
              </w:rPr>
            </w:pPr>
            <w:r>
              <w:rPr>
                <w:rFonts w:ascii="Arial" w:cs="Arial" w:eastAsia="Arial" w:hAnsi="Arial"/>
                <w:sz w:val="16"/>
                <w:szCs w:val="16"/>
                <w:b w:val="1"/>
                <w:bCs w:val="1"/>
                <w:color w:val="auto"/>
              </w:rPr>
              <w:t>31,</w:t>
            </w:r>
          </w:p>
        </w:tc>
      </w:tr>
      <w:tr>
        <w:trPr>
          <w:trHeight w:val="217"/>
        </w:trPr>
        <w:tc>
          <w:tcPr>
            <w:tcW w:w="6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r>
      <w:tr>
        <w:trPr>
          <w:trHeight w:val="464"/>
        </w:trPr>
        <w:tc>
          <w:tcPr>
            <w:tcW w:w="6260" w:type="dxa"/>
            <w:vAlign w:val="bottom"/>
          </w:tcPr>
          <w:p>
            <w:pPr>
              <w:spacing w:after="0"/>
              <w:rPr>
                <w:sz w:val="20"/>
                <w:szCs w:val="20"/>
                <w:color w:val="auto"/>
              </w:rPr>
            </w:pPr>
            <w:r>
              <w:rPr>
                <w:rFonts w:ascii="Arial" w:cs="Arial" w:eastAsia="Arial" w:hAnsi="Arial"/>
                <w:sz w:val="16"/>
                <w:szCs w:val="16"/>
                <w:color w:val="auto"/>
              </w:rPr>
              <w:t>Total debt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43,299</w:t>
            </w:r>
          </w:p>
        </w:tc>
      </w:tr>
      <w:tr>
        <w:trPr>
          <w:trHeight w:val="217"/>
        </w:trPr>
        <w:tc>
          <w:tcPr>
            <w:tcW w:w="6260" w:type="dxa"/>
            <w:vAlign w:val="bottom"/>
          </w:tcPr>
          <w:p>
            <w:pPr>
              <w:spacing w:after="0"/>
              <w:rPr>
                <w:sz w:val="20"/>
                <w:szCs w:val="20"/>
                <w:color w:val="auto"/>
              </w:rPr>
            </w:pPr>
            <w:r>
              <w:rPr>
                <w:rFonts w:ascii="Arial" w:cs="Arial" w:eastAsia="Arial" w:hAnsi="Arial"/>
                <w:sz w:val="16"/>
                <w:szCs w:val="16"/>
                <w:color w:val="auto"/>
              </w:rPr>
              <w:t>Less: Cash and cash equivalents</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5,204</w:t>
            </w:r>
          </w:p>
        </w:tc>
      </w:tr>
      <w:tr>
        <w:trPr>
          <w:trHeight w:val="210"/>
        </w:trPr>
        <w:tc>
          <w:tcPr>
            <w:tcW w:w="6260" w:type="dxa"/>
            <w:vAlign w:val="bottom"/>
          </w:tcPr>
          <w:p>
            <w:pPr>
              <w:ind w:left="100"/>
              <w:spacing w:after="0"/>
              <w:rPr>
                <w:sz w:val="20"/>
                <w:szCs w:val="20"/>
                <w:color w:val="auto"/>
              </w:rPr>
            </w:pPr>
            <w:r>
              <w:rPr>
                <w:rFonts w:ascii="Arial" w:cs="Arial" w:eastAsia="Arial" w:hAnsi="Arial"/>
                <w:sz w:val="16"/>
                <w:szCs w:val="16"/>
                <w:color w:val="auto"/>
              </w:rPr>
              <w:t>Net debt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38,095</w:t>
            </w:r>
          </w:p>
        </w:tc>
      </w:tr>
      <w:tr>
        <w:trPr>
          <w:trHeight w:val="21"/>
        </w:trPr>
        <w:tc>
          <w:tcPr>
            <w:tcW w:w="6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450"/>
        </w:trPr>
        <w:tc>
          <w:tcPr>
            <w:tcW w:w="6260" w:type="dxa"/>
            <w:vAlign w:val="bottom"/>
          </w:tcPr>
          <w:p>
            <w:pPr>
              <w:spacing w:after="0"/>
              <w:rPr>
                <w:sz w:val="20"/>
                <w:szCs w:val="20"/>
                <w:color w:val="auto"/>
              </w:rPr>
            </w:pPr>
            <w:r>
              <w:rPr>
                <w:rFonts w:ascii="Arial" w:cs="Arial" w:eastAsia="Arial" w:hAnsi="Arial"/>
                <w:sz w:val="16"/>
                <w:szCs w:val="16"/>
                <w:color w:val="auto"/>
              </w:rPr>
              <w:t>Adjusted EBITDA for the twelve months ended December 31, 2024 (a)</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79,937</w:t>
            </w:r>
          </w:p>
        </w:tc>
      </w:tr>
      <w:tr>
        <w:trPr>
          <w:trHeight w:val="216"/>
        </w:trPr>
        <w:tc>
          <w:tcPr>
            <w:tcW w:w="6260" w:type="dxa"/>
            <w:vAlign w:val="bottom"/>
          </w:tcPr>
          <w:p>
            <w:pPr>
              <w:spacing w:after="0"/>
              <w:rPr>
                <w:sz w:val="20"/>
                <w:szCs w:val="20"/>
                <w:color w:val="auto"/>
              </w:rPr>
            </w:pPr>
            <w:r>
              <w:rPr>
                <w:rFonts w:ascii="Arial" w:cs="Arial" w:eastAsia="Arial" w:hAnsi="Arial"/>
                <w:sz w:val="16"/>
                <w:szCs w:val="16"/>
                <w:color w:val="auto"/>
              </w:rPr>
              <w:t>Adjustments to Adjusted EBITDA</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6260" w:type="dxa"/>
            <w:vAlign w:val="bottom"/>
          </w:tcPr>
          <w:p>
            <w:pPr>
              <w:ind w:left="10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187</w:t>
            </w:r>
          </w:p>
        </w:tc>
      </w:tr>
      <w:tr>
        <w:trPr>
          <w:trHeight w:val="217"/>
        </w:trPr>
        <w:tc>
          <w:tcPr>
            <w:tcW w:w="6260" w:type="dxa"/>
            <w:vAlign w:val="bottom"/>
          </w:tcPr>
          <w:p>
            <w:pPr>
              <w:ind w:left="100"/>
              <w:spacing w:after="0"/>
              <w:rPr>
                <w:sz w:val="20"/>
                <w:szCs w:val="20"/>
                <w:color w:val="auto"/>
              </w:rPr>
            </w:pPr>
            <w:r>
              <w:rPr>
                <w:rFonts w:ascii="Arial" w:cs="Arial" w:eastAsia="Arial" w:hAnsi="Arial"/>
                <w:sz w:val="16"/>
                <w:szCs w:val="16"/>
                <w:color w:val="auto"/>
              </w:rPr>
              <w:t>Incremental adjustments for McClelland Lake Lodge disposition (b)</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w:t>
            </w:r>
          </w:p>
        </w:tc>
      </w:tr>
      <w:tr>
        <w:trPr>
          <w:trHeight w:val="211"/>
        </w:trPr>
        <w:tc>
          <w:tcPr>
            <w:tcW w:w="6260" w:type="dxa"/>
            <w:vAlign w:val="bottom"/>
          </w:tcPr>
          <w:p>
            <w:pPr>
              <w:ind w:left="200"/>
              <w:spacing w:after="0"/>
              <w:rPr>
                <w:sz w:val="20"/>
                <w:szCs w:val="20"/>
                <w:color w:val="auto"/>
              </w:rPr>
            </w:pPr>
            <w:r>
              <w:rPr>
                <w:rFonts w:ascii="Arial" w:cs="Arial" w:eastAsia="Arial" w:hAnsi="Arial"/>
                <w:sz w:val="16"/>
                <w:szCs w:val="16"/>
                <w:color w:val="auto"/>
              </w:rPr>
              <w:t>Bank-adjusted EBITDA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80,456</w:t>
            </w:r>
          </w:p>
        </w:tc>
      </w:tr>
      <w:tr>
        <w:trPr>
          <w:trHeight w:val="20"/>
        </w:trPr>
        <w:tc>
          <w:tcPr>
            <w:tcW w:w="6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450"/>
        </w:trPr>
        <w:tc>
          <w:tcPr>
            <w:tcW w:w="6260" w:type="dxa"/>
            <w:vAlign w:val="bottom"/>
          </w:tcPr>
          <w:p>
            <w:pPr>
              <w:ind w:left="100"/>
              <w:spacing w:after="0"/>
              <w:rPr>
                <w:sz w:val="20"/>
                <w:szCs w:val="20"/>
                <w:color w:val="auto"/>
              </w:rPr>
            </w:pPr>
            <w:r>
              <w:rPr>
                <w:rFonts w:ascii="Arial" w:cs="Arial" w:eastAsia="Arial" w:hAnsi="Arial"/>
                <w:sz w:val="16"/>
                <w:szCs w:val="16"/>
                <w:color w:val="auto"/>
              </w:rPr>
              <w:t>Net leverage ratio (c)</w:t>
            </w:r>
          </w:p>
        </w:tc>
        <w:tc>
          <w:tcPr>
            <w:tcW w:w="1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0.5x</w:t>
            </w:r>
          </w:p>
        </w:tc>
      </w:tr>
    </w:tbl>
    <w:p>
      <w:pPr>
        <w:spacing w:after="0" w:line="200" w:lineRule="exact"/>
        <w:rPr>
          <w:sz w:val="20"/>
          <w:szCs w:val="20"/>
          <w:color w:val="auto"/>
        </w:rPr>
      </w:pPr>
    </w:p>
    <w:p>
      <w:pPr>
        <w:spacing w:after="0" w:line="220" w:lineRule="exact"/>
        <w:rPr>
          <w:sz w:val="20"/>
          <w:szCs w:val="20"/>
          <w:color w:val="auto"/>
        </w:rPr>
      </w:pPr>
    </w:p>
    <w:p>
      <w:pPr>
        <w:ind w:left="20" w:right="3140" w:hanging="10"/>
        <w:spacing w:after="0" w:line="246" w:lineRule="auto"/>
        <w:tabs>
          <w:tab w:leader="none" w:pos="247"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See footnote 1 above for reconciliation of Adjusted EBITDA to net income (loss) attributable to Civeo Corporation.</w:t>
      </w:r>
    </w:p>
    <w:p>
      <w:pPr>
        <w:ind w:left="20" w:right="3100" w:hanging="10"/>
        <w:spacing w:after="0" w:line="246" w:lineRule="auto"/>
        <w:tabs>
          <w:tab w:leader="none" w:pos="263"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Related to incremental adjustments associated with the sale of the McClelland Lake Lodge assets as required by our credit facility.</w:t>
      </w:r>
    </w:p>
    <w:p>
      <w:pPr>
        <w:ind w:left="240" w:hanging="230"/>
        <w:spacing w:after="0"/>
        <w:tabs>
          <w:tab w:leader="none" w:pos="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Calculated as net debt divided by bank-adjusted EBITDA.</w:t>
      </w:r>
    </w:p>
    <w:p>
      <w:pPr>
        <w:sectPr>
          <w:pgSz w:w="11900" w:h="16838" w:orient="portrait"/>
          <w:cols w:equalWidth="0" w:num="1">
            <w:col w:w="10580"/>
          </w:cols>
          <w:pgMar w:left="660" w:top="895" w:right="659" w:bottom="1440" w:gutter="0" w:footer="0" w:header="0"/>
        </w:sectPr>
      </w:pPr>
    </w:p>
    <w:bookmarkStart w:id="17" w:name="page18"/>
    <w:bookmarkEnd w:id="17"/>
    <w:p>
      <w:pPr>
        <w:jc w:val="center"/>
        <w:ind w:right="-467"/>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467"/>
        <w:spacing w:after="0"/>
        <w:rPr>
          <w:sz w:val="20"/>
          <w:szCs w:val="20"/>
          <w:color w:val="auto"/>
        </w:rPr>
      </w:pPr>
      <w:r>
        <w:rPr>
          <w:rFonts w:ascii="Arial" w:cs="Arial" w:eastAsia="Arial" w:hAnsi="Arial"/>
          <w:sz w:val="16"/>
          <w:szCs w:val="16"/>
          <w:b w:val="1"/>
          <w:bCs w:val="1"/>
          <w:color w:val="auto"/>
        </w:rPr>
        <w:t>NON-GAAP RECONCILIATIONS - GUIDANCE</w:t>
      </w:r>
    </w:p>
    <w:p>
      <w:pPr>
        <w:spacing w:after="0" w:line="19" w:lineRule="exact"/>
        <w:rPr>
          <w:sz w:val="20"/>
          <w:szCs w:val="20"/>
          <w:color w:val="auto"/>
        </w:rPr>
      </w:pPr>
    </w:p>
    <w:p>
      <w:pPr>
        <w:ind w:left="4828"/>
        <w:spacing w:after="0"/>
        <w:rPr>
          <w:sz w:val="20"/>
          <w:szCs w:val="20"/>
          <w:color w:val="auto"/>
        </w:rPr>
      </w:pPr>
      <w:r>
        <w:rPr>
          <w:rFonts w:ascii="Arial" w:cs="Arial" w:eastAsia="Arial" w:hAnsi="Arial"/>
          <w:sz w:val="16"/>
          <w:szCs w:val="16"/>
          <w:b w:val="1"/>
          <w:bCs w:val="1"/>
          <w:color w:val="auto"/>
        </w:rPr>
        <w:t>(in millions)</w:t>
      </w:r>
    </w:p>
    <w:p>
      <w:pPr>
        <w:spacing w:after="0" w:line="5" w:lineRule="exact"/>
        <w:rPr>
          <w:sz w:val="20"/>
          <w:szCs w:val="20"/>
          <w:color w:val="auto"/>
        </w:rPr>
      </w:pPr>
    </w:p>
    <w:p>
      <w:pPr>
        <w:ind w:left="4848"/>
        <w:spacing w:after="0"/>
        <w:rPr>
          <w:sz w:val="20"/>
          <w:szCs w:val="20"/>
          <w:color w:val="auto"/>
        </w:rPr>
      </w:pPr>
      <w:r>
        <w:rPr>
          <w:rFonts w:ascii="Arial" w:cs="Arial" w:eastAsia="Arial" w:hAnsi="Arial"/>
          <w:sz w:val="16"/>
          <w:szCs w:val="16"/>
          <w:b w:val="1"/>
          <w:bCs w:val="1"/>
          <w:color w:val="auto"/>
        </w:rPr>
        <w:t>(unaudited)</w:t>
      </w:r>
    </w:p>
    <w:p>
      <w:pPr>
        <w:spacing w:after="0" w:line="361" w:lineRule="exact"/>
        <w:rPr>
          <w:sz w:val="20"/>
          <w:szCs w:val="20"/>
          <w:color w:val="auto"/>
        </w:rPr>
      </w:pPr>
    </w:p>
    <w:p>
      <w:pPr>
        <w:ind w:left="6028"/>
        <w:spacing w:after="0"/>
        <w:rPr>
          <w:sz w:val="20"/>
          <w:szCs w:val="20"/>
          <w:color w:val="auto"/>
        </w:rPr>
      </w:pPr>
      <w:r>
        <w:rPr>
          <w:rFonts w:ascii="Arial" w:cs="Arial" w:eastAsia="Arial" w:hAnsi="Arial"/>
          <w:sz w:val="16"/>
          <w:szCs w:val="16"/>
          <w:b w:val="1"/>
          <w:bCs w:val="1"/>
          <w:color w:val="auto"/>
        </w:rPr>
        <w:t>Year Ending</w:t>
      </w:r>
    </w:p>
    <w:p>
      <w:pPr>
        <w:ind w:left="5788"/>
        <w:spacing w:after="0"/>
        <w:rPr>
          <w:sz w:val="20"/>
          <w:szCs w:val="20"/>
          <w:color w:val="auto"/>
        </w:rPr>
      </w:pPr>
      <w:r>
        <w:rPr>
          <w:rFonts w:ascii="Arial" w:cs="Arial" w:eastAsia="Arial" w:hAnsi="Arial"/>
          <w:sz w:val="16"/>
          <w:szCs w:val="16"/>
          <w:b w:val="1"/>
          <w:bCs w:val="1"/>
          <w:color w:val="auto"/>
        </w:rPr>
        <w:t>December 31, 2025</w:t>
      </w:r>
    </w:p>
    <w:p>
      <w:pPr>
        <w:spacing w:after="0" w:line="151" w:lineRule="exact"/>
        <w:rPr>
          <w:sz w:val="20"/>
          <w:szCs w:val="20"/>
          <w:color w:val="auto"/>
        </w:rPr>
      </w:pPr>
    </w:p>
    <w:tbl>
      <w:tblPr>
        <w:tblLayout w:type="fixed"/>
        <w:tblInd w:w="2908" w:type="dxa"/>
        <w:tblCellMar>
          <w:top w:w="0" w:type="dxa"/>
          <w:left w:w="0" w:type="dxa"/>
          <w:bottom w:w="0" w:type="dxa"/>
          <w:right w:w="0" w:type="dxa"/>
        </w:tblCellMar>
      </w:tblPr>
      <w:tr>
        <w:trPr>
          <w:trHeight w:val="215"/>
        </w:trPr>
        <w:tc>
          <w:tcPr>
            <w:tcW w:w="2240" w:type="dxa"/>
            <w:vAlign w:val="bottom"/>
          </w:tcPr>
          <w:p>
            <w:pPr>
              <w:spacing w:after="0"/>
              <w:rPr>
                <w:sz w:val="20"/>
                <w:szCs w:val="20"/>
                <w:color w:val="auto"/>
              </w:rPr>
            </w:pPr>
            <w:r>
              <w:rPr>
                <w:rFonts w:ascii="Arial" w:cs="Arial" w:eastAsia="Arial" w:hAnsi="Arial"/>
                <w:sz w:val="16"/>
                <w:szCs w:val="16"/>
                <w:color w:val="auto"/>
              </w:rPr>
              <w:t>EBITDA Range (1)</w:t>
            </w:r>
          </w:p>
        </w:tc>
        <w:tc>
          <w:tcPr>
            <w:tcW w:w="5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74.3</w:t>
            </w:r>
          </w:p>
        </w:tc>
        <w:tc>
          <w:tcPr>
            <w:tcW w:w="5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84.3</w:t>
            </w:r>
          </w:p>
        </w:tc>
      </w:tr>
      <w:tr>
        <w:trPr>
          <w:trHeight w:val="270"/>
        </w:trPr>
        <w:tc>
          <w:tcPr>
            <w:tcW w:w="2240" w:type="dxa"/>
            <w:vAlign w:val="bottom"/>
          </w:tcPr>
          <w:p>
            <w:pPr>
              <w:spacing w:after="0"/>
              <w:rPr>
                <w:sz w:val="20"/>
                <w:szCs w:val="20"/>
                <w:color w:val="auto"/>
              </w:rPr>
            </w:pPr>
            <w:r>
              <w:rPr>
                <w:rFonts w:ascii="Arial" w:cs="Arial" w:eastAsia="Arial" w:hAnsi="Arial"/>
                <w:sz w:val="16"/>
                <w:szCs w:val="16"/>
                <w:color w:val="auto"/>
              </w:rPr>
              <w:t>Adjusted EBITDA Range (1)</w:t>
            </w:r>
          </w:p>
        </w:tc>
        <w:tc>
          <w:tcPr>
            <w:tcW w:w="5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80.0</w:t>
            </w:r>
          </w:p>
        </w:tc>
        <w:tc>
          <w:tcPr>
            <w:tcW w:w="5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90.0</w:t>
            </w:r>
          </w:p>
        </w:tc>
      </w:tr>
    </w:tbl>
    <w:p>
      <w:pPr>
        <w:spacing w:after="0" w:line="312" w:lineRule="exact"/>
        <w:rPr>
          <w:sz w:val="20"/>
          <w:szCs w:val="20"/>
          <w:color w:val="auto"/>
        </w:rPr>
      </w:pPr>
    </w:p>
    <w:p>
      <w:pPr>
        <w:ind w:left="328" w:hanging="328"/>
        <w:spacing w:after="0" w:line="304" w:lineRule="auto"/>
        <w:tabs>
          <w:tab w:leader="none" w:pos="323"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following table sets forth a reconciliation of estimated EBITDA and Adjusted EBITDA to estimated net loss, which is the most directly comparable measure of financial performance calculated under generally accepted accounting principles (in millions) (unaudited):</w:t>
      </w:r>
    </w:p>
    <w:p>
      <w:pPr>
        <w:spacing w:after="0" w:line="284" w:lineRule="exact"/>
        <w:rPr>
          <w:sz w:val="20"/>
          <w:szCs w:val="20"/>
          <w:color w:val="auto"/>
        </w:rPr>
      </w:pPr>
    </w:p>
    <w:p>
      <w:pPr>
        <w:ind w:left="6088"/>
        <w:spacing w:after="0"/>
        <w:rPr>
          <w:sz w:val="20"/>
          <w:szCs w:val="20"/>
          <w:color w:val="auto"/>
        </w:rPr>
      </w:pPr>
      <w:r>
        <w:rPr>
          <w:rFonts w:ascii="Arial" w:cs="Arial" w:eastAsia="Arial" w:hAnsi="Arial"/>
          <w:sz w:val="16"/>
          <w:szCs w:val="16"/>
          <w:b w:val="1"/>
          <w:bCs w:val="1"/>
          <w:color w:val="auto"/>
        </w:rPr>
        <w:t>Year Ending</w:t>
      </w:r>
    </w:p>
    <w:p>
      <w:pPr>
        <w:ind w:left="5868"/>
        <w:spacing w:after="0"/>
        <w:rPr>
          <w:sz w:val="20"/>
          <w:szCs w:val="20"/>
          <w:color w:val="auto"/>
        </w:rPr>
      </w:pPr>
      <w:r>
        <w:rPr>
          <w:rFonts w:ascii="Arial" w:cs="Arial" w:eastAsia="Arial" w:hAnsi="Arial"/>
          <w:sz w:val="16"/>
          <w:szCs w:val="16"/>
          <w:b w:val="1"/>
          <w:bCs w:val="1"/>
          <w:color w:val="auto"/>
        </w:rPr>
        <w:t>December 31, 2025</w:t>
      </w:r>
    </w:p>
    <w:p>
      <w:pPr>
        <w:spacing w:after="0" w:line="151" w:lineRule="exact"/>
        <w:rPr>
          <w:sz w:val="20"/>
          <w:szCs w:val="20"/>
          <w:color w:val="auto"/>
        </w:rPr>
      </w:pPr>
    </w:p>
    <w:p>
      <w:pPr>
        <w:ind w:left="6148"/>
        <w:spacing w:after="0"/>
        <w:rPr>
          <w:sz w:val="20"/>
          <w:szCs w:val="20"/>
          <w:color w:val="auto"/>
        </w:rPr>
      </w:pPr>
      <w:r>
        <w:rPr>
          <w:rFonts w:ascii="Arial" w:cs="Arial" w:eastAsia="Arial" w:hAnsi="Arial"/>
          <w:sz w:val="16"/>
          <w:szCs w:val="16"/>
          <w:b w:val="1"/>
          <w:bCs w:val="1"/>
          <w:color w:val="auto"/>
        </w:rPr>
        <w:t>(estimated)</w:t>
      </w:r>
    </w:p>
    <w:p>
      <w:pPr>
        <w:spacing w:after="0" w:line="356" w:lineRule="exact"/>
        <w:rPr>
          <w:sz w:val="20"/>
          <w:szCs w:val="20"/>
          <w:color w:val="auto"/>
        </w:rPr>
      </w:pPr>
    </w:p>
    <w:tbl>
      <w:tblPr>
        <w:tblLayout w:type="fixed"/>
        <w:tblInd w:w="2648" w:type="dxa"/>
        <w:tblCellMar>
          <w:top w:w="0" w:type="dxa"/>
          <w:left w:w="0" w:type="dxa"/>
          <w:bottom w:w="0" w:type="dxa"/>
          <w:right w:w="0" w:type="dxa"/>
        </w:tblCellMar>
      </w:tblPr>
      <w:tr>
        <w:trPr>
          <w:trHeight w:val="215"/>
        </w:trPr>
        <w:tc>
          <w:tcPr>
            <w:tcW w:w="2580" w:type="dxa"/>
            <w:vAlign w:val="bottom"/>
          </w:tcPr>
          <w:p>
            <w:pPr>
              <w:spacing w:after="0"/>
              <w:rPr>
                <w:sz w:val="20"/>
                <w:szCs w:val="20"/>
                <w:color w:val="auto"/>
              </w:rPr>
            </w:pPr>
            <w:r>
              <w:rPr>
                <w:rFonts w:ascii="Arial" w:cs="Arial" w:eastAsia="Arial" w:hAnsi="Arial"/>
                <w:sz w:val="16"/>
                <w:szCs w:val="16"/>
                <w:color w:val="auto"/>
              </w:rPr>
              <w:t>Net loss</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(11.7)</w:t>
            </w:r>
          </w:p>
        </w:tc>
        <w:tc>
          <w:tcPr>
            <w:tcW w:w="18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6"/>
                <w:szCs w:val="16"/>
                <w:color w:val="auto"/>
              </w:rPr>
              <w:t>Income tax provision</w:t>
            </w:r>
          </w:p>
        </w:tc>
        <w:tc>
          <w:tcPr>
            <w:tcW w:w="4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14.0</w:t>
            </w: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4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67.0</w:t>
            </w: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67.0</w:t>
            </w:r>
          </w:p>
        </w:tc>
        <w:tc>
          <w:tcPr>
            <w:tcW w:w="0" w:type="dxa"/>
            <w:vAlign w:val="bottom"/>
          </w:tcPr>
          <w:p>
            <w:pPr>
              <w:spacing w:after="0"/>
              <w:rPr>
                <w:sz w:val="1"/>
                <w:szCs w:val="1"/>
                <w:color w:val="auto"/>
              </w:rPr>
            </w:pPr>
          </w:p>
        </w:tc>
      </w:tr>
      <w:tr>
        <w:trPr>
          <w:trHeight w:val="271"/>
        </w:trPr>
        <w:tc>
          <w:tcPr>
            <w:tcW w:w="2580" w:type="dxa"/>
            <w:vAlign w:val="bottom"/>
          </w:tcPr>
          <w:p>
            <w:pPr>
              <w:spacing w:after="0"/>
              <w:rPr>
                <w:sz w:val="20"/>
                <w:szCs w:val="20"/>
                <w:color w:val="auto"/>
              </w:rPr>
            </w:pPr>
            <w:r>
              <w:rPr>
                <w:rFonts w:ascii="Arial" w:cs="Arial" w:eastAsia="Arial" w:hAnsi="Arial"/>
                <w:sz w:val="16"/>
                <w:szCs w:val="16"/>
                <w:color w:val="auto"/>
              </w:rPr>
              <w:t>Interest expense</w:t>
            </w:r>
          </w:p>
        </w:tc>
        <w:tc>
          <w:tcPr>
            <w:tcW w:w="4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8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24"/>
        </w:trPr>
        <w:tc>
          <w:tcPr>
            <w:tcW w:w="2580" w:type="dxa"/>
            <w:vAlign w:val="bottom"/>
          </w:tcPr>
          <w:p>
            <w:pPr>
              <w:ind w:left="220"/>
              <w:spacing w:after="0"/>
              <w:rPr>
                <w:sz w:val="20"/>
                <w:szCs w:val="20"/>
                <w:color w:val="auto"/>
              </w:rPr>
            </w:pPr>
            <w:r>
              <w:rPr>
                <w:rFonts w:ascii="Arial" w:cs="Arial" w:eastAsia="Arial" w:hAnsi="Arial"/>
                <w:sz w:val="16"/>
                <w:szCs w:val="16"/>
                <w:color w:val="auto"/>
              </w:rPr>
              <w:t>EBITDA</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w:t>
            </w:r>
          </w:p>
        </w:tc>
        <w:tc>
          <w:tcPr>
            <w:tcW w:w="180" w:type="dxa"/>
            <w:vAlign w:val="bottom"/>
          </w:tcPr>
          <w:p>
            <w:pPr>
              <w:spacing w:after="0"/>
              <w:rPr>
                <w:sz w:val="19"/>
                <w:szCs w:val="19"/>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84.3</w:t>
            </w:r>
          </w:p>
        </w:tc>
        <w:tc>
          <w:tcPr>
            <w:tcW w:w="0" w:type="dxa"/>
            <w:vAlign w:val="bottom"/>
          </w:tcPr>
          <w:p>
            <w:pPr>
              <w:spacing w:after="0"/>
              <w:rPr>
                <w:sz w:val="1"/>
                <w:szCs w:val="1"/>
                <w:color w:val="auto"/>
              </w:rPr>
            </w:pPr>
          </w:p>
        </w:tc>
      </w:tr>
      <w:tr>
        <w:trPr>
          <w:trHeight w:val="20"/>
        </w:trPr>
        <w:tc>
          <w:tcPr>
            <w:tcW w:w="2580" w:type="dxa"/>
            <w:vAlign w:val="bottom"/>
            <w:vMerge w:val="restart"/>
          </w:tcPr>
          <w:p>
            <w:pPr>
              <w:spacing w:after="0"/>
              <w:rPr>
                <w:sz w:val="20"/>
                <w:szCs w:val="20"/>
                <w:color w:val="auto"/>
              </w:rPr>
            </w:pPr>
            <w:r>
              <w:rPr>
                <w:rFonts w:ascii="Arial" w:cs="Arial" w:eastAsia="Arial" w:hAnsi="Arial"/>
                <w:sz w:val="16"/>
                <w:szCs w:val="16"/>
                <w:color w:val="auto"/>
              </w:rPr>
              <w:t>Adjustments to EBITDA</w:t>
            </w: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258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580" w:type="dxa"/>
            <w:vAlign w:val="bottom"/>
          </w:tcPr>
          <w:p>
            <w:pPr>
              <w:ind w:left="120"/>
              <w:spacing w:after="0"/>
              <w:rPr>
                <w:sz w:val="20"/>
                <w:szCs w:val="20"/>
                <w:color w:val="auto"/>
              </w:rPr>
            </w:pPr>
            <w:r>
              <w:rPr>
                <w:rFonts w:ascii="Arial" w:cs="Arial" w:eastAsia="Arial" w:hAnsi="Arial"/>
                <w:sz w:val="16"/>
                <w:szCs w:val="16"/>
                <w:color w:val="auto"/>
              </w:rPr>
              <w:t>Canadian restructuring cost</w:t>
            </w:r>
          </w:p>
        </w:tc>
        <w:tc>
          <w:tcPr>
            <w:tcW w:w="4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w:t>
            </w: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58"/>
        </w:trPr>
        <w:tc>
          <w:tcPr>
            <w:tcW w:w="2580" w:type="dxa"/>
            <w:vAlign w:val="bottom"/>
          </w:tcPr>
          <w:p>
            <w:pPr>
              <w:ind w:left="120"/>
              <w:spacing w:after="0"/>
              <w:rPr>
                <w:sz w:val="20"/>
                <w:szCs w:val="20"/>
                <w:color w:val="auto"/>
              </w:rPr>
            </w:pPr>
            <w:r>
              <w:rPr>
                <w:rFonts w:ascii="Arial" w:cs="Arial" w:eastAsia="Arial" w:hAnsi="Arial"/>
                <w:sz w:val="16"/>
                <w:szCs w:val="16"/>
                <w:color w:val="auto"/>
              </w:rPr>
              <w:t>Share-based compensation</w:t>
            </w: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24"/>
        </w:trPr>
        <w:tc>
          <w:tcPr>
            <w:tcW w:w="2580" w:type="dxa"/>
            <w:vAlign w:val="bottom"/>
          </w:tcPr>
          <w:p>
            <w:pPr>
              <w:ind w:left="440"/>
              <w:spacing w:after="0"/>
              <w:rPr>
                <w:sz w:val="20"/>
                <w:szCs w:val="20"/>
                <w:color w:val="auto"/>
              </w:rPr>
            </w:pPr>
            <w:r>
              <w:rPr>
                <w:rFonts w:ascii="Arial" w:cs="Arial" w:eastAsia="Arial" w:hAnsi="Arial"/>
                <w:sz w:val="16"/>
                <w:szCs w:val="16"/>
                <w:color w:val="auto"/>
              </w:rPr>
              <w:t>Adjusted EBITDA</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w:t>
            </w:r>
          </w:p>
        </w:tc>
        <w:tc>
          <w:tcPr>
            <w:tcW w:w="180" w:type="dxa"/>
            <w:vAlign w:val="bottom"/>
          </w:tcPr>
          <w:p>
            <w:pPr>
              <w:spacing w:after="0"/>
              <w:rPr>
                <w:sz w:val="19"/>
                <w:szCs w:val="19"/>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108"/>
          </w:cols>
          <w:pgMar w:left="652" w:top="1138" w:right="11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CONTACT: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Regan Nielsen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Development &amp;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713-510-2400</w:t>
      </w:r>
    </w:p>
    <w:sectPr>
      <w:pgSz w:w="11900" w:h="16838" w:orient="portrait"/>
      <w:cols w:equalWidth="0" w:num="1">
        <w:col w:w="10139"/>
      </w:cols>
      <w:pgMar w:left="320" w:top="13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decimal"/>
      <w:start w:val="1"/>
    </w:lvl>
    <w:lvl w:ilvl="1">
      <w:lvlJc w:val="left"/>
      <w:lvlText w:val="(%2)"/>
      <w:numFmt w:val="lowerLetter"/>
      <w:start w:val="2"/>
    </w:lvl>
  </w:abstractNum>
  <w:abstractNum w:abstractNumId="7">
    <w:nsid w:val="12200854"/>
    <w:multiLevelType w:val="hybridMultilevel"/>
    <w:lvl w:ilvl="0">
      <w:lvlJc w:val="left"/>
      <w:lvlText w:val="(%1)"/>
      <w:numFmt w:val="decimal"/>
      <w:start w:val="2"/>
    </w:lvl>
    <w:lvl w:ilvl="1">
      <w:lvlJc w:val="left"/>
      <w:lvlText w:val="%2"/>
      <w:numFmt w:val="lowerLetter"/>
      <w:start w:val="1"/>
    </w:lvl>
  </w:abstractNum>
  <w:abstractNum w:abstractNumId="8">
    <w:nsid w:val="4DB127F8"/>
    <w:multiLevelType w:val="hybridMultilevel"/>
    <w:lvl w:ilvl="0">
      <w:lvlJc w:val="left"/>
      <w:lvlText w:val="(%1)"/>
      <w:numFmt w:val="decimal"/>
      <w:start w:val="3"/>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2025-02-27T08:14:31Z</dcterms:created>
  <dcterms:modified xsi:type="dcterms:W3CDTF">2025-02-27T08:14:31Z</dcterms:modified>
</cp:coreProperties>
</file>