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1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Brewer Barclay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7"/>
          <w:szCs w:val="17"/>
          <w:color w:val="0000FF"/>
        </w:rPr>
        <w:t>Vice President and Controller</w:t>
      </w:r>
    </w:p>
    <w:p>
      <w:pPr>
        <w:spacing w:after="0" w:line="39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2,273</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9,332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2,273</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32.02</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7,059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02/22/2023</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2,273</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2,273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11,443</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grant date. 2,273 shares vested on February 22, 2023.</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02/23/2023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66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2023-02-23T19:03:10Z</dcterms:created>
  <dcterms:modified xsi:type="dcterms:W3CDTF">2023-02-23T19:03:10Z</dcterms:modified>
</cp:coreProperties>
</file>