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87" w:type="dxa"/>
        <w:tblCellMar>
          <w:top w:w="0" w:type="dxa"/>
          <w:left w:w="0" w:type="dxa"/>
          <w:bottom w:w="0" w:type="dxa"/>
          <w:right w:w="0" w:type="dxa"/>
        </w:tblCellMar>
      </w:tblPr>
      <w:tr>
        <w:trPr>
          <w:trHeight w:val="180"/>
        </w:trPr>
        <w:tc>
          <w:tcPr>
            <w:tcW w:w="1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700" w:type="dxa"/>
            <w:vAlign w:val="bottom"/>
            <w:gridSpan w:val="3"/>
          </w:tcPr>
          <w:p>
            <w:pPr>
              <w:jc w:val="center"/>
              <w:ind w:right="1140"/>
              <w:spacing w:after="0" w:line="181" w:lineRule="exact"/>
              <w:rPr>
                <w:sz w:val="20"/>
                <w:szCs w:val="20"/>
                <w:color w:val="auto"/>
              </w:rPr>
            </w:pPr>
            <w:r>
              <w:rPr>
                <w:rFonts w:ascii="Arial" w:cs="Arial" w:eastAsia="Arial" w:hAnsi="Arial"/>
                <w:sz w:val="16"/>
                <w:szCs w:val="16"/>
                <w:b w:val="1"/>
                <w:bCs w:val="1"/>
                <w:color w:val="auto"/>
                <w:w w:val="94"/>
              </w:rPr>
              <w:t>UNITED STATES</w:t>
            </w:r>
          </w:p>
        </w:tc>
        <w:tc>
          <w:tcPr>
            <w:tcW w:w="2320" w:type="dxa"/>
            <w:vAlign w:val="bottom"/>
            <w:tcBorders>
              <w:top w:val="single" w:sz="8" w:color="auto"/>
              <w:left w:val="single" w:sz="8" w:color="auto"/>
              <w:right w:val="single" w:sz="8" w:color="auto"/>
            </w:tcBorders>
            <w:gridSpan w:val="2"/>
          </w:tcPr>
          <w:p>
            <w:pPr>
              <w:ind w:left="560"/>
              <w:spacing w:after="0" w:line="181" w:lineRule="exact"/>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700" w:type="dxa"/>
            <w:vAlign w:val="bottom"/>
            <w:gridSpan w:val="3"/>
            <w:vMerge w:val="restart"/>
          </w:tcPr>
          <w:p>
            <w:pPr>
              <w:jc w:val="center"/>
              <w:ind w:right="1140"/>
              <w:spacing w:after="0"/>
              <w:rPr>
                <w:sz w:val="20"/>
                <w:szCs w:val="20"/>
                <w:color w:val="auto"/>
              </w:rPr>
            </w:pPr>
            <w:r>
              <w:rPr>
                <w:rFonts w:ascii="Arial" w:cs="Arial" w:eastAsia="Arial" w:hAnsi="Arial"/>
                <w:sz w:val="16"/>
                <w:szCs w:val="16"/>
                <w:color w:val="auto"/>
                <w:w w:val="94"/>
              </w:rPr>
              <w:t>SECURITIES AND EXCHANGE COMMISSION</w:t>
            </w:r>
          </w:p>
        </w:tc>
        <w:tc>
          <w:tcPr>
            <w:tcW w:w="1720" w:type="dxa"/>
            <w:vAlign w:val="bottom"/>
            <w:tcBorders>
              <w:left w:val="single" w:sz="8" w:color="auto"/>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700" w:type="dxa"/>
            <w:vAlign w:val="bottom"/>
            <w:gridSpan w:val="3"/>
            <w:vMerge w:val="continue"/>
          </w:tcPr>
          <w:p>
            <w:pPr>
              <w:spacing w:after="0"/>
              <w:rPr>
                <w:sz w:val="8"/>
                <w:szCs w:val="8"/>
                <w:color w:val="auto"/>
              </w:rPr>
            </w:pPr>
          </w:p>
        </w:tc>
        <w:tc>
          <w:tcPr>
            <w:tcW w:w="232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OMB Number:3235-0145</w:t>
            </w:r>
          </w:p>
        </w:tc>
        <w:tc>
          <w:tcPr>
            <w:tcW w:w="0" w:type="dxa"/>
            <w:vAlign w:val="bottom"/>
          </w:tcPr>
          <w:p>
            <w:pPr>
              <w:spacing w:after="0"/>
              <w:rPr>
                <w:sz w:val="1"/>
                <w:szCs w:val="1"/>
                <w:color w:val="auto"/>
              </w:rPr>
            </w:pPr>
          </w:p>
        </w:tc>
      </w:tr>
      <w:tr>
        <w:trPr>
          <w:trHeight w:val="93"/>
        </w:trPr>
        <w:tc>
          <w:tcPr>
            <w:tcW w:w="1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700" w:type="dxa"/>
            <w:vAlign w:val="bottom"/>
            <w:gridSpan w:val="3"/>
            <w:vMerge w:val="restart"/>
          </w:tcPr>
          <w:p>
            <w:pPr>
              <w:jc w:val="center"/>
              <w:ind w:right="1140"/>
              <w:spacing w:after="0"/>
              <w:rPr>
                <w:sz w:val="20"/>
                <w:szCs w:val="20"/>
                <w:color w:val="auto"/>
              </w:rPr>
            </w:pPr>
            <w:r>
              <w:rPr>
                <w:rFonts w:ascii="Arial" w:cs="Arial" w:eastAsia="Arial" w:hAnsi="Arial"/>
                <w:sz w:val="16"/>
                <w:szCs w:val="16"/>
                <w:color w:val="auto"/>
                <w:w w:val="87"/>
              </w:rPr>
              <w:t>Washington, D.C. 20549</w:t>
            </w:r>
          </w:p>
        </w:tc>
        <w:tc>
          <w:tcPr>
            <w:tcW w:w="2320" w:type="dxa"/>
            <w:vAlign w:val="bottom"/>
            <w:tcBorders>
              <w:left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700" w:type="dxa"/>
            <w:vAlign w:val="bottom"/>
            <w:gridSpan w:val="3"/>
            <w:vMerge w:val="continue"/>
          </w:tcPr>
          <w:p>
            <w:pPr>
              <w:spacing w:after="0"/>
              <w:rPr>
                <w:sz w:val="8"/>
                <w:szCs w:val="8"/>
                <w:color w:val="auto"/>
              </w:rPr>
            </w:pPr>
          </w:p>
        </w:tc>
        <w:tc>
          <w:tcPr>
            <w:tcW w:w="232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Estimated average burden</w:t>
            </w:r>
          </w:p>
        </w:tc>
        <w:tc>
          <w:tcPr>
            <w:tcW w:w="0" w:type="dxa"/>
            <w:vAlign w:val="bottom"/>
          </w:tcPr>
          <w:p>
            <w:pPr>
              <w:spacing w:after="0"/>
              <w:rPr>
                <w:sz w:val="1"/>
                <w:szCs w:val="1"/>
                <w:color w:val="auto"/>
              </w:rPr>
            </w:pPr>
          </w:p>
        </w:tc>
      </w:tr>
      <w:tr>
        <w:trPr>
          <w:trHeight w:val="83"/>
        </w:trPr>
        <w:tc>
          <w:tcPr>
            <w:tcW w:w="1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320" w:type="dxa"/>
            <w:vAlign w:val="bottom"/>
            <w:tcBorders>
              <w:left w:val="single" w:sz="8" w:color="auto"/>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hours per response… 10.4</w:t>
            </w:r>
          </w:p>
        </w:tc>
        <w:tc>
          <w:tcPr>
            <w:tcW w:w="0" w:type="dxa"/>
            <w:vAlign w:val="bottom"/>
          </w:tcPr>
          <w:p>
            <w:pPr>
              <w:spacing w:after="0"/>
              <w:rPr>
                <w:sz w:val="1"/>
                <w:szCs w:val="1"/>
                <w:color w:val="auto"/>
              </w:rPr>
            </w:pPr>
          </w:p>
        </w:tc>
      </w:tr>
      <w:tr>
        <w:trPr>
          <w:trHeight w:val="24"/>
        </w:trPr>
        <w:tc>
          <w:tcPr>
            <w:tcW w:w="1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700" w:type="dxa"/>
            <w:vAlign w:val="bottom"/>
            <w:gridSpan w:val="3"/>
            <w:vMerge w:val="restart"/>
          </w:tcPr>
          <w:p>
            <w:pPr>
              <w:jc w:val="center"/>
              <w:ind w:right="1140"/>
              <w:spacing w:after="0"/>
              <w:rPr>
                <w:sz w:val="20"/>
                <w:szCs w:val="20"/>
                <w:color w:val="auto"/>
              </w:rPr>
            </w:pPr>
            <w:r>
              <w:rPr>
                <w:rFonts w:ascii="Arial" w:cs="Arial" w:eastAsia="Arial" w:hAnsi="Arial"/>
                <w:sz w:val="16"/>
                <w:szCs w:val="16"/>
                <w:b w:val="1"/>
                <w:bCs w:val="1"/>
                <w:color w:val="auto"/>
                <w:w w:val="95"/>
              </w:rPr>
              <w:t>SCHEDULE 13D</w:t>
            </w:r>
          </w:p>
        </w:tc>
        <w:tc>
          <w:tcPr>
            <w:tcW w:w="1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8"/>
        </w:trPr>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3"/>
            <w:vMerge w:val="continue"/>
          </w:tcPr>
          <w:p>
            <w:pPr>
              <w:spacing w:after="0"/>
              <w:rPr>
                <w:sz w:val="24"/>
                <w:szCs w:val="24"/>
                <w:color w:val="auto"/>
              </w:rPr>
            </w:pP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3"/>
          </w:tcPr>
          <w:p>
            <w:pPr>
              <w:jc w:val="center"/>
              <w:ind w:right="1140"/>
              <w:spacing w:after="0"/>
              <w:rPr>
                <w:sz w:val="20"/>
                <w:szCs w:val="20"/>
                <w:color w:val="auto"/>
              </w:rPr>
            </w:pPr>
            <w:r>
              <w:rPr>
                <w:rFonts w:ascii="Arial" w:cs="Arial" w:eastAsia="Arial" w:hAnsi="Arial"/>
                <w:sz w:val="16"/>
                <w:szCs w:val="16"/>
                <w:b w:val="1"/>
                <w:bCs w:val="1"/>
                <w:color w:val="auto"/>
                <w:w w:val="87"/>
              </w:rPr>
              <w:t>Under the Securities Exchange Act of 1934</w:t>
            </w: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3"/>
          </w:tcPr>
          <w:p>
            <w:pPr>
              <w:jc w:val="center"/>
              <w:ind w:right="1160"/>
              <w:spacing w:after="0"/>
              <w:rPr>
                <w:sz w:val="20"/>
                <w:szCs w:val="20"/>
                <w:color w:val="auto"/>
              </w:rPr>
            </w:pPr>
            <w:r>
              <w:rPr>
                <w:rFonts w:ascii="Arial" w:cs="Arial" w:eastAsia="Arial" w:hAnsi="Arial"/>
                <w:sz w:val="16"/>
                <w:szCs w:val="16"/>
                <w:b w:val="1"/>
                <w:bCs w:val="1"/>
                <w:color w:val="auto"/>
                <w:w w:val="90"/>
              </w:rPr>
              <w:t>(Amendment No. 1)*</w:t>
            </w: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3"/>
          </w:tcPr>
          <w:p>
            <w:pPr>
              <w:jc w:val="center"/>
              <w:ind w:right="1140"/>
              <w:spacing w:after="0"/>
              <w:rPr>
                <w:sz w:val="20"/>
                <w:szCs w:val="20"/>
                <w:color w:val="auto"/>
              </w:rPr>
            </w:pPr>
            <w:r>
              <w:rPr>
                <w:rFonts w:ascii="Arial" w:cs="Arial" w:eastAsia="Arial" w:hAnsi="Arial"/>
                <w:sz w:val="16"/>
                <w:szCs w:val="16"/>
                <w:b w:val="1"/>
                <w:bCs w:val="1"/>
                <w:color w:val="auto"/>
                <w:w w:val="88"/>
              </w:rPr>
              <w:t>Civeo Corporation</w:t>
            </w: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(Name of Issuer)</w:t>
            </w: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17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6"/>
                <w:szCs w:val="16"/>
                <w:b w:val="1"/>
                <w:bCs w:val="1"/>
                <w:color w:val="auto"/>
                <w:w w:val="87"/>
              </w:rPr>
              <w:t>Common Stock, par value $0.01 per share</w:t>
            </w: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00" w:type="dxa"/>
            <w:vAlign w:val="bottom"/>
            <w:gridSpan w:val="3"/>
          </w:tcPr>
          <w:p>
            <w:pPr>
              <w:jc w:val="center"/>
              <w:ind w:right="1140"/>
              <w:spacing w:after="0"/>
              <w:rPr>
                <w:sz w:val="20"/>
                <w:szCs w:val="20"/>
                <w:color w:val="auto"/>
              </w:rPr>
            </w:pPr>
            <w:r>
              <w:rPr>
                <w:rFonts w:ascii="Arial" w:cs="Arial" w:eastAsia="Arial" w:hAnsi="Arial"/>
                <w:sz w:val="16"/>
                <w:szCs w:val="16"/>
                <w:color w:val="auto"/>
                <w:w w:val="89"/>
              </w:rPr>
              <w:t>(Title of Class of Securities)</w:t>
            </w: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jc w:val="right"/>
              <w:ind w:right="1862"/>
              <w:spacing w:after="0"/>
              <w:rPr>
                <w:sz w:val="20"/>
                <w:szCs w:val="20"/>
                <w:color w:val="auto"/>
              </w:rPr>
            </w:pPr>
            <w:r>
              <w:rPr>
                <w:rFonts w:ascii="Arial" w:cs="Arial" w:eastAsia="Arial" w:hAnsi="Arial"/>
                <w:sz w:val="16"/>
                <w:szCs w:val="16"/>
                <w:b w:val="1"/>
                <w:bCs w:val="1"/>
                <w:color w:val="auto"/>
              </w:rPr>
              <w:t>178787107</w:t>
            </w:r>
          </w:p>
        </w:tc>
        <w:tc>
          <w:tcPr>
            <w:tcW w:w="5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140" w:type="dxa"/>
            <w:vAlign w:val="bottom"/>
            <w:gridSpan w:val="2"/>
          </w:tcPr>
          <w:p>
            <w:pPr>
              <w:jc w:val="center"/>
              <w:ind w:right="600"/>
              <w:spacing w:after="0"/>
              <w:rPr>
                <w:sz w:val="20"/>
                <w:szCs w:val="20"/>
                <w:color w:val="auto"/>
              </w:rPr>
            </w:pPr>
            <w:r>
              <w:rPr>
                <w:rFonts w:ascii="Arial" w:cs="Arial" w:eastAsia="Arial" w:hAnsi="Arial"/>
                <w:sz w:val="16"/>
                <w:szCs w:val="16"/>
                <w:color w:val="auto"/>
                <w:w w:val="90"/>
              </w:rPr>
              <w:t>(CUSIP Number)</w:t>
            </w:r>
          </w:p>
        </w:tc>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3"/>
          </w:tcPr>
          <w:p>
            <w:pPr>
              <w:jc w:val="center"/>
              <w:ind w:right="1160"/>
              <w:spacing w:after="0"/>
              <w:rPr>
                <w:sz w:val="20"/>
                <w:szCs w:val="20"/>
                <w:color w:val="auto"/>
              </w:rPr>
            </w:pPr>
            <w:r>
              <w:rPr>
                <w:rFonts w:ascii="Arial" w:cs="Arial" w:eastAsia="Arial" w:hAnsi="Arial"/>
                <w:sz w:val="16"/>
                <w:szCs w:val="16"/>
                <w:color w:val="auto"/>
                <w:w w:val="89"/>
              </w:rPr>
              <w:t>Greenlight Capital, Inc.</w:t>
            </w: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00" w:type="dxa"/>
            <w:vAlign w:val="bottom"/>
            <w:gridSpan w:val="3"/>
          </w:tcPr>
          <w:p>
            <w:pPr>
              <w:jc w:val="center"/>
              <w:ind w:right="1160"/>
              <w:spacing w:after="0"/>
              <w:rPr>
                <w:sz w:val="20"/>
                <w:szCs w:val="20"/>
                <w:color w:val="auto"/>
              </w:rPr>
            </w:pPr>
            <w:r>
              <w:rPr>
                <w:rFonts w:ascii="Arial" w:cs="Arial" w:eastAsia="Arial" w:hAnsi="Arial"/>
                <w:sz w:val="16"/>
                <w:szCs w:val="16"/>
                <w:color w:val="auto"/>
                <w:w w:val="87"/>
              </w:rPr>
              <w:t>140 East 45th Street, Floor 24</w:t>
            </w: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00" w:type="dxa"/>
            <w:vAlign w:val="bottom"/>
            <w:gridSpan w:val="3"/>
          </w:tcPr>
          <w:p>
            <w:pPr>
              <w:jc w:val="center"/>
              <w:ind w:right="1160"/>
              <w:spacing w:after="0"/>
              <w:rPr>
                <w:sz w:val="20"/>
                <w:szCs w:val="20"/>
                <w:color w:val="auto"/>
              </w:rPr>
            </w:pPr>
            <w:r>
              <w:rPr>
                <w:rFonts w:ascii="Arial" w:cs="Arial" w:eastAsia="Arial" w:hAnsi="Arial"/>
                <w:sz w:val="16"/>
                <w:szCs w:val="16"/>
                <w:color w:val="auto"/>
                <w:w w:val="90"/>
              </w:rPr>
              <w:t>New York, New York 10017</w:t>
            </w: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00" w:type="dxa"/>
            <w:vAlign w:val="bottom"/>
            <w:gridSpan w:val="3"/>
          </w:tcPr>
          <w:p>
            <w:pPr>
              <w:jc w:val="center"/>
              <w:ind w:right="1140"/>
              <w:spacing w:after="0"/>
              <w:rPr>
                <w:sz w:val="20"/>
                <w:szCs w:val="20"/>
                <w:color w:val="auto"/>
              </w:rPr>
            </w:pPr>
            <w:r>
              <w:rPr>
                <w:rFonts w:ascii="Arial" w:cs="Arial" w:eastAsia="Arial" w:hAnsi="Arial"/>
                <w:sz w:val="16"/>
                <w:szCs w:val="16"/>
                <w:color w:val="auto"/>
                <w:w w:val="89"/>
              </w:rPr>
              <w:t>Tel. No.: (212) 973-1900</w:t>
            </w: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6"/>
                <w:szCs w:val="16"/>
                <w:color w:val="auto"/>
                <w:w w:val="91"/>
              </w:rPr>
              <w:t>Attention: Chief Operating Officer</w:t>
            </w:r>
          </w:p>
        </w:tc>
        <w:tc>
          <w:tcPr>
            <w:tcW w:w="172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700" w:type="dxa"/>
            <w:vAlign w:val="bottom"/>
            <w:gridSpan w:val="3"/>
          </w:tcPr>
          <w:p>
            <w:pPr>
              <w:jc w:val="center"/>
              <w:ind w:right="1140"/>
              <w:spacing w:after="0" w:line="168" w:lineRule="exact"/>
              <w:rPr>
                <w:sz w:val="20"/>
                <w:szCs w:val="20"/>
                <w:color w:val="auto"/>
              </w:rPr>
            </w:pPr>
            <w:r>
              <w:rPr>
                <w:rFonts w:ascii="Arial" w:cs="Arial" w:eastAsia="Arial" w:hAnsi="Arial"/>
                <w:sz w:val="16"/>
                <w:szCs w:val="16"/>
                <w:color w:val="auto"/>
                <w:w w:val="87"/>
              </w:rPr>
              <w:t>(Name, Address and Telephone Number of Person Authorized to</w:t>
            </w: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700" w:type="dxa"/>
            <w:vAlign w:val="bottom"/>
            <w:gridSpan w:val="3"/>
          </w:tcPr>
          <w:p>
            <w:pPr>
              <w:jc w:val="center"/>
              <w:ind w:right="1160"/>
              <w:spacing w:after="0"/>
              <w:rPr>
                <w:sz w:val="20"/>
                <w:szCs w:val="20"/>
                <w:color w:val="auto"/>
              </w:rPr>
            </w:pPr>
            <w:r>
              <w:rPr>
                <w:rFonts w:ascii="Arial" w:cs="Arial" w:eastAsia="Arial" w:hAnsi="Arial"/>
                <w:sz w:val="16"/>
                <w:szCs w:val="16"/>
                <w:color w:val="auto"/>
                <w:w w:val="87"/>
              </w:rPr>
              <w:t>Receive Notices and Communications)</w:t>
            </w: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3"/>
          </w:tcPr>
          <w:p>
            <w:pPr>
              <w:jc w:val="center"/>
              <w:ind w:right="1160"/>
              <w:spacing w:after="0"/>
              <w:rPr>
                <w:sz w:val="20"/>
                <w:szCs w:val="20"/>
                <w:color w:val="auto"/>
              </w:rPr>
            </w:pPr>
            <w:r>
              <w:rPr>
                <w:rFonts w:ascii="Arial" w:cs="Arial" w:eastAsia="Arial" w:hAnsi="Arial"/>
                <w:sz w:val="16"/>
                <w:szCs w:val="16"/>
                <w:color w:val="auto"/>
                <w:w w:val="90"/>
              </w:rPr>
              <w:t>- with copies to -</w:t>
            </w: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3"/>
          </w:tcPr>
          <w:p>
            <w:pPr>
              <w:jc w:val="center"/>
              <w:ind w:right="1160"/>
              <w:spacing w:after="0"/>
              <w:rPr>
                <w:sz w:val="20"/>
                <w:szCs w:val="20"/>
                <w:color w:val="auto"/>
              </w:rPr>
            </w:pPr>
            <w:r>
              <w:rPr>
                <w:rFonts w:ascii="Arial" w:cs="Arial" w:eastAsia="Arial" w:hAnsi="Arial"/>
                <w:sz w:val="16"/>
                <w:szCs w:val="16"/>
                <w:color w:val="auto"/>
                <w:w w:val="94"/>
              </w:rPr>
              <w:t>Barry N. Hurwitz</w:t>
            </w: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00" w:type="dxa"/>
            <w:vAlign w:val="bottom"/>
            <w:gridSpan w:val="3"/>
          </w:tcPr>
          <w:p>
            <w:pPr>
              <w:jc w:val="center"/>
              <w:ind w:right="1160"/>
              <w:spacing w:after="0"/>
              <w:rPr>
                <w:sz w:val="20"/>
                <w:szCs w:val="20"/>
                <w:color w:val="auto"/>
              </w:rPr>
            </w:pPr>
            <w:r>
              <w:rPr>
                <w:rFonts w:ascii="Arial" w:cs="Arial" w:eastAsia="Arial" w:hAnsi="Arial"/>
                <w:sz w:val="16"/>
                <w:szCs w:val="16"/>
                <w:color w:val="auto"/>
                <w:w w:val="93"/>
              </w:rPr>
              <w:t>Morgan, Lewis &amp; Bockius LLP</w:t>
            </w: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00" w:type="dxa"/>
            <w:vAlign w:val="bottom"/>
            <w:gridSpan w:val="3"/>
          </w:tcPr>
          <w:p>
            <w:pPr>
              <w:jc w:val="center"/>
              <w:ind w:right="1140"/>
              <w:spacing w:after="0"/>
              <w:rPr>
                <w:sz w:val="20"/>
                <w:szCs w:val="20"/>
                <w:color w:val="auto"/>
              </w:rPr>
            </w:pPr>
            <w:r>
              <w:rPr>
                <w:rFonts w:ascii="Arial" w:cs="Arial" w:eastAsia="Arial" w:hAnsi="Arial"/>
                <w:sz w:val="16"/>
                <w:szCs w:val="16"/>
                <w:color w:val="auto"/>
                <w:w w:val="85"/>
              </w:rPr>
              <w:t>One Federal Street</w:t>
            </w: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00" w:type="dxa"/>
            <w:vAlign w:val="bottom"/>
            <w:gridSpan w:val="3"/>
          </w:tcPr>
          <w:p>
            <w:pPr>
              <w:jc w:val="center"/>
              <w:ind w:right="1160"/>
              <w:spacing w:after="0"/>
              <w:rPr>
                <w:sz w:val="20"/>
                <w:szCs w:val="20"/>
                <w:color w:val="auto"/>
              </w:rPr>
            </w:pPr>
            <w:r>
              <w:rPr>
                <w:rFonts w:ascii="Arial" w:cs="Arial" w:eastAsia="Arial" w:hAnsi="Arial"/>
                <w:sz w:val="16"/>
                <w:szCs w:val="16"/>
                <w:color w:val="auto"/>
                <w:w w:val="89"/>
              </w:rPr>
              <w:t>Boston, MA 02110</w:t>
            </w: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60" w:type="dxa"/>
            <w:vAlign w:val="bottom"/>
          </w:tcPr>
          <w:p>
            <w:pPr>
              <w:jc w:val="right"/>
              <w:ind w:right="1722"/>
              <w:spacing w:after="0"/>
              <w:rPr>
                <w:sz w:val="20"/>
                <w:szCs w:val="20"/>
                <w:color w:val="auto"/>
              </w:rPr>
            </w:pPr>
            <w:r>
              <w:rPr>
                <w:rFonts w:ascii="Arial" w:cs="Arial" w:eastAsia="Arial" w:hAnsi="Arial"/>
                <w:sz w:val="16"/>
                <w:szCs w:val="16"/>
                <w:color w:val="auto"/>
              </w:rPr>
              <w:t>(617) 951-8000</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1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6"/>
                <w:szCs w:val="16"/>
                <w:b w:val="1"/>
                <w:bCs w:val="1"/>
                <w:color w:val="auto"/>
                <w:w w:val="89"/>
              </w:rPr>
              <w:t>May 5, 2015</w:t>
            </w:r>
          </w:p>
        </w:tc>
        <w:tc>
          <w:tcPr>
            <w:tcW w:w="17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00" w:type="dxa"/>
            <w:vAlign w:val="bottom"/>
            <w:gridSpan w:val="3"/>
          </w:tcPr>
          <w:p>
            <w:pPr>
              <w:jc w:val="center"/>
              <w:ind w:right="1140"/>
              <w:spacing w:after="0"/>
              <w:rPr>
                <w:sz w:val="20"/>
                <w:szCs w:val="20"/>
                <w:color w:val="auto"/>
              </w:rPr>
            </w:pPr>
            <w:r>
              <w:rPr>
                <w:rFonts w:ascii="Arial" w:cs="Arial" w:eastAsia="Arial" w:hAnsi="Arial"/>
                <w:sz w:val="16"/>
                <w:szCs w:val="16"/>
                <w:color w:val="auto"/>
                <w:w w:val="89"/>
              </w:rPr>
              <w:t>(Date of Event Which Requires Filing of this Statement)</w:t>
            </w: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9" w:lineRule="exact"/>
        <w:rPr>
          <w:sz w:val="24"/>
          <w:szCs w:val="24"/>
          <w:color w:val="auto"/>
        </w:rPr>
      </w:pPr>
    </w:p>
    <w:p>
      <w:pPr>
        <w:ind w:left="7" w:right="60"/>
        <w:spacing w:after="0" w:line="259" w:lineRule="auto"/>
        <w:rPr>
          <w:sz w:val="20"/>
          <w:szCs w:val="20"/>
          <w:color w:val="auto"/>
        </w:rPr>
      </w:pPr>
      <w:r>
        <w:rPr>
          <w:rFonts w:ascii="Arial" w:cs="Arial" w:eastAsia="Arial" w:hAnsi="Arial"/>
          <w:sz w:val="16"/>
          <w:szCs w:val="16"/>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180" w:lineRule="exact"/>
        <w:rPr>
          <w:sz w:val="24"/>
          <w:szCs w:val="24"/>
          <w:color w:val="auto"/>
        </w:rPr>
      </w:pPr>
    </w:p>
    <w:p>
      <w:pPr>
        <w:ind w:left="7" w:right="180"/>
        <w:spacing w:after="0" w:line="267"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Schedules filed in paper format shall include a signed original and five copies of the schedule, including all exhibits. See Rule 13d-7 for other parties to whom copies are to be</w:t>
      </w:r>
      <w:r>
        <w:rPr>
          <w:rFonts w:ascii="Arial" w:cs="Arial" w:eastAsia="Arial" w:hAnsi="Arial"/>
          <w:sz w:val="16"/>
          <w:szCs w:val="16"/>
          <w:b w:val="1"/>
          <w:bCs w:val="1"/>
          <w:color w:val="auto"/>
        </w:rPr>
        <w:t xml:space="preserve"> </w:t>
      </w:r>
      <w:r>
        <w:rPr>
          <w:rFonts w:ascii="Arial" w:cs="Arial" w:eastAsia="Arial" w:hAnsi="Arial"/>
          <w:sz w:val="16"/>
          <w:szCs w:val="16"/>
          <w:color w:val="auto"/>
        </w:rPr>
        <w:t>sent.</w:t>
      </w:r>
    </w:p>
    <w:p>
      <w:pPr>
        <w:spacing w:after="0" w:line="180" w:lineRule="exact"/>
        <w:rPr>
          <w:sz w:val="24"/>
          <w:szCs w:val="24"/>
          <w:color w:val="auto"/>
        </w:rPr>
      </w:pPr>
    </w:p>
    <w:p>
      <w:pPr>
        <w:ind w:left="7" w:right="760" w:hanging="7"/>
        <w:spacing w:after="0" w:line="259" w:lineRule="auto"/>
        <w:tabs>
          <w:tab w:leader="none" w:pos="12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left="7" w:right="540"/>
        <w:spacing w:after="0" w:line="331" w:lineRule="auto"/>
        <w:rPr>
          <w:sz w:val="20"/>
          <w:szCs w:val="20"/>
          <w:color w:val="auto"/>
        </w:rPr>
      </w:pPr>
      <w:r>
        <w:rPr>
          <w:rFonts w:ascii="Arial" w:cs="Arial" w:eastAsia="Arial" w:hAnsi="Arial"/>
          <w:sz w:val="14"/>
          <w:szCs w:val="14"/>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388620</wp:posOffset>
            </wp:positionV>
            <wp:extent cx="727075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419" w:right="219" w:bottom="1440" w:gutter="0" w:footer="0" w:header="0"/>
        </w:sectPr>
      </w:pPr>
    </w:p>
    <w:bookmarkStart w:id="1" w:name="page2"/>
    <w:bookmarkEnd w:id="1"/>
    <w:p>
      <w:pPr>
        <w:ind w:left="707" w:right="8920" w:hanging="707"/>
        <w:spacing w:after="0" w:line="318" w:lineRule="auto"/>
        <w:tabs>
          <w:tab w:leader="none" w:pos="707" w:val="left"/>
        </w:tabs>
        <w:numPr>
          <w:ilvl w:val="0"/>
          <w:numId w:val="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147955</wp:posOffset>
            </wp:positionH>
            <wp:positionV relativeFrom="page">
              <wp:posOffset>340995</wp:posOffset>
            </wp:positionV>
            <wp:extent cx="72650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035" cy="7620"/>
                    </a:xfrm>
                    <a:prstGeom prst="rect">
                      <a:avLst/>
                    </a:prstGeom>
                    <a:noFill/>
                  </pic:spPr>
                </pic:pic>
              </a:graphicData>
            </a:graphic>
          </wp:anchor>
        </w:drawing>
        <w:t>Names of Reporting Persons. Greenlight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2" w:lineRule="exact"/>
        <w:rPr>
          <w:rFonts w:ascii="Arial" w:cs="Arial" w:eastAsia="Arial" w:hAnsi="Arial"/>
          <w:sz w:val="16"/>
          <w:szCs w:val="16"/>
          <w:color w:val="auto"/>
        </w:rPr>
      </w:pPr>
    </w:p>
    <w:p>
      <w:pPr>
        <w:ind w:left="1307" w:hanging="595"/>
        <w:spacing w:after="0"/>
        <w:tabs>
          <w:tab w:leader="none" w:pos="1307" w:val="left"/>
        </w:tabs>
        <w:numPr>
          <w:ilvl w:val="1"/>
          <w:numId w:val="3"/>
        </w:numPr>
        <w:rPr>
          <w:rFonts w:ascii="Arial" w:cs="Arial" w:eastAsia="Arial" w:hAnsi="Arial"/>
          <w:sz w:val="16"/>
          <w:szCs w:val="16"/>
          <w:color w:val="auto"/>
        </w:rPr>
      </w:pPr>
      <w:r>
        <w:rPr>
          <w:rFonts w:ascii="Arial" w:cs="Arial" w:eastAsia="Arial" w:hAnsi="Arial"/>
          <w:sz w:val="16"/>
          <w:szCs w:val="16"/>
          <w:color w:val="auto"/>
        </w:rPr>
        <w:t>[ ]</w:t>
      </w:r>
    </w:p>
    <w:p>
      <w:pPr>
        <w:spacing w:after="0" w:line="2" w:lineRule="exact"/>
        <w:rPr>
          <w:rFonts w:ascii="Arial" w:cs="Arial" w:eastAsia="Arial" w:hAnsi="Arial"/>
          <w:sz w:val="16"/>
          <w:szCs w:val="16"/>
          <w:color w:val="auto"/>
        </w:rPr>
      </w:pPr>
    </w:p>
    <w:p>
      <w:pPr>
        <w:ind w:left="1327" w:hanging="615"/>
        <w:spacing w:after="0"/>
        <w:tabs>
          <w:tab w:leader="none" w:pos="1327" w:val="left"/>
        </w:tabs>
        <w:numPr>
          <w:ilvl w:val="1"/>
          <w:numId w:val="3"/>
        </w:numPr>
        <w:rPr>
          <w:rFonts w:ascii="Arial" w:cs="Arial" w:eastAsia="Arial" w:hAnsi="Arial"/>
          <w:sz w:val="16"/>
          <w:szCs w:val="16"/>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503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03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707" w:right="8540" w:hanging="707"/>
        <w:spacing w:after="0" w:line="258" w:lineRule="auto"/>
        <w:tabs>
          <w:tab w:leader="none" w:pos="707"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of Funds (See Instructions): AF,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right="5620" w:hanging="707"/>
        <w:spacing w:after="0" w:line="258" w:lineRule="auto"/>
        <w:tabs>
          <w:tab w:leader="none" w:pos="707"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right="8420" w:hanging="707"/>
        <w:spacing w:after="0" w:line="259" w:lineRule="auto"/>
        <w:tabs>
          <w:tab w:leader="none" w:pos="707"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tbl>
      <w:tblPr>
        <w:tblLayout w:type="fixed"/>
        <w:tblInd w:w="7" w:type="dxa"/>
        <w:tblCellMar>
          <w:top w:w="0" w:type="dxa"/>
          <w:left w:w="0" w:type="dxa"/>
          <w:bottom w:w="0" w:type="dxa"/>
          <w:right w:w="0" w:type="dxa"/>
        </w:tblCellMar>
      </w:tblPr>
      <w:tr>
        <w:trPr>
          <w:trHeight w:val="166"/>
        </w:trPr>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Number</w:t>
            </w:r>
          </w:p>
        </w:tc>
        <w:tc>
          <w:tcPr>
            <w:tcW w:w="62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color w:val="auto"/>
              </w:rPr>
              <w:t>7</w:t>
            </w:r>
          </w:p>
        </w:tc>
        <w:tc>
          <w:tcPr>
            <w:tcW w:w="9440" w:type="dxa"/>
            <w:vAlign w:val="bottom"/>
            <w:tcBorders>
              <w:top w:val="single" w:sz="8" w:color="auto"/>
            </w:tcBorders>
          </w:tcPr>
          <w:p>
            <w:pPr>
              <w:ind w:left="460"/>
              <w:spacing w:after="0" w:line="166" w:lineRule="exact"/>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28"/>
        </w:trPr>
        <w:tc>
          <w:tcPr>
            <w:tcW w:w="13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2"/>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4"/>
              </w:rPr>
              <w:t>of Shares</w:t>
            </w:r>
          </w:p>
        </w:tc>
        <w:tc>
          <w:tcPr>
            <w:tcW w:w="62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8</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82"/>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3"/>
              </w:rPr>
              <w:t>Beneficially</w:t>
            </w:r>
          </w:p>
        </w:tc>
        <w:tc>
          <w:tcPr>
            <w:tcW w:w="62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3,111,878</w:t>
            </w:r>
          </w:p>
        </w:tc>
        <w:tc>
          <w:tcPr>
            <w:tcW w:w="0" w:type="dxa"/>
            <w:vAlign w:val="bottom"/>
          </w:tcPr>
          <w:p>
            <w:pPr>
              <w:spacing w:after="0"/>
              <w:rPr>
                <w:sz w:val="1"/>
                <w:szCs w:val="1"/>
                <w:color w:val="auto"/>
              </w:rPr>
            </w:pPr>
          </w:p>
        </w:tc>
      </w:tr>
      <w:tr>
        <w:trPr>
          <w:trHeight w:val="96"/>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8"/>
              </w:rPr>
              <w:t>Owned by</w:t>
            </w:r>
          </w:p>
        </w:tc>
        <w:tc>
          <w:tcPr>
            <w:tcW w:w="620" w:type="dxa"/>
            <w:vAlign w:val="bottom"/>
            <w:tcBorders>
              <w:bottom w:val="single" w:sz="8" w:color="auto"/>
            </w:tcBorders>
          </w:tcPr>
          <w:p>
            <w:pPr>
              <w:spacing w:after="0"/>
              <w:rPr>
                <w:sz w:val="8"/>
                <w:szCs w:val="8"/>
                <w:color w:val="auto"/>
              </w:rPr>
            </w:pPr>
          </w:p>
        </w:tc>
        <w:tc>
          <w:tcPr>
            <w:tcW w:w="9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380" w:type="dxa"/>
            <w:vAlign w:val="bottom"/>
            <w:vMerge w:val="continue"/>
          </w:tcPr>
          <w:p>
            <w:pPr>
              <w:spacing w:after="0"/>
              <w:rPr>
                <w:sz w:val="6"/>
                <w:szCs w:val="6"/>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9</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05"/>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2"/>
              </w:rPr>
              <w:t>Each</w:t>
            </w:r>
          </w:p>
        </w:tc>
        <w:tc>
          <w:tcPr>
            <w:tcW w:w="620" w:type="dxa"/>
            <w:vAlign w:val="bottom"/>
            <w:vMerge w:val="continue"/>
          </w:tcPr>
          <w:p>
            <w:pPr>
              <w:spacing w:after="0"/>
              <w:rPr>
                <w:sz w:val="9"/>
                <w:szCs w:val="9"/>
                <w:color w:val="auto"/>
              </w:rPr>
            </w:pPr>
          </w:p>
        </w:tc>
        <w:tc>
          <w:tcPr>
            <w:tcW w:w="9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9"/>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Reporting</w:t>
            </w:r>
          </w:p>
        </w:tc>
        <w:tc>
          <w:tcPr>
            <w:tcW w:w="620" w:type="dxa"/>
            <w:vAlign w:val="bottom"/>
            <w:tcBorders>
              <w:bottom w:val="single" w:sz="8" w:color="auto"/>
            </w:tcBorders>
          </w:tcPr>
          <w:p>
            <w:pPr>
              <w:spacing w:after="0"/>
              <w:rPr>
                <w:sz w:val="10"/>
                <w:szCs w:val="10"/>
                <w:color w:val="auto"/>
              </w:rPr>
            </w:pPr>
          </w:p>
        </w:tc>
        <w:tc>
          <w:tcPr>
            <w:tcW w:w="9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380" w:type="dxa"/>
            <w:vAlign w:val="bottom"/>
            <w:vMerge w:val="continue"/>
          </w:tcPr>
          <w:p>
            <w:pPr>
              <w:spacing w:after="0"/>
              <w:rPr>
                <w:sz w:val="4"/>
                <w:szCs w:val="4"/>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10</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8"/>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Person With</w:t>
            </w:r>
          </w:p>
        </w:tc>
        <w:tc>
          <w:tcPr>
            <w:tcW w:w="620" w:type="dxa"/>
            <w:vAlign w:val="bottom"/>
            <w:vMerge w:val="continue"/>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3,111,878</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6503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847" w:right="6580" w:hanging="847"/>
        <w:spacing w:after="0" w:line="258" w:lineRule="auto"/>
        <w:tabs>
          <w:tab w:leader="none" w:pos="707" w:val="left"/>
        </w:tabs>
        <w:numPr>
          <w:ilvl w:val="0"/>
          <w:numId w:val="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3,111,878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
        <w:spacing w:after="0"/>
        <w:tabs>
          <w:tab w:leader="none" w:pos="686" w:val="left"/>
          <w:tab w:leader="none" w:pos="6366"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Check if the Aggregate Amount in Row (11) Excludes Certain Shares (See Instructions)</w:t>
      </w:r>
      <w:r>
        <w:rPr>
          <w:sz w:val="20"/>
          <w:szCs w:val="20"/>
          <w:color w:val="auto"/>
        </w:rPr>
        <w:tab/>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03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987" w:right="7400" w:hanging="987"/>
        <w:spacing w:after="0" w:line="259" w:lineRule="auto"/>
        <w:tabs>
          <w:tab w:leader="none" w:pos="707"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 of Class Represented by Amount in Row (11) 2.9%</w:t>
      </w:r>
    </w:p>
    <w:p>
      <w:pPr>
        <w:spacing w:after="0" w:line="186" w:lineRule="exact"/>
        <w:rPr>
          <w:rFonts w:ascii="Arial" w:cs="Arial" w:eastAsia="Arial" w:hAnsi="Arial"/>
          <w:sz w:val="16"/>
          <w:szCs w:val="16"/>
          <w:color w:val="auto"/>
        </w:rPr>
      </w:pPr>
    </w:p>
    <w:p>
      <w:pPr>
        <w:ind w:left="707" w:hanging="707"/>
        <w:spacing w:after="0"/>
        <w:tabs>
          <w:tab w:leader="none" w:pos="707" w:val="left"/>
        </w:tabs>
        <w:numPr>
          <w:ilvl w:val="0"/>
          <w:numId w:val="9"/>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6503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987"/>
        <w:spacing w:after="0"/>
        <w:rPr>
          <w:sz w:val="20"/>
          <w:szCs w:val="20"/>
          <w:color w:val="auto"/>
        </w:rPr>
      </w:pPr>
      <w:r>
        <w:rPr>
          <w:rFonts w:ascii="Arial" w:cs="Arial" w:eastAsia="Arial" w:hAnsi="Arial"/>
          <w:sz w:val="16"/>
          <w:szCs w:val="16"/>
          <w:color w:val="auto"/>
        </w:rPr>
        <w:t>CO,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503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5035" cy="146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577215</wp:posOffset>
            </wp:positionV>
            <wp:extent cx="727075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537" w:right="219" w:bottom="1440" w:gutter="0" w:footer="0" w:header="0"/>
        </w:sectPr>
      </w:pPr>
    </w:p>
    <w:bookmarkStart w:id="2" w:name="page3"/>
    <w:bookmarkEnd w:id="2"/>
    <w:p>
      <w:pPr>
        <w:ind w:left="707" w:right="8920" w:hanging="707"/>
        <w:spacing w:after="0" w:line="318" w:lineRule="auto"/>
        <w:tabs>
          <w:tab w:leader="none" w:pos="707" w:val="left"/>
        </w:tabs>
        <w:numPr>
          <w:ilvl w:val="0"/>
          <w:numId w:val="1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147955</wp:posOffset>
            </wp:positionH>
            <wp:positionV relativeFrom="page">
              <wp:posOffset>340995</wp:posOffset>
            </wp:positionV>
            <wp:extent cx="72650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5035" cy="7620"/>
                    </a:xfrm>
                    <a:prstGeom prst="rect">
                      <a:avLst/>
                    </a:prstGeom>
                    <a:noFill/>
                  </pic:spPr>
                </pic:pic>
              </a:graphicData>
            </a:graphic>
          </wp:anchor>
        </w:drawing>
        <w:t>Names of Reporting Persons. DME Advisors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2" w:lineRule="exact"/>
        <w:rPr>
          <w:rFonts w:ascii="Arial" w:cs="Arial" w:eastAsia="Arial" w:hAnsi="Arial"/>
          <w:sz w:val="16"/>
          <w:szCs w:val="16"/>
          <w:color w:val="auto"/>
        </w:rPr>
      </w:pPr>
    </w:p>
    <w:p>
      <w:pPr>
        <w:ind w:left="1307" w:hanging="595"/>
        <w:spacing w:after="0"/>
        <w:tabs>
          <w:tab w:leader="none" w:pos="1307" w:val="left"/>
        </w:tabs>
        <w:numPr>
          <w:ilvl w:val="1"/>
          <w:numId w:val="11"/>
        </w:numPr>
        <w:rPr>
          <w:rFonts w:ascii="Arial" w:cs="Arial" w:eastAsia="Arial" w:hAnsi="Arial"/>
          <w:sz w:val="16"/>
          <w:szCs w:val="16"/>
          <w:color w:val="auto"/>
        </w:rPr>
      </w:pPr>
      <w:r>
        <w:rPr>
          <w:rFonts w:ascii="Arial" w:cs="Arial" w:eastAsia="Arial" w:hAnsi="Arial"/>
          <w:sz w:val="16"/>
          <w:szCs w:val="16"/>
          <w:color w:val="auto"/>
        </w:rPr>
        <w:t>[ ]</w:t>
      </w:r>
    </w:p>
    <w:p>
      <w:pPr>
        <w:spacing w:after="0" w:line="2" w:lineRule="exact"/>
        <w:rPr>
          <w:rFonts w:ascii="Arial" w:cs="Arial" w:eastAsia="Arial" w:hAnsi="Arial"/>
          <w:sz w:val="16"/>
          <w:szCs w:val="16"/>
          <w:color w:val="auto"/>
        </w:rPr>
      </w:pPr>
    </w:p>
    <w:p>
      <w:pPr>
        <w:ind w:left="1327" w:hanging="615"/>
        <w:spacing w:after="0"/>
        <w:tabs>
          <w:tab w:leader="none" w:pos="1327" w:val="left"/>
        </w:tabs>
        <w:numPr>
          <w:ilvl w:val="1"/>
          <w:numId w:val="11"/>
        </w:numPr>
        <w:rPr>
          <w:rFonts w:ascii="Arial" w:cs="Arial" w:eastAsia="Arial" w:hAnsi="Arial"/>
          <w:sz w:val="16"/>
          <w:szCs w:val="16"/>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503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03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707" w:right="8540" w:hanging="707"/>
        <w:spacing w:after="0" w:line="258" w:lineRule="auto"/>
        <w:tabs>
          <w:tab w:leader="none" w:pos="707"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Source of Funds (See Instructions): AF,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right="5620" w:hanging="707"/>
        <w:spacing w:after="0" w:line="258" w:lineRule="auto"/>
        <w:tabs>
          <w:tab w:leader="none" w:pos="7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right="8420" w:hanging="707"/>
        <w:spacing w:after="0" w:line="259" w:lineRule="auto"/>
        <w:tabs>
          <w:tab w:leader="none" w:pos="707" w:val="left"/>
        </w:tabs>
        <w:numPr>
          <w:ilvl w:val="0"/>
          <w:numId w:val="15"/>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tbl>
      <w:tblPr>
        <w:tblLayout w:type="fixed"/>
        <w:tblInd w:w="7" w:type="dxa"/>
        <w:tblCellMar>
          <w:top w:w="0" w:type="dxa"/>
          <w:left w:w="0" w:type="dxa"/>
          <w:bottom w:w="0" w:type="dxa"/>
          <w:right w:w="0" w:type="dxa"/>
        </w:tblCellMar>
      </w:tblPr>
      <w:tr>
        <w:trPr>
          <w:trHeight w:val="166"/>
        </w:trPr>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Number</w:t>
            </w:r>
          </w:p>
        </w:tc>
        <w:tc>
          <w:tcPr>
            <w:tcW w:w="62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color w:val="auto"/>
              </w:rPr>
              <w:t>7</w:t>
            </w:r>
          </w:p>
        </w:tc>
        <w:tc>
          <w:tcPr>
            <w:tcW w:w="9440" w:type="dxa"/>
            <w:vAlign w:val="bottom"/>
            <w:tcBorders>
              <w:top w:val="single" w:sz="8" w:color="auto"/>
            </w:tcBorders>
          </w:tcPr>
          <w:p>
            <w:pPr>
              <w:ind w:left="460"/>
              <w:spacing w:after="0" w:line="166" w:lineRule="exact"/>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28"/>
        </w:trPr>
        <w:tc>
          <w:tcPr>
            <w:tcW w:w="13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2"/>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4"/>
              </w:rPr>
              <w:t>of Shares</w:t>
            </w:r>
          </w:p>
        </w:tc>
        <w:tc>
          <w:tcPr>
            <w:tcW w:w="62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8</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82"/>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3"/>
              </w:rPr>
              <w:t>Beneficially</w:t>
            </w:r>
          </w:p>
        </w:tc>
        <w:tc>
          <w:tcPr>
            <w:tcW w:w="62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1,888,122</w:t>
            </w:r>
          </w:p>
        </w:tc>
        <w:tc>
          <w:tcPr>
            <w:tcW w:w="0" w:type="dxa"/>
            <w:vAlign w:val="bottom"/>
          </w:tcPr>
          <w:p>
            <w:pPr>
              <w:spacing w:after="0"/>
              <w:rPr>
                <w:sz w:val="1"/>
                <w:szCs w:val="1"/>
                <w:color w:val="auto"/>
              </w:rPr>
            </w:pPr>
          </w:p>
        </w:tc>
      </w:tr>
      <w:tr>
        <w:trPr>
          <w:trHeight w:val="96"/>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8"/>
              </w:rPr>
              <w:t>Owned by</w:t>
            </w:r>
          </w:p>
        </w:tc>
        <w:tc>
          <w:tcPr>
            <w:tcW w:w="620" w:type="dxa"/>
            <w:vAlign w:val="bottom"/>
            <w:tcBorders>
              <w:bottom w:val="single" w:sz="8" w:color="auto"/>
            </w:tcBorders>
          </w:tcPr>
          <w:p>
            <w:pPr>
              <w:spacing w:after="0"/>
              <w:rPr>
                <w:sz w:val="8"/>
                <w:szCs w:val="8"/>
                <w:color w:val="auto"/>
              </w:rPr>
            </w:pPr>
          </w:p>
        </w:tc>
        <w:tc>
          <w:tcPr>
            <w:tcW w:w="9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380" w:type="dxa"/>
            <w:vAlign w:val="bottom"/>
            <w:vMerge w:val="continue"/>
          </w:tcPr>
          <w:p>
            <w:pPr>
              <w:spacing w:after="0"/>
              <w:rPr>
                <w:sz w:val="6"/>
                <w:szCs w:val="6"/>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9</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05"/>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2"/>
              </w:rPr>
              <w:t>Each</w:t>
            </w:r>
          </w:p>
        </w:tc>
        <w:tc>
          <w:tcPr>
            <w:tcW w:w="620" w:type="dxa"/>
            <w:vAlign w:val="bottom"/>
            <w:vMerge w:val="continue"/>
          </w:tcPr>
          <w:p>
            <w:pPr>
              <w:spacing w:after="0"/>
              <w:rPr>
                <w:sz w:val="9"/>
                <w:szCs w:val="9"/>
                <w:color w:val="auto"/>
              </w:rPr>
            </w:pPr>
          </w:p>
        </w:tc>
        <w:tc>
          <w:tcPr>
            <w:tcW w:w="9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9"/>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Reporting</w:t>
            </w:r>
          </w:p>
        </w:tc>
        <w:tc>
          <w:tcPr>
            <w:tcW w:w="620" w:type="dxa"/>
            <w:vAlign w:val="bottom"/>
            <w:tcBorders>
              <w:bottom w:val="single" w:sz="8" w:color="auto"/>
            </w:tcBorders>
          </w:tcPr>
          <w:p>
            <w:pPr>
              <w:spacing w:after="0"/>
              <w:rPr>
                <w:sz w:val="10"/>
                <w:szCs w:val="10"/>
                <w:color w:val="auto"/>
              </w:rPr>
            </w:pPr>
          </w:p>
        </w:tc>
        <w:tc>
          <w:tcPr>
            <w:tcW w:w="9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380" w:type="dxa"/>
            <w:vAlign w:val="bottom"/>
            <w:vMerge w:val="continue"/>
          </w:tcPr>
          <w:p>
            <w:pPr>
              <w:spacing w:after="0"/>
              <w:rPr>
                <w:sz w:val="4"/>
                <w:szCs w:val="4"/>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10</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8"/>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Person With</w:t>
            </w:r>
          </w:p>
        </w:tc>
        <w:tc>
          <w:tcPr>
            <w:tcW w:w="620" w:type="dxa"/>
            <w:vAlign w:val="bottom"/>
            <w:vMerge w:val="continue"/>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1,888,122</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6503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967" w:right="6580" w:hanging="967"/>
        <w:spacing w:after="0" w:line="258" w:lineRule="auto"/>
        <w:tabs>
          <w:tab w:leader="none" w:pos="71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1,888,122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
        <w:spacing w:after="0"/>
        <w:tabs>
          <w:tab w:leader="none" w:pos="686" w:val="left"/>
          <w:tab w:leader="none" w:pos="6366"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Check if the Aggregate Amount in Row (11) Excludes Certain Shares (See Instructions)</w:t>
      </w:r>
      <w:r>
        <w:rPr>
          <w:sz w:val="20"/>
          <w:szCs w:val="20"/>
          <w:color w:val="auto"/>
        </w:rPr>
        <w:tab/>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03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987" w:right="7400" w:hanging="987"/>
        <w:spacing w:after="0" w:line="259" w:lineRule="auto"/>
        <w:tabs>
          <w:tab w:leader="none" w:pos="7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Percent of Class Represented by Amount in Row (11) 1.8%</w:t>
      </w:r>
    </w:p>
    <w:p>
      <w:pPr>
        <w:spacing w:after="0" w:line="186" w:lineRule="exact"/>
        <w:rPr>
          <w:rFonts w:ascii="Arial" w:cs="Arial" w:eastAsia="Arial" w:hAnsi="Arial"/>
          <w:sz w:val="16"/>
          <w:szCs w:val="16"/>
          <w:color w:val="auto"/>
        </w:rPr>
      </w:pPr>
    </w:p>
    <w:p>
      <w:pPr>
        <w:ind w:left="707" w:hanging="707"/>
        <w:spacing w:after="0"/>
        <w:tabs>
          <w:tab w:leader="none" w:pos="7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6503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987"/>
        <w:spacing w:after="0"/>
        <w:rPr>
          <w:sz w:val="20"/>
          <w:szCs w:val="20"/>
          <w:color w:val="auto"/>
        </w:rPr>
      </w:pPr>
      <w:r>
        <w:rPr>
          <w:rFonts w:ascii="Arial" w:cs="Arial" w:eastAsia="Arial" w:hAnsi="Arial"/>
          <w:sz w:val="16"/>
          <w:szCs w:val="16"/>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503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5035" cy="146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577215</wp:posOffset>
            </wp:positionV>
            <wp:extent cx="727075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537" w:right="219" w:bottom="1440" w:gutter="0" w:footer="0" w:header="0"/>
        </w:sectPr>
      </w:pPr>
    </w:p>
    <w:bookmarkStart w:id="3" w:name="page4"/>
    <w:bookmarkEnd w:id="3"/>
    <w:p>
      <w:pPr>
        <w:ind w:left="707" w:right="8800" w:hanging="707"/>
        <w:spacing w:after="0" w:line="295" w:lineRule="auto"/>
        <w:tabs>
          <w:tab w:leader="none" w:pos="707" w:val="left"/>
        </w:tabs>
        <w:numPr>
          <w:ilvl w:val="0"/>
          <w:numId w:val="1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147955</wp:posOffset>
            </wp:positionH>
            <wp:positionV relativeFrom="page">
              <wp:posOffset>340995</wp:posOffset>
            </wp:positionV>
            <wp:extent cx="726503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5035" cy="7620"/>
                    </a:xfrm>
                    <a:prstGeom prst="rect">
                      <a:avLst/>
                    </a:prstGeom>
                    <a:noFill/>
                  </pic:spPr>
                </pic:pic>
              </a:graphicData>
            </a:graphic>
          </wp:anchor>
        </w:drawing>
        <w:t>Names of Reporting Persons. DME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2" w:lineRule="exact"/>
        <w:rPr>
          <w:rFonts w:ascii="Arial" w:cs="Arial" w:eastAsia="Arial" w:hAnsi="Arial"/>
          <w:sz w:val="16"/>
          <w:szCs w:val="16"/>
          <w:color w:val="auto"/>
        </w:rPr>
      </w:pPr>
    </w:p>
    <w:p>
      <w:pPr>
        <w:ind w:left="1307" w:hanging="595"/>
        <w:spacing w:after="0"/>
        <w:tabs>
          <w:tab w:leader="none" w:pos="1307" w:val="left"/>
        </w:tabs>
        <w:numPr>
          <w:ilvl w:val="1"/>
          <w:numId w:val="19"/>
        </w:numPr>
        <w:rPr>
          <w:rFonts w:ascii="Arial" w:cs="Arial" w:eastAsia="Arial" w:hAnsi="Arial"/>
          <w:sz w:val="16"/>
          <w:szCs w:val="16"/>
          <w:color w:val="auto"/>
        </w:rPr>
      </w:pPr>
      <w:r>
        <w:rPr>
          <w:rFonts w:ascii="Arial" w:cs="Arial" w:eastAsia="Arial" w:hAnsi="Arial"/>
          <w:sz w:val="16"/>
          <w:szCs w:val="16"/>
          <w:color w:val="auto"/>
        </w:rPr>
        <w:t>[ ]</w:t>
      </w:r>
    </w:p>
    <w:p>
      <w:pPr>
        <w:spacing w:after="0" w:line="2" w:lineRule="exact"/>
        <w:rPr>
          <w:rFonts w:ascii="Arial" w:cs="Arial" w:eastAsia="Arial" w:hAnsi="Arial"/>
          <w:sz w:val="16"/>
          <w:szCs w:val="16"/>
          <w:color w:val="auto"/>
        </w:rPr>
      </w:pPr>
    </w:p>
    <w:p>
      <w:pPr>
        <w:ind w:left="1327" w:hanging="615"/>
        <w:spacing w:after="0"/>
        <w:tabs>
          <w:tab w:leader="none" w:pos="1327" w:val="left"/>
        </w:tabs>
        <w:numPr>
          <w:ilvl w:val="1"/>
          <w:numId w:val="19"/>
        </w:numPr>
        <w:rPr>
          <w:rFonts w:ascii="Arial" w:cs="Arial" w:eastAsia="Arial" w:hAnsi="Arial"/>
          <w:sz w:val="16"/>
          <w:szCs w:val="16"/>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503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03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707" w:right="8540" w:hanging="707"/>
        <w:spacing w:after="0" w:line="258" w:lineRule="auto"/>
        <w:tabs>
          <w:tab w:leader="none" w:pos="707"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Source of Funds (See Instructions): AF,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right="5620" w:hanging="707"/>
        <w:spacing w:after="0" w:line="258" w:lineRule="auto"/>
        <w:tabs>
          <w:tab w:leader="none" w:pos="707"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right="8420" w:hanging="707"/>
        <w:spacing w:after="0" w:line="259" w:lineRule="auto"/>
        <w:tabs>
          <w:tab w:leader="none" w:pos="707" w:val="left"/>
        </w:tabs>
        <w:numPr>
          <w:ilvl w:val="0"/>
          <w:numId w:val="23"/>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tbl>
      <w:tblPr>
        <w:tblLayout w:type="fixed"/>
        <w:tblInd w:w="7" w:type="dxa"/>
        <w:tblCellMar>
          <w:top w:w="0" w:type="dxa"/>
          <w:left w:w="0" w:type="dxa"/>
          <w:bottom w:w="0" w:type="dxa"/>
          <w:right w:w="0" w:type="dxa"/>
        </w:tblCellMar>
      </w:tblPr>
      <w:tr>
        <w:trPr>
          <w:trHeight w:val="166"/>
        </w:trPr>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Number</w:t>
            </w:r>
          </w:p>
        </w:tc>
        <w:tc>
          <w:tcPr>
            <w:tcW w:w="62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color w:val="auto"/>
              </w:rPr>
              <w:t>7</w:t>
            </w:r>
          </w:p>
        </w:tc>
        <w:tc>
          <w:tcPr>
            <w:tcW w:w="9440" w:type="dxa"/>
            <w:vAlign w:val="bottom"/>
            <w:tcBorders>
              <w:top w:val="single" w:sz="8" w:color="auto"/>
            </w:tcBorders>
          </w:tcPr>
          <w:p>
            <w:pPr>
              <w:ind w:left="460"/>
              <w:spacing w:after="0" w:line="166" w:lineRule="exact"/>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28"/>
        </w:trPr>
        <w:tc>
          <w:tcPr>
            <w:tcW w:w="13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2"/>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4"/>
              </w:rPr>
              <w:t>of Shares</w:t>
            </w:r>
          </w:p>
        </w:tc>
        <w:tc>
          <w:tcPr>
            <w:tcW w:w="62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8</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82"/>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3"/>
              </w:rPr>
              <w:t>Beneficially</w:t>
            </w:r>
          </w:p>
        </w:tc>
        <w:tc>
          <w:tcPr>
            <w:tcW w:w="62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1,103,100</w:t>
            </w:r>
          </w:p>
        </w:tc>
        <w:tc>
          <w:tcPr>
            <w:tcW w:w="0" w:type="dxa"/>
            <w:vAlign w:val="bottom"/>
          </w:tcPr>
          <w:p>
            <w:pPr>
              <w:spacing w:after="0"/>
              <w:rPr>
                <w:sz w:val="1"/>
                <w:szCs w:val="1"/>
                <w:color w:val="auto"/>
              </w:rPr>
            </w:pPr>
          </w:p>
        </w:tc>
      </w:tr>
      <w:tr>
        <w:trPr>
          <w:trHeight w:val="96"/>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8"/>
              </w:rPr>
              <w:t>Owned by</w:t>
            </w:r>
          </w:p>
        </w:tc>
        <w:tc>
          <w:tcPr>
            <w:tcW w:w="620" w:type="dxa"/>
            <w:vAlign w:val="bottom"/>
            <w:tcBorders>
              <w:bottom w:val="single" w:sz="8" w:color="auto"/>
            </w:tcBorders>
          </w:tcPr>
          <w:p>
            <w:pPr>
              <w:spacing w:after="0"/>
              <w:rPr>
                <w:sz w:val="8"/>
                <w:szCs w:val="8"/>
                <w:color w:val="auto"/>
              </w:rPr>
            </w:pPr>
          </w:p>
        </w:tc>
        <w:tc>
          <w:tcPr>
            <w:tcW w:w="9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380" w:type="dxa"/>
            <w:vAlign w:val="bottom"/>
            <w:vMerge w:val="continue"/>
          </w:tcPr>
          <w:p>
            <w:pPr>
              <w:spacing w:after="0"/>
              <w:rPr>
                <w:sz w:val="6"/>
                <w:szCs w:val="6"/>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9</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05"/>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2"/>
              </w:rPr>
              <w:t>Each</w:t>
            </w:r>
          </w:p>
        </w:tc>
        <w:tc>
          <w:tcPr>
            <w:tcW w:w="620" w:type="dxa"/>
            <w:vAlign w:val="bottom"/>
            <w:vMerge w:val="continue"/>
          </w:tcPr>
          <w:p>
            <w:pPr>
              <w:spacing w:after="0"/>
              <w:rPr>
                <w:sz w:val="9"/>
                <w:szCs w:val="9"/>
                <w:color w:val="auto"/>
              </w:rPr>
            </w:pPr>
          </w:p>
        </w:tc>
        <w:tc>
          <w:tcPr>
            <w:tcW w:w="9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9"/>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Reporting</w:t>
            </w:r>
          </w:p>
        </w:tc>
        <w:tc>
          <w:tcPr>
            <w:tcW w:w="620" w:type="dxa"/>
            <w:vAlign w:val="bottom"/>
            <w:tcBorders>
              <w:bottom w:val="single" w:sz="8" w:color="auto"/>
            </w:tcBorders>
          </w:tcPr>
          <w:p>
            <w:pPr>
              <w:spacing w:after="0"/>
              <w:rPr>
                <w:sz w:val="10"/>
                <w:szCs w:val="10"/>
                <w:color w:val="auto"/>
              </w:rPr>
            </w:pPr>
          </w:p>
        </w:tc>
        <w:tc>
          <w:tcPr>
            <w:tcW w:w="9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380" w:type="dxa"/>
            <w:vAlign w:val="bottom"/>
            <w:vMerge w:val="continue"/>
          </w:tcPr>
          <w:p>
            <w:pPr>
              <w:spacing w:after="0"/>
              <w:rPr>
                <w:sz w:val="4"/>
                <w:szCs w:val="4"/>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10</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8"/>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Person With</w:t>
            </w:r>
          </w:p>
        </w:tc>
        <w:tc>
          <w:tcPr>
            <w:tcW w:w="620" w:type="dxa"/>
            <w:vAlign w:val="bottom"/>
            <w:vMerge w:val="continue"/>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1,103,100</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6503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967" w:right="6580" w:hanging="967"/>
        <w:spacing w:after="0" w:line="258" w:lineRule="auto"/>
        <w:tabs>
          <w:tab w:leader="none" w:pos="71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1,103,100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
        <w:spacing w:after="0"/>
        <w:tabs>
          <w:tab w:leader="none" w:pos="686" w:val="left"/>
          <w:tab w:leader="none" w:pos="6366"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Check if the Aggregate Amount in Row (11) Excludes Certain Shares (See Instructions)</w:t>
      </w:r>
      <w:r>
        <w:rPr>
          <w:sz w:val="20"/>
          <w:szCs w:val="20"/>
          <w:color w:val="auto"/>
        </w:rPr>
        <w:tab/>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03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987" w:right="7400" w:hanging="987"/>
        <w:spacing w:after="0" w:line="259" w:lineRule="auto"/>
        <w:tabs>
          <w:tab w:leader="none" w:pos="7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Percent of Class Represented by Amount in Row (11) 1.0%</w:t>
      </w:r>
    </w:p>
    <w:p>
      <w:pPr>
        <w:spacing w:after="0" w:line="186" w:lineRule="exact"/>
        <w:rPr>
          <w:rFonts w:ascii="Arial" w:cs="Arial" w:eastAsia="Arial" w:hAnsi="Arial"/>
          <w:sz w:val="16"/>
          <w:szCs w:val="16"/>
          <w:color w:val="auto"/>
        </w:rPr>
      </w:pPr>
    </w:p>
    <w:p>
      <w:pPr>
        <w:ind w:left="707" w:hanging="707"/>
        <w:spacing w:after="0"/>
        <w:tabs>
          <w:tab w:leader="none" w:pos="7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6503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987"/>
        <w:spacing w:after="0"/>
        <w:rPr>
          <w:sz w:val="20"/>
          <w:szCs w:val="20"/>
          <w:color w:val="auto"/>
        </w:rPr>
      </w:pPr>
      <w:r>
        <w:rPr>
          <w:rFonts w:ascii="Arial" w:cs="Arial" w:eastAsia="Arial" w:hAnsi="Arial"/>
          <w:sz w:val="16"/>
          <w:szCs w:val="16"/>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503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5035" cy="146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577215</wp:posOffset>
            </wp:positionV>
            <wp:extent cx="727075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537" w:right="219" w:bottom="1440" w:gutter="0" w:footer="0" w:header="0"/>
        </w:sectPr>
      </w:pPr>
    </w:p>
    <w:bookmarkStart w:id="4" w:name="page5"/>
    <w:bookmarkEnd w:id="4"/>
    <w:p>
      <w:pPr>
        <w:ind w:left="707" w:right="8920" w:hanging="707"/>
        <w:spacing w:after="0" w:line="295" w:lineRule="auto"/>
        <w:tabs>
          <w:tab w:leader="none" w:pos="707" w:val="left"/>
        </w:tabs>
        <w:numPr>
          <w:ilvl w:val="0"/>
          <w:numId w:val="2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147955</wp:posOffset>
            </wp:positionH>
            <wp:positionV relativeFrom="page">
              <wp:posOffset>340995</wp:posOffset>
            </wp:positionV>
            <wp:extent cx="72650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5035" cy="7620"/>
                    </a:xfrm>
                    <a:prstGeom prst="rect">
                      <a:avLst/>
                    </a:prstGeom>
                    <a:noFill/>
                  </pic:spPr>
                </pic:pic>
              </a:graphicData>
            </a:graphic>
          </wp:anchor>
        </w:drawing>
        <w:t>Names of Reporting Persons. DME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2" w:lineRule="exact"/>
        <w:rPr>
          <w:rFonts w:ascii="Arial" w:cs="Arial" w:eastAsia="Arial" w:hAnsi="Arial"/>
          <w:sz w:val="16"/>
          <w:szCs w:val="16"/>
          <w:color w:val="auto"/>
        </w:rPr>
      </w:pPr>
    </w:p>
    <w:p>
      <w:pPr>
        <w:ind w:left="1307" w:hanging="595"/>
        <w:spacing w:after="0"/>
        <w:tabs>
          <w:tab w:leader="none" w:pos="1307" w:val="left"/>
        </w:tabs>
        <w:numPr>
          <w:ilvl w:val="1"/>
          <w:numId w:val="27"/>
        </w:numPr>
        <w:rPr>
          <w:rFonts w:ascii="Arial" w:cs="Arial" w:eastAsia="Arial" w:hAnsi="Arial"/>
          <w:sz w:val="16"/>
          <w:szCs w:val="16"/>
          <w:color w:val="auto"/>
        </w:rPr>
      </w:pPr>
      <w:r>
        <w:rPr>
          <w:rFonts w:ascii="Arial" w:cs="Arial" w:eastAsia="Arial" w:hAnsi="Arial"/>
          <w:sz w:val="16"/>
          <w:szCs w:val="16"/>
          <w:color w:val="auto"/>
        </w:rPr>
        <w:t>[ ]</w:t>
      </w:r>
    </w:p>
    <w:p>
      <w:pPr>
        <w:spacing w:after="0" w:line="2" w:lineRule="exact"/>
        <w:rPr>
          <w:rFonts w:ascii="Arial" w:cs="Arial" w:eastAsia="Arial" w:hAnsi="Arial"/>
          <w:sz w:val="16"/>
          <w:szCs w:val="16"/>
          <w:color w:val="auto"/>
        </w:rPr>
      </w:pPr>
    </w:p>
    <w:p>
      <w:pPr>
        <w:ind w:left="1327" w:hanging="615"/>
        <w:spacing w:after="0"/>
        <w:tabs>
          <w:tab w:leader="none" w:pos="1327" w:val="left"/>
        </w:tabs>
        <w:numPr>
          <w:ilvl w:val="1"/>
          <w:numId w:val="27"/>
        </w:numPr>
        <w:rPr>
          <w:rFonts w:ascii="Arial" w:cs="Arial" w:eastAsia="Arial" w:hAnsi="Arial"/>
          <w:sz w:val="16"/>
          <w:szCs w:val="16"/>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503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03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707" w:right="8540" w:hanging="707"/>
        <w:spacing w:after="0" w:line="258" w:lineRule="auto"/>
        <w:tabs>
          <w:tab w:leader="none" w:pos="7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Source of Funds (See Instructions): AF,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right="5620" w:hanging="707"/>
        <w:spacing w:after="0" w:line="258" w:lineRule="auto"/>
        <w:tabs>
          <w:tab w:leader="none" w:pos="7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right="8420" w:hanging="707"/>
        <w:spacing w:after="0" w:line="259" w:lineRule="auto"/>
        <w:tabs>
          <w:tab w:leader="none" w:pos="7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tbl>
      <w:tblPr>
        <w:tblLayout w:type="fixed"/>
        <w:tblInd w:w="7" w:type="dxa"/>
        <w:tblCellMar>
          <w:top w:w="0" w:type="dxa"/>
          <w:left w:w="0" w:type="dxa"/>
          <w:bottom w:w="0" w:type="dxa"/>
          <w:right w:w="0" w:type="dxa"/>
        </w:tblCellMar>
      </w:tblPr>
      <w:tr>
        <w:trPr>
          <w:trHeight w:val="166"/>
        </w:trPr>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Number</w:t>
            </w:r>
          </w:p>
        </w:tc>
        <w:tc>
          <w:tcPr>
            <w:tcW w:w="62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color w:val="auto"/>
              </w:rPr>
              <w:t>7</w:t>
            </w:r>
          </w:p>
        </w:tc>
        <w:tc>
          <w:tcPr>
            <w:tcW w:w="9440" w:type="dxa"/>
            <w:vAlign w:val="bottom"/>
            <w:tcBorders>
              <w:top w:val="single" w:sz="8" w:color="auto"/>
            </w:tcBorders>
          </w:tcPr>
          <w:p>
            <w:pPr>
              <w:ind w:left="460"/>
              <w:spacing w:after="0" w:line="166" w:lineRule="exact"/>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28"/>
        </w:trPr>
        <w:tc>
          <w:tcPr>
            <w:tcW w:w="13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2"/>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4"/>
              </w:rPr>
              <w:t>of Shares</w:t>
            </w:r>
          </w:p>
        </w:tc>
        <w:tc>
          <w:tcPr>
            <w:tcW w:w="62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8</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82"/>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3"/>
              </w:rPr>
              <w:t>Beneficially</w:t>
            </w:r>
          </w:p>
        </w:tc>
        <w:tc>
          <w:tcPr>
            <w:tcW w:w="62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785,022</w:t>
            </w:r>
          </w:p>
        </w:tc>
        <w:tc>
          <w:tcPr>
            <w:tcW w:w="0" w:type="dxa"/>
            <w:vAlign w:val="bottom"/>
          </w:tcPr>
          <w:p>
            <w:pPr>
              <w:spacing w:after="0"/>
              <w:rPr>
                <w:sz w:val="1"/>
                <w:szCs w:val="1"/>
                <w:color w:val="auto"/>
              </w:rPr>
            </w:pPr>
          </w:p>
        </w:tc>
      </w:tr>
      <w:tr>
        <w:trPr>
          <w:trHeight w:val="96"/>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8"/>
              </w:rPr>
              <w:t>Owned by</w:t>
            </w:r>
          </w:p>
        </w:tc>
        <w:tc>
          <w:tcPr>
            <w:tcW w:w="620" w:type="dxa"/>
            <w:vAlign w:val="bottom"/>
            <w:tcBorders>
              <w:bottom w:val="single" w:sz="8" w:color="auto"/>
            </w:tcBorders>
          </w:tcPr>
          <w:p>
            <w:pPr>
              <w:spacing w:after="0"/>
              <w:rPr>
                <w:sz w:val="8"/>
                <w:szCs w:val="8"/>
                <w:color w:val="auto"/>
              </w:rPr>
            </w:pPr>
          </w:p>
        </w:tc>
        <w:tc>
          <w:tcPr>
            <w:tcW w:w="9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380" w:type="dxa"/>
            <w:vAlign w:val="bottom"/>
            <w:vMerge w:val="continue"/>
          </w:tcPr>
          <w:p>
            <w:pPr>
              <w:spacing w:after="0"/>
              <w:rPr>
                <w:sz w:val="6"/>
                <w:szCs w:val="6"/>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9</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05"/>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2"/>
              </w:rPr>
              <w:t>Each</w:t>
            </w:r>
          </w:p>
        </w:tc>
        <w:tc>
          <w:tcPr>
            <w:tcW w:w="620" w:type="dxa"/>
            <w:vAlign w:val="bottom"/>
            <w:vMerge w:val="continue"/>
          </w:tcPr>
          <w:p>
            <w:pPr>
              <w:spacing w:after="0"/>
              <w:rPr>
                <w:sz w:val="9"/>
                <w:szCs w:val="9"/>
                <w:color w:val="auto"/>
              </w:rPr>
            </w:pPr>
          </w:p>
        </w:tc>
        <w:tc>
          <w:tcPr>
            <w:tcW w:w="9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9"/>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Reporting</w:t>
            </w:r>
          </w:p>
        </w:tc>
        <w:tc>
          <w:tcPr>
            <w:tcW w:w="620" w:type="dxa"/>
            <w:vAlign w:val="bottom"/>
            <w:tcBorders>
              <w:bottom w:val="single" w:sz="8" w:color="auto"/>
            </w:tcBorders>
          </w:tcPr>
          <w:p>
            <w:pPr>
              <w:spacing w:after="0"/>
              <w:rPr>
                <w:sz w:val="10"/>
                <w:szCs w:val="10"/>
                <w:color w:val="auto"/>
              </w:rPr>
            </w:pPr>
          </w:p>
        </w:tc>
        <w:tc>
          <w:tcPr>
            <w:tcW w:w="9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380" w:type="dxa"/>
            <w:vAlign w:val="bottom"/>
            <w:vMerge w:val="continue"/>
          </w:tcPr>
          <w:p>
            <w:pPr>
              <w:spacing w:after="0"/>
              <w:rPr>
                <w:sz w:val="4"/>
                <w:szCs w:val="4"/>
                <w:color w:val="auto"/>
              </w:rPr>
            </w:pPr>
          </w:p>
        </w:tc>
        <w:tc>
          <w:tcPr>
            <w:tcW w:w="620" w:type="dxa"/>
            <w:vAlign w:val="bottom"/>
            <w:vMerge w:val="restart"/>
          </w:tcPr>
          <w:p>
            <w:pPr>
              <w:spacing w:after="0" w:line="176" w:lineRule="exact"/>
              <w:rPr>
                <w:sz w:val="20"/>
                <w:szCs w:val="20"/>
                <w:color w:val="auto"/>
              </w:rPr>
            </w:pPr>
            <w:r>
              <w:rPr>
                <w:rFonts w:ascii="Arial" w:cs="Arial" w:eastAsia="Arial" w:hAnsi="Arial"/>
                <w:sz w:val="16"/>
                <w:szCs w:val="16"/>
                <w:color w:val="auto"/>
              </w:rPr>
              <w:t>10</w:t>
            </w:r>
          </w:p>
        </w:tc>
        <w:tc>
          <w:tcPr>
            <w:tcW w:w="9440" w:type="dxa"/>
            <w:vAlign w:val="bottom"/>
            <w:vMerge w:val="restart"/>
          </w:tcPr>
          <w:p>
            <w:pPr>
              <w:ind w:left="460"/>
              <w:spacing w:after="0" w:line="176" w:lineRule="exact"/>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8"/>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Person With</w:t>
            </w:r>
          </w:p>
        </w:tc>
        <w:tc>
          <w:tcPr>
            <w:tcW w:w="620" w:type="dxa"/>
            <w:vAlign w:val="bottom"/>
            <w:vMerge w:val="continue"/>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440" w:type="dxa"/>
            <w:vAlign w:val="bottom"/>
            <w:vMerge w:val="restart"/>
          </w:tcPr>
          <w:p>
            <w:pPr>
              <w:ind w:left="460"/>
              <w:spacing w:after="0"/>
              <w:rPr>
                <w:sz w:val="20"/>
                <w:szCs w:val="20"/>
                <w:color w:val="auto"/>
              </w:rPr>
            </w:pPr>
            <w:r>
              <w:rPr>
                <w:rFonts w:ascii="Arial" w:cs="Arial" w:eastAsia="Arial" w:hAnsi="Arial"/>
                <w:sz w:val="16"/>
                <w:szCs w:val="16"/>
                <w:color w:val="auto"/>
              </w:rPr>
              <w:t>785,022</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6503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1007" w:right="6580" w:hanging="1007"/>
        <w:spacing w:after="0" w:line="258" w:lineRule="auto"/>
        <w:tabs>
          <w:tab w:leader="none" w:pos="711" w:val="left"/>
        </w:tabs>
        <w:numPr>
          <w:ilvl w:val="0"/>
          <w:numId w:val="32"/>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785,022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
        <w:spacing w:after="0"/>
        <w:tabs>
          <w:tab w:leader="none" w:pos="686" w:val="left"/>
          <w:tab w:leader="none" w:pos="6366"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Check if the Aggregate Amount in Row (11) Excludes Certain Shares (See Instructions)</w:t>
      </w:r>
      <w:r>
        <w:rPr>
          <w:sz w:val="20"/>
          <w:szCs w:val="20"/>
          <w:color w:val="auto"/>
        </w:rPr>
        <w:tab/>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03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987" w:right="7400" w:hanging="987"/>
        <w:spacing w:after="0" w:line="259" w:lineRule="auto"/>
        <w:tabs>
          <w:tab w:leader="none" w:pos="7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Percent of Class Represented by Amount in Row (11) 0.7%</w:t>
      </w:r>
    </w:p>
    <w:p>
      <w:pPr>
        <w:spacing w:after="0" w:line="186" w:lineRule="exact"/>
        <w:rPr>
          <w:rFonts w:ascii="Arial" w:cs="Arial" w:eastAsia="Arial" w:hAnsi="Arial"/>
          <w:sz w:val="16"/>
          <w:szCs w:val="16"/>
          <w:color w:val="auto"/>
        </w:rPr>
      </w:pPr>
    </w:p>
    <w:p>
      <w:pPr>
        <w:ind w:left="707" w:hanging="707"/>
        <w:spacing w:after="0"/>
        <w:tabs>
          <w:tab w:leader="none" w:pos="7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6503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987"/>
        <w:spacing w:after="0"/>
        <w:rPr>
          <w:sz w:val="20"/>
          <w:szCs w:val="20"/>
          <w:color w:val="auto"/>
        </w:rPr>
      </w:pPr>
      <w:r>
        <w:rPr>
          <w:rFonts w:ascii="Arial" w:cs="Arial" w:eastAsia="Arial" w:hAnsi="Arial"/>
          <w:sz w:val="16"/>
          <w:szCs w:val="16"/>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5035"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5035" cy="146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577215</wp:posOffset>
            </wp:positionV>
            <wp:extent cx="727075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537" w:right="219" w:bottom="1440" w:gutter="0" w:footer="0" w:header="0"/>
        </w:sectPr>
      </w:pPr>
    </w:p>
    <w:bookmarkStart w:id="5" w:name="page6"/>
    <w:bookmarkEnd w:id="5"/>
    <w:p>
      <w:pPr>
        <w:ind w:left="707" w:right="8920" w:hanging="707"/>
        <w:spacing w:after="0" w:line="258" w:lineRule="auto"/>
        <w:tabs>
          <w:tab w:leader="none" w:pos="707"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147955</wp:posOffset>
            </wp:positionH>
            <wp:positionV relativeFrom="page">
              <wp:posOffset>340995</wp:posOffset>
            </wp:positionV>
            <wp:extent cx="726503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035" cy="7620"/>
                    </a:xfrm>
                    <a:prstGeom prst="rect">
                      <a:avLst/>
                    </a:prstGeom>
                    <a:noFill/>
                  </pic:spPr>
                </pic:pic>
              </a:graphicData>
            </a:graphic>
          </wp:anchor>
        </w:drawing>
        <w:t>Names of Reporting Persons. David Einhorn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2" w:lineRule="exact"/>
        <w:rPr>
          <w:rFonts w:ascii="Arial" w:cs="Arial" w:eastAsia="Arial" w:hAnsi="Arial"/>
          <w:sz w:val="16"/>
          <w:szCs w:val="16"/>
          <w:color w:val="auto"/>
        </w:rPr>
      </w:pPr>
    </w:p>
    <w:p>
      <w:pPr>
        <w:ind w:left="1307" w:hanging="595"/>
        <w:spacing w:after="0"/>
        <w:tabs>
          <w:tab w:leader="none" w:pos="1307" w:val="left"/>
        </w:tabs>
        <w:numPr>
          <w:ilvl w:val="1"/>
          <w:numId w:val="35"/>
        </w:numPr>
        <w:rPr>
          <w:rFonts w:ascii="Arial" w:cs="Arial" w:eastAsia="Arial" w:hAnsi="Arial"/>
          <w:sz w:val="16"/>
          <w:szCs w:val="16"/>
          <w:color w:val="auto"/>
        </w:rPr>
      </w:pPr>
      <w:r>
        <w:rPr>
          <w:rFonts w:ascii="Arial" w:cs="Arial" w:eastAsia="Arial" w:hAnsi="Arial"/>
          <w:sz w:val="16"/>
          <w:szCs w:val="16"/>
          <w:color w:val="auto"/>
        </w:rPr>
        <w:t>[ ]</w:t>
      </w:r>
    </w:p>
    <w:p>
      <w:pPr>
        <w:spacing w:after="0" w:line="2" w:lineRule="exact"/>
        <w:rPr>
          <w:rFonts w:ascii="Arial" w:cs="Arial" w:eastAsia="Arial" w:hAnsi="Arial"/>
          <w:sz w:val="16"/>
          <w:szCs w:val="16"/>
          <w:color w:val="auto"/>
        </w:rPr>
      </w:pPr>
    </w:p>
    <w:p>
      <w:pPr>
        <w:ind w:left="1327" w:hanging="615"/>
        <w:spacing w:after="0"/>
        <w:tabs>
          <w:tab w:leader="none" w:pos="1327" w:val="left"/>
        </w:tabs>
        <w:numPr>
          <w:ilvl w:val="1"/>
          <w:numId w:val="35"/>
        </w:numPr>
        <w:rPr>
          <w:rFonts w:ascii="Arial" w:cs="Arial" w:eastAsia="Arial" w:hAnsi="Arial"/>
          <w:sz w:val="16"/>
          <w:szCs w:val="16"/>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503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03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707" w:right="8540" w:hanging="707"/>
        <w:spacing w:after="0" w:line="258" w:lineRule="auto"/>
        <w:tabs>
          <w:tab w:leader="none" w:pos="7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Source of Funds (See Instructions): AF,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right="5620" w:hanging="707"/>
        <w:spacing w:after="0" w:line="258" w:lineRule="auto"/>
        <w:tabs>
          <w:tab w:leader="none" w:pos="707"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07" w:hanging="707"/>
        <w:spacing w:after="0"/>
        <w:tabs>
          <w:tab w:leader="none" w:pos="707" w:val="left"/>
        </w:tabs>
        <w:numPr>
          <w:ilvl w:val="0"/>
          <w:numId w:val="39"/>
        </w:numPr>
        <w:rPr>
          <w:rFonts w:ascii="Arial" w:cs="Arial" w:eastAsia="Arial" w:hAnsi="Arial"/>
          <w:sz w:val="16"/>
          <w:szCs w:val="16"/>
          <w:color w:val="auto"/>
        </w:rPr>
      </w:pPr>
      <w:r>
        <w:rPr>
          <w:rFonts w:ascii="Arial" w:cs="Arial" w:eastAsia="Arial" w:hAnsi="Arial"/>
          <w:sz w:val="16"/>
          <w:szCs w:val="16"/>
          <w:color w:val="auto"/>
        </w:rPr>
        <w:t>Citizenship or Place of Organization.</w:t>
      </w:r>
    </w:p>
    <w:p>
      <w:pPr>
        <w:spacing w:after="0" w:line="12" w:lineRule="exact"/>
        <w:rPr>
          <w:rFonts w:ascii="Arial" w:cs="Arial" w:eastAsia="Arial" w:hAnsi="Arial"/>
          <w:sz w:val="16"/>
          <w:szCs w:val="16"/>
          <w:color w:val="auto"/>
        </w:rPr>
      </w:pPr>
    </w:p>
    <w:p>
      <w:pPr>
        <w:ind w:left="707"/>
        <w:spacing w:after="0"/>
        <w:rPr>
          <w:rFonts w:ascii="Arial" w:cs="Arial" w:eastAsia="Arial" w:hAnsi="Arial"/>
          <w:sz w:val="16"/>
          <w:szCs w:val="16"/>
          <w:color w:val="auto"/>
        </w:rPr>
      </w:pPr>
      <w:r>
        <w:rPr>
          <w:rFonts w:ascii="Arial" w:cs="Arial" w:eastAsia="Arial" w:hAnsi="Arial"/>
          <w:sz w:val="16"/>
          <w:szCs w:val="16"/>
          <w:color w:val="auto"/>
        </w:rPr>
        <w:t>USA</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80"/>
        </w:trPr>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Number</w:t>
            </w:r>
          </w:p>
        </w:tc>
        <w:tc>
          <w:tcPr>
            <w:tcW w:w="4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7</w:t>
            </w:r>
          </w:p>
        </w:tc>
        <w:tc>
          <w:tcPr>
            <w:tcW w:w="9580" w:type="dxa"/>
            <w:vAlign w:val="bottom"/>
            <w:tcBorders>
              <w:top w:val="single" w:sz="8" w:color="auto"/>
            </w:tcBorders>
          </w:tcPr>
          <w:p>
            <w:pPr>
              <w:ind w:left="320"/>
              <w:spacing w:after="0" w:line="180" w:lineRule="exact"/>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28"/>
        </w:trPr>
        <w:tc>
          <w:tcPr>
            <w:tcW w:w="13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9580" w:type="dxa"/>
            <w:vAlign w:val="bottom"/>
            <w:vMerge w:val="restart"/>
          </w:tcPr>
          <w:p>
            <w:pPr>
              <w:ind w:left="3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2"/>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4"/>
              </w:rPr>
              <w:t>of Shares</w:t>
            </w:r>
          </w:p>
        </w:tc>
        <w:tc>
          <w:tcPr>
            <w:tcW w:w="480" w:type="dxa"/>
            <w:vAlign w:val="bottom"/>
            <w:tcBorders>
              <w:bottom w:val="single" w:sz="8" w:color="auto"/>
            </w:tcBorders>
          </w:tcPr>
          <w:p>
            <w:pPr>
              <w:spacing w:after="0"/>
              <w:rPr>
                <w:sz w:val="6"/>
                <w:szCs w:val="6"/>
                <w:color w:val="auto"/>
              </w:rPr>
            </w:pPr>
          </w:p>
        </w:tc>
        <w:tc>
          <w:tcPr>
            <w:tcW w:w="95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480" w:type="dxa"/>
            <w:vAlign w:val="bottom"/>
            <w:vMerge w:val="restart"/>
          </w:tcPr>
          <w:p>
            <w:pPr>
              <w:spacing w:after="0" w:line="176" w:lineRule="exact"/>
              <w:rPr>
                <w:sz w:val="20"/>
                <w:szCs w:val="20"/>
                <w:color w:val="auto"/>
              </w:rPr>
            </w:pPr>
            <w:r>
              <w:rPr>
                <w:rFonts w:ascii="Arial" w:cs="Arial" w:eastAsia="Arial" w:hAnsi="Arial"/>
                <w:sz w:val="16"/>
                <w:szCs w:val="16"/>
                <w:color w:val="auto"/>
              </w:rPr>
              <w:t>8</w:t>
            </w:r>
          </w:p>
        </w:tc>
        <w:tc>
          <w:tcPr>
            <w:tcW w:w="9580" w:type="dxa"/>
            <w:vAlign w:val="bottom"/>
            <w:vMerge w:val="restart"/>
          </w:tcPr>
          <w:p>
            <w:pPr>
              <w:ind w:left="320"/>
              <w:spacing w:after="0" w:line="176" w:lineRule="exact"/>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82"/>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3"/>
              </w:rPr>
              <w:t>Beneficially</w:t>
            </w:r>
          </w:p>
        </w:tc>
        <w:tc>
          <w:tcPr>
            <w:tcW w:w="480" w:type="dxa"/>
            <w:vAlign w:val="bottom"/>
            <w:vMerge w:val="continue"/>
          </w:tcPr>
          <w:p>
            <w:pPr>
              <w:spacing w:after="0"/>
              <w:rPr>
                <w:sz w:val="7"/>
                <w:szCs w:val="7"/>
                <w:color w:val="auto"/>
              </w:rPr>
            </w:pPr>
          </w:p>
        </w:tc>
        <w:tc>
          <w:tcPr>
            <w:tcW w:w="9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580" w:type="dxa"/>
            <w:vAlign w:val="bottom"/>
            <w:vMerge w:val="restart"/>
          </w:tcPr>
          <w:p>
            <w:pPr>
              <w:ind w:left="320"/>
              <w:spacing w:after="0"/>
              <w:rPr>
                <w:sz w:val="20"/>
                <w:szCs w:val="20"/>
                <w:color w:val="auto"/>
              </w:rPr>
            </w:pPr>
            <w:r>
              <w:rPr>
                <w:rFonts w:ascii="Arial" w:cs="Arial" w:eastAsia="Arial" w:hAnsi="Arial"/>
                <w:sz w:val="16"/>
                <w:szCs w:val="16"/>
                <w:color w:val="auto"/>
              </w:rPr>
              <w:t>5,000,000</w:t>
            </w:r>
          </w:p>
        </w:tc>
        <w:tc>
          <w:tcPr>
            <w:tcW w:w="0" w:type="dxa"/>
            <w:vAlign w:val="bottom"/>
          </w:tcPr>
          <w:p>
            <w:pPr>
              <w:spacing w:after="0"/>
              <w:rPr>
                <w:sz w:val="1"/>
                <w:szCs w:val="1"/>
                <w:color w:val="auto"/>
              </w:rPr>
            </w:pPr>
          </w:p>
        </w:tc>
      </w:tr>
      <w:tr>
        <w:trPr>
          <w:trHeight w:val="96"/>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8"/>
              </w:rPr>
              <w:t>Owned by</w:t>
            </w:r>
          </w:p>
        </w:tc>
        <w:tc>
          <w:tcPr>
            <w:tcW w:w="480" w:type="dxa"/>
            <w:vAlign w:val="bottom"/>
            <w:tcBorders>
              <w:bottom w:val="single" w:sz="8" w:color="auto"/>
            </w:tcBorders>
          </w:tcPr>
          <w:p>
            <w:pPr>
              <w:spacing w:after="0"/>
              <w:rPr>
                <w:sz w:val="8"/>
                <w:szCs w:val="8"/>
                <w:color w:val="auto"/>
              </w:rPr>
            </w:pPr>
          </w:p>
        </w:tc>
        <w:tc>
          <w:tcPr>
            <w:tcW w:w="95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380" w:type="dxa"/>
            <w:vAlign w:val="bottom"/>
            <w:vMerge w:val="continue"/>
          </w:tcPr>
          <w:p>
            <w:pPr>
              <w:spacing w:after="0"/>
              <w:rPr>
                <w:sz w:val="6"/>
                <w:szCs w:val="6"/>
                <w:color w:val="auto"/>
              </w:rPr>
            </w:pPr>
          </w:p>
        </w:tc>
        <w:tc>
          <w:tcPr>
            <w:tcW w:w="480" w:type="dxa"/>
            <w:vAlign w:val="bottom"/>
            <w:vMerge w:val="restart"/>
          </w:tcPr>
          <w:p>
            <w:pPr>
              <w:spacing w:after="0" w:line="176" w:lineRule="exact"/>
              <w:rPr>
                <w:sz w:val="20"/>
                <w:szCs w:val="20"/>
                <w:color w:val="auto"/>
              </w:rPr>
            </w:pPr>
            <w:r>
              <w:rPr>
                <w:rFonts w:ascii="Arial" w:cs="Arial" w:eastAsia="Arial" w:hAnsi="Arial"/>
                <w:sz w:val="16"/>
                <w:szCs w:val="16"/>
                <w:color w:val="auto"/>
              </w:rPr>
              <w:t>9</w:t>
            </w:r>
          </w:p>
        </w:tc>
        <w:tc>
          <w:tcPr>
            <w:tcW w:w="9580" w:type="dxa"/>
            <w:vAlign w:val="bottom"/>
            <w:vMerge w:val="restart"/>
          </w:tcPr>
          <w:p>
            <w:pPr>
              <w:ind w:left="320"/>
              <w:spacing w:after="0" w:line="176"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05"/>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2"/>
              </w:rPr>
              <w:t>Each</w:t>
            </w:r>
          </w:p>
        </w:tc>
        <w:tc>
          <w:tcPr>
            <w:tcW w:w="480" w:type="dxa"/>
            <w:vAlign w:val="bottom"/>
            <w:vMerge w:val="continue"/>
          </w:tcPr>
          <w:p>
            <w:pPr>
              <w:spacing w:after="0"/>
              <w:rPr>
                <w:sz w:val="9"/>
                <w:szCs w:val="9"/>
                <w:color w:val="auto"/>
              </w:rPr>
            </w:pPr>
          </w:p>
        </w:tc>
        <w:tc>
          <w:tcPr>
            <w:tcW w:w="9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9580" w:type="dxa"/>
            <w:vAlign w:val="bottom"/>
            <w:vMerge w:val="restart"/>
          </w:tcPr>
          <w:p>
            <w:pPr>
              <w:ind w:left="3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9"/>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Reporting</w:t>
            </w:r>
          </w:p>
        </w:tc>
        <w:tc>
          <w:tcPr>
            <w:tcW w:w="480" w:type="dxa"/>
            <w:vAlign w:val="bottom"/>
            <w:tcBorders>
              <w:bottom w:val="single" w:sz="8" w:color="auto"/>
            </w:tcBorders>
          </w:tcPr>
          <w:p>
            <w:pPr>
              <w:spacing w:after="0"/>
              <w:rPr>
                <w:sz w:val="10"/>
                <w:szCs w:val="10"/>
                <w:color w:val="auto"/>
              </w:rPr>
            </w:pPr>
          </w:p>
        </w:tc>
        <w:tc>
          <w:tcPr>
            <w:tcW w:w="95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380" w:type="dxa"/>
            <w:vAlign w:val="bottom"/>
            <w:vMerge w:val="continue"/>
          </w:tcPr>
          <w:p>
            <w:pPr>
              <w:spacing w:after="0"/>
              <w:rPr>
                <w:sz w:val="4"/>
                <w:szCs w:val="4"/>
                <w:color w:val="auto"/>
              </w:rPr>
            </w:pPr>
          </w:p>
        </w:tc>
        <w:tc>
          <w:tcPr>
            <w:tcW w:w="480" w:type="dxa"/>
            <w:vAlign w:val="bottom"/>
            <w:vMerge w:val="restart"/>
          </w:tcPr>
          <w:p>
            <w:pPr>
              <w:spacing w:after="0" w:line="176" w:lineRule="exact"/>
              <w:rPr>
                <w:sz w:val="20"/>
                <w:szCs w:val="20"/>
                <w:color w:val="auto"/>
              </w:rPr>
            </w:pPr>
            <w:r>
              <w:rPr>
                <w:rFonts w:ascii="Arial" w:cs="Arial" w:eastAsia="Arial" w:hAnsi="Arial"/>
                <w:sz w:val="16"/>
                <w:szCs w:val="16"/>
                <w:color w:val="auto"/>
              </w:rPr>
              <w:t>10</w:t>
            </w:r>
          </w:p>
        </w:tc>
        <w:tc>
          <w:tcPr>
            <w:tcW w:w="9580" w:type="dxa"/>
            <w:vAlign w:val="bottom"/>
            <w:vMerge w:val="restart"/>
          </w:tcPr>
          <w:p>
            <w:pPr>
              <w:ind w:left="320"/>
              <w:spacing w:after="0" w:line="176" w:lineRule="exact"/>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8"/>
        </w:trPr>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9"/>
              </w:rPr>
              <w:t>Person With</w:t>
            </w:r>
          </w:p>
        </w:tc>
        <w:tc>
          <w:tcPr>
            <w:tcW w:w="480" w:type="dxa"/>
            <w:vAlign w:val="bottom"/>
            <w:vMerge w:val="continue"/>
          </w:tcPr>
          <w:p>
            <w:pPr>
              <w:spacing w:after="0"/>
              <w:rPr>
                <w:sz w:val="11"/>
                <w:szCs w:val="11"/>
                <w:color w:val="auto"/>
              </w:rPr>
            </w:pPr>
          </w:p>
        </w:tc>
        <w:tc>
          <w:tcPr>
            <w:tcW w:w="9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580" w:type="dxa"/>
            <w:vAlign w:val="bottom"/>
            <w:vMerge w:val="restart"/>
          </w:tcPr>
          <w:p>
            <w:pPr>
              <w:ind w:left="320"/>
              <w:spacing w:after="0"/>
              <w:rPr>
                <w:sz w:val="20"/>
                <w:szCs w:val="20"/>
                <w:color w:val="auto"/>
              </w:rPr>
            </w:pPr>
            <w:r>
              <w:rPr>
                <w:rFonts w:ascii="Arial" w:cs="Arial" w:eastAsia="Arial" w:hAnsi="Arial"/>
                <w:sz w:val="16"/>
                <w:szCs w:val="16"/>
                <w:color w:val="auto"/>
              </w:rPr>
              <w:t>5,000,000</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6503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927" w:right="6580" w:hanging="927"/>
        <w:spacing w:after="0" w:line="258" w:lineRule="auto"/>
        <w:tabs>
          <w:tab w:leader="none" w:pos="709" w:val="left"/>
        </w:tabs>
        <w:numPr>
          <w:ilvl w:val="0"/>
          <w:numId w:val="40"/>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503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7"/>
        <w:spacing w:after="0"/>
        <w:tabs>
          <w:tab w:leader="none" w:pos="686" w:val="left"/>
          <w:tab w:leader="none" w:pos="6366"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Check if the Aggregate Amount in Row (11) Excludes Certain Shares (See Instructions)</w:t>
      </w:r>
      <w:r>
        <w:rPr>
          <w:sz w:val="20"/>
          <w:szCs w:val="20"/>
          <w:color w:val="auto"/>
        </w:rPr>
        <w:tab/>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03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987" w:right="7400" w:hanging="987"/>
        <w:spacing w:after="0" w:line="259" w:lineRule="auto"/>
        <w:tabs>
          <w:tab w:leader="none" w:pos="7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Percent of Class Represented by Amount in Row (11) 4.7%</w:t>
      </w:r>
    </w:p>
    <w:p>
      <w:pPr>
        <w:spacing w:after="0" w:line="186" w:lineRule="exact"/>
        <w:rPr>
          <w:rFonts w:ascii="Arial" w:cs="Arial" w:eastAsia="Arial" w:hAnsi="Arial"/>
          <w:sz w:val="16"/>
          <w:szCs w:val="16"/>
          <w:color w:val="auto"/>
        </w:rPr>
      </w:pPr>
    </w:p>
    <w:p>
      <w:pPr>
        <w:ind w:left="707" w:hanging="707"/>
        <w:spacing w:after="0"/>
        <w:tabs>
          <w:tab w:leader="none" w:pos="7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6503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ind w:left="987"/>
        <w:spacing w:after="0"/>
        <w:rPr>
          <w:sz w:val="20"/>
          <w:szCs w:val="20"/>
          <w:color w:val="auto"/>
        </w:rPr>
      </w:pPr>
      <w:r>
        <w:rPr>
          <w:rFonts w:ascii="Arial" w:cs="Arial" w:eastAsia="Arial" w:hAnsi="Arial"/>
          <w:sz w:val="16"/>
          <w:szCs w:val="16"/>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503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5035" cy="146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577215</wp:posOffset>
            </wp:positionV>
            <wp:extent cx="727075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537" w:right="219" w:bottom="1440" w:gutter="0" w:footer="0" w:header="0"/>
        </w:sectPr>
      </w:pPr>
    </w:p>
    <w:bookmarkStart w:id="6" w:name="page7"/>
    <w:bookmarkEnd w:id="6"/>
    <w:p>
      <w:pPr>
        <w:jc w:val="center"/>
        <w:ind w:right="-6"/>
        <w:spacing w:after="0"/>
        <w:rPr>
          <w:sz w:val="20"/>
          <w:szCs w:val="20"/>
          <w:color w:val="auto"/>
        </w:rPr>
      </w:pPr>
      <w:r>
        <w:rPr>
          <w:rFonts w:ascii="Arial" w:cs="Arial" w:eastAsia="Arial" w:hAnsi="Arial"/>
          <w:sz w:val="16"/>
          <w:szCs w:val="16"/>
          <w:b w:val="1"/>
          <w:bCs w:val="1"/>
          <w:u w:val="single" w:color="auto"/>
          <w:color w:val="auto"/>
        </w:rPr>
        <w:t>AMENDMENT NO. 1 TO SCHEDULE 13D</w:t>
      </w:r>
    </w:p>
    <w:p>
      <w:pPr>
        <w:spacing w:after="0" w:line="219" w:lineRule="exact"/>
        <w:rPr>
          <w:sz w:val="20"/>
          <w:szCs w:val="20"/>
          <w:color w:val="auto"/>
        </w:rPr>
      </w:pPr>
    </w:p>
    <w:p>
      <w:pPr>
        <w:ind w:left="7" w:right="240"/>
        <w:spacing w:after="0" w:line="304" w:lineRule="auto"/>
        <w:rPr>
          <w:sz w:val="20"/>
          <w:szCs w:val="20"/>
          <w:color w:val="auto"/>
        </w:rPr>
      </w:pPr>
      <w:r>
        <w:rPr>
          <w:rFonts w:ascii="Arial" w:cs="Arial" w:eastAsia="Arial" w:hAnsi="Arial"/>
          <w:sz w:val="14"/>
          <w:szCs w:val="14"/>
          <w:color w:val="auto"/>
        </w:rPr>
        <w:t>This Amendment No. 1 to Schedule 13D (the “Amendment”), relating to Common Stock, par value $0.01 per share (the “Common Stock”), of Civeo Corporation, a Delaware corporation (the “Issuer”), is being filed as an amendment to the statement on Schedule 13D filed with the Securities and Exchange Commission (the “Commission”) on October 9, 2014. The address of the principal executive offices of the Issuer is Three Allen Center, 333 Clay Street, Suite 4980, Houston, Texas 77002.</w:t>
      </w:r>
    </w:p>
    <w:p>
      <w:pPr>
        <w:spacing w:after="0" w:line="158" w:lineRule="exact"/>
        <w:rPr>
          <w:sz w:val="20"/>
          <w:szCs w:val="20"/>
          <w:color w:val="auto"/>
        </w:rPr>
      </w:pPr>
    </w:p>
    <w:p>
      <w:pPr>
        <w:jc w:val="both"/>
        <w:ind w:left="7" w:right="20"/>
        <w:spacing w:after="0" w:line="304" w:lineRule="auto"/>
        <w:rPr>
          <w:sz w:val="20"/>
          <w:szCs w:val="20"/>
          <w:color w:val="auto"/>
        </w:rPr>
      </w:pPr>
      <w:r>
        <w:rPr>
          <w:rFonts w:ascii="Arial" w:cs="Arial" w:eastAsia="Arial" w:hAnsi="Arial"/>
          <w:sz w:val="14"/>
          <w:szCs w:val="14"/>
          <w:color w:val="auto"/>
        </w:rPr>
        <w:t>The Amendment is being filed on behalf of (i) Greenlight Capital, Inc., a Delaware corporation (“Greenlight Inc.”); (ii) DME Advisors GP, LLC, a Delaware limited liability company (“Advisors GP”); (iii) DME Capital Management, LP, a Delaware limited partnership (“DME CM”); (iv) DME Advisors, L.P., a Delaware limited partnership (“DME Advisors”); and (v) David Einhorn (“Mr. Einhorn” and together with Greenlight Inc., Advisors GP, DME CM and DME Advisors, the “Reporting Persons”).</w:t>
      </w:r>
    </w:p>
    <w:p>
      <w:pPr>
        <w:spacing w:after="0" w:line="158" w:lineRule="exact"/>
        <w:rPr>
          <w:sz w:val="20"/>
          <w:szCs w:val="20"/>
          <w:color w:val="auto"/>
        </w:rPr>
      </w:pPr>
    </w:p>
    <w:p>
      <w:pPr>
        <w:ind w:left="7"/>
        <w:spacing w:after="0" w:line="245" w:lineRule="auto"/>
        <w:rPr>
          <w:sz w:val="20"/>
          <w:szCs w:val="20"/>
          <w:color w:val="auto"/>
        </w:rPr>
      </w:pPr>
      <w:r>
        <w:rPr>
          <w:rFonts w:ascii="Arial" w:cs="Arial" w:eastAsia="Arial" w:hAnsi="Arial"/>
          <w:sz w:val="16"/>
          <w:szCs w:val="16"/>
          <w:color w:val="auto"/>
        </w:rPr>
        <w:t>Greenlight Inc. acts as investment manager for Greenlight Capital, L.P., a Delaware limited partnership, Greenlight Capital Qualified, L.P., a Delaware limited partnership, and Greenlight Capital Offshore Partners, a British Virgin Islands partnership. DME CM acts as the investment manager for Greenlight Capital Offshore Master (Gold), Ltd., a British Virgin Islands company and for Greenlight Capital (Gold), LP, a Delaware limited partnership. Advisors GP is the general partner of DME CM and the general partner of DME Advisors, the investment manager for a managed account. Mr. Einhorn is the principal of each of Greenlight Inc., Advisors GP, DME CM and DME Advisors. The shares of Common Stock reported herein are held for the account of the private investment funds and managed account described above (collectively, the “Funds”). The Reporting Persons may be deemed to beneficially own such shares in light of the Reporting Persons’ voting and investment powers with respect thereto. Each of the Reporting Persons disclaims beneficial ownership of such shares except to the extent of its pecuniary interest in such shares, and the inclusion of such securities in this report shall not be deemed an admission of beneficial ownership for any purpose.</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6"/>
          <w:szCs w:val="16"/>
          <w:color w:val="auto"/>
        </w:rPr>
        <w:t>This Amendment is being filed to amend Items 5 and 6 as follows:</w:t>
      </w:r>
    </w:p>
    <w:p>
      <w:pPr>
        <w:spacing w:after="0" w:line="207" w:lineRule="exact"/>
        <w:rPr>
          <w:sz w:val="20"/>
          <w:szCs w:val="20"/>
          <w:color w:val="auto"/>
        </w:rPr>
      </w:pPr>
    </w:p>
    <w:p>
      <w:pPr>
        <w:ind w:left="7"/>
        <w:spacing w:after="0"/>
        <w:tabs>
          <w:tab w:leader="none" w:pos="1706"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3"/>
          <w:szCs w:val="13"/>
          <w:b w:val="1"/>
          <w:bCs w:val="1"/>
          <w:color w:val="auto"/>
        </w:rPr>
        <w:t>Interest in Securities of the Issuer</w:t>
      </w:r>
    </w:p>
    <w:p>
      <w:pPr>
        <w:spacing w:after="0" w:line="219" w:lineRule="exact"/>
        <w:rPr>
          <w:sz w:val="20"/>
          <w:szCs w:val="20"/>
          <w:color w:val="auto"/>
        </w:rPr>
      </w:pPr>
    </w:p>
    <w:p>
      <w:pPr>
        <w:ind w:left="7"/>
        <w:spacing w:after="0"/>
        <w:rPr>
          <w:sz w:val="20"/>
          <w:szCs w:val="20"/>
          <w:color w:val="auto"/>
        </w:rPr>
      </w:pPr>
      <w:r>
        <w:rPr>
          <w:rFonts w:ascii="Arial" w:cs="Arial" w:eastAsia="Arial" w:hAnsi="Arial"/>
          <w:sz w:val="16"/>
          <w:szCs w:val="16"/>
          <w:color w:val="auto"/>
        </w:rPr>
        <w:t>(a) and (b) See Items 7-11 of the cover pages and Item 2 above.</w:t>
      </w:r>
    </w:p>
    <w:p>
      <w:pPr>
        <w:spacing w:after="0" w:line="213" w:lineRule="exact"/>
        <w:rPr>
          <w:sz w:val="20"/>
          <w:szCs w:val="20"/>
          <w:color w:val="auto"/>
        </w:rPr>
      </w:pPr>
    </w:p>
    <w:p>
      <w:pPr>
        <w:ind w:left="7"/>
        <w:spacing w:after="0" w:line="331" w:lineRule="auto"/>
        <w:rPr>
          <w:sz w:val="20"/>
          <w:szCs w:val="20"/>
          <w:color w:val="auto"/>
        </w:rPr>
      </w:pPr>
      <w:r>
        <w:rPr>
          <w:rFonts w:ascii="Arial" w:cs="Arial" w:eastAsia="Arial" w:hAnsi="Arial"/>
          <w:sz w:val="14"/>
          <w:szCs w:val="14"/>
          <w:color w:val="auto"/>
        </w:rPr>
        <w:t>The percentage calculations herein are based upon the statement in the Issuer’s Quarterly Report on Form 10-Q for the quarter ended March 31, 2015, as filed with the Securities and Exchange Commission on April 30, 2015, that there were 107,321,989 outstanding shares of Common Stock of the Issuer as of April 24, 2015.</w:t>
      </w:r>
    </w:p>
    <w:p>
      <w:pPr>
        <w:spacing w:after="0" w:line="139" w:lineRule="exact"/>
        <w:rPr>
          <w:sz w:val="20"/>
          <w:szCs w:val="20"/>
          <w:color w:val="auto"/>
        </w:rPr>
      </w:pPr>
    </w:p>
    <w:p>
      <w:pPr>
        <w:jc w:val="both"/>
        <w:ind w:left="7" w:hanging="7"/>
        <w:spacing w:after="0" w:line="251" w:lineRule="auto"/>
        <w:tabs>
          <w:tab w:leader="none" w:pos="2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following table lists the transactions in the Common Stock that were effected by the Funds, in the aggregate, during the sixty day period prior to the filing of this Schedule 13D. Each transaction listed below reflects the aggregate number of shares purchased or sold through a particular broker on the applicable date, and the corresponding price reflects the average price per share in connection with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555625</wp:posOffset>
            </wp:positionV>
            <wp:extent cx="727075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7"/>
          </w:cols>
          <w:pgMar w:left="233" w:top="729" w:right="239" w:bottom="1440" w:gutter="0" w:footer="0" w:header="0"/>
        </w:sectPr>
      </w:pPr>
    </w:p>
    <w:bookmarkStart w:id="7" w:name="page8"/>
    <w:bookmarkEnd w:id="7"/>
    <w:tbl>
      <w:tblPr>
        <w:tblLayout w:type="fixed"/>
        <w:tblInd w:w="17" w:type="dxa"/>
        <w:tblCellMar>
          <w:top w:w="0" w:type="dxa"/>
          <w:left w:w="0" w:type="dxa"/>
          <w:bottom w:w="0" w:type="dxa"/>
          <w:right w:w="0" w:type="dxa"/>
        </w:tblCellMar>
      </w:tblPr>
      <w:tr>
        <w:trPr>
          <w:trHeight w:val="202"/>
        </w:trPr>
        <w:tc>
          <w:tcPr>
            <w:tcW w:w="23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820" w:type="dxa"/>
            <w:vAlign w:val="bottom"/>
            <w:tcBorders>
              <w:top w:val="single" w:sz="8" w:color="auto"/>
              <w:bottom w:val="single" w:sz="8" w:color="auto"/>
              <w:right w:val="single" w:sz="8" w:color="auto"/>
            </w:tcBorders>
          </w:tcPr>
          <w:p>
            <w:pPr>
              <w:spacing w:after="0"/>
              <w:rPr>
                <w:sz w:val="17"/>
                <w:szCs w:val="17"/>
                <w:color w:val="auto"/>
              </w:rPr>
            </w:pPr>
          </w:p>
        </w:tc>
        <w:tc>
          <w:tcPr>
            <w:tcW w:w="1840" w:type="dxa"/>
            <w:vAlign w:val="bottom"/>
            <w:tcBorders>
              <w:top w:val="single" w:sz="8" w:color="auto"/>
              <w:bottom w:val="single" w:sz="8" w:color="auto"/>
              <w:right w:val="single" w:sz="8" w:color="auto"/>
            </w:tcBorders>
          </w:tcPr>
          <w:p>
            <w:pPr>
              <w:spacing w:after="0"/>
              <w:rPr>
                <w:sz w:val="17"/>
                <w:szCs w:val="17"/>
                <w:color w:val="auto"/>
              </w:rPr>
            </w:pPr>
          </w:p>
        </w:tc>
        <w:tc>
          <w:tcPr>
            <w:tcW w:w="2040" w:type="dxa"/>
            <w:vAlign w:val="bottom"/>
            <w:tcBorders>
              <w:top w:val="single" w:sz="8" w:color="auto"/>
              <w:bottom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gridSpan w:val="2"/>
          </w:tcPr>
          <w:p>
            <w:pPr>
              <w:ind w:left="140"/>
              <w:spacing w:after="0"/>
              <w:rPr>
                <w:sz w:val="20"/>
                <w:szCs w:val="20"/>
                <w:color w:val="auto"/>
              </w:rPr>
            </w:pPr>
            <w:r>
              <w:rPr>
                <w:rFonts w:ascii="Arial" w:cs="Arial" w:eastAsia="Arial" w:hAnsi="Arial"/>
                <w:sz w:val="16"/>
                <w:szCs w:val="16"/>
                <w:b w:val="1"/>
                <w:bCs w:val="1"/>
                <w:color w:val="auto"/>
              </w:rPr>
              <w:t>Price Range</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Transaction</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Date</w:t>
            </w:r>
          </w:p>
        </w:tc>
        <w:tc>
          <w:tcPr>
            <w:tcW w:w="1840" w:type="dxa"/>
            <w:vAlign w:val="bottom"/>
            <w:tcBorders>
              <w:bottom w:val="single" w:sz="8" w:color="auto"/>
              <w:right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No. Shares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Average Price*</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b w:val="1"/>
                <w:bCs w:val="1"/>
                <w:color w:val="auto"/>
                <w:w w:val="93"/>
              </w:rPr>
              <w:t>Low</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6"/>
                <w:szCs w:val="16"/>
                <w:b w:val="1"/>
                <w:bCs w:val="1"/>
                <w:color w:val="auto"/>
              </w:rPr>
              <w:t>High</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04/16/2015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350,300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$3.89</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$3.89</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$3.89</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04/17/2015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249,700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$3.69</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$3.69</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$3.69</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04/20/2015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200,000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$3.63</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$3.63</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$3.63</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04/21/2015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50,000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$3.47</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$3.47</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$3.47</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04/22/2015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75,000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$3.36</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$3.36</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$3.36</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04/23/2015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75,000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$3.45</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$3.45</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$3.45</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05/05/2015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208,929</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$4.83</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$4.80</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$4.86</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05/06/2015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895,261</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$4.77</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$4.68</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$4.85</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05/07/2015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424,475</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$4.49</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$4.48</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$4.51</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05/08/2015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774,664</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$4.57</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$4.55</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$4.60</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05/11/2015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570,594</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$4.65</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$4.64</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$4.66</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05/12/2015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785,006</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$4.61</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$4.59</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$4.64</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05/13/2015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400,000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$4.62</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$4.62</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$4.62</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05/14/2015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350,000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$4.54</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$4.50</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$4.60</w:t>
            </w:r>
          </w:p>
        </w:tc>
      </w:tr>
      <w:tr>
        <w:trPr>
          <w:trHeight w:val="1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Open market sales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05/15/2015</w:t>
            </w:r>
          </w:p>
        </w:tc>
        <w:tc>
          <w:tcPr>
            <w:tcW w:w="1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250,000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$4.39</w:t>
            </w:r>
          </w:p>
        </w:tc>
        <w:tc>
          <w:tcPr>
            <w:tcW w:w="116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84"/>
              </w:rPr>
              <w:t>$4.39</w:t>
            </w:r>
          </w:p>
        </w:tc>
        <w:tc>
          <w:tcPr>
            <w:tcW w:w="5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6"/>
                <w:szCs w:val="16"/>
                <w:color w:val="auto"/>
              </w:rPr>
              <w:t>$4.39</w:t>
            </w:r>
          </w:p>
        </w:tc>
      </w:tr>
    </w:tbl>
    <w:p>
      <w:pPr>
        <w:ind w:left="207" w:hanging="207"/>
        <w:spacing w:after="0" w:line="315" w:lineRule="auto"/>
        <w:tabs>
          <w:tab w:leader="none" w:pos="207" w:val="left"/>
        </w:tabs>
        <w:numPr>
          <w:ilvl w:val="0"/>
          <w:numId w:val="4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5223510</wp:posOffset>
            </wp:positionH>
            <wp:positionV relativeFrom="page">
              <wp:posOffset>461010</wp:posOffset>
            </wp:positionV>
            <wp:extent cx="2202815" cy="166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02815" cy="166370"/>
                    </a:xfrm>
                    <a:prstGeom prst="rect">
                      <a:avLst/>
                    </a:prstGeom>
                    <a:noFill/>
                  </pic:spPr>
                </pic:pic>
              </a:graphicData>
            </a:graphic>
          </wp:anchor>
        </w:drawing>
        <w:t>The prices reported are weighted average prices at which shares were sold in multiple transactions on the listed dates. The Reporting Persons undertake to provide to the staff of the Commission, upon request, full information regarding the number of shares sold at each price within the price range stated for each such date.</w:t>
      </w:r>
    </w:p>
    <w:p>
      <w:pPr>
        <w:spacing w:after="0" w:line="150" w:lineRule="exact"/>
        <w:rPr>
          <w:sz w:val="20"/>
          <w:szCs w:val="20"/>
          <w:color w:val="auto"/>
        </w:rPr>
      </w:pPr>
    </w:p>
    <w:p>
      <w:pPr>
        <w:ind w:left="267" w:hanging="267"/>
        <w:spacing w:after="0"/>
        <w:tabs>
          <w:tab w:leader="none" w:pos="2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04" w:lineRule="exact"/>
        <w:rPr>
          <w:rFonts w:ascii="Arial" w:cs="Arial" w:eastAsia="Arial" w:hAnsi="Arial"/>
          <w:sz w:val="16"/>
          <w:szCs w:val="16"/>
          <w:color w:val="auto"/>
        </w:rPr>
      </w:pPr>
    </w:p>
    <w:p>
      <w:pPr>
        <w:ind w:left="307" w:hanging="307"/>
        <w:spacing w:after="0"/>
        <w:tabs>
          <w:tab w:leader="none" w:pos="3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Reporting Persons ceased to be potential beneficial owners of more than five percent of the Common Stock as of May 14, 2015.</w:t>
      </w:r>
    </w:p>
    <w:p>
      <w:pPr>
        <w:spacing w:after="0" w:line="215" w:lineRule="exact"/>
        <w:rPr>
          <w:sz w:val="20"/>
          <w:szCs w:val="20"/>
          <w:color w:val="auto"/>
        </w:rPr>
      </w:pPr>
    </w:p>
    <w:p>
      <w:pPr>
        <w:ind w:left="7"/>
        <w:spacing w:after="0"/>
        <w:tabs>
          <w:tab w:leader="none" w:pos="1706"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3"/>
          <w:szCs w:val="13"/>
          <w:b w:val="1"/>
          <w:bCs w:val="1"/>
          <w:color w:val="auto"/>
        </w:rPr>
        <w:t>Contracts, Arrangements, Understandings or Relationships with Respect to Securities of the Issuer</w:t>
      </w:r>
    </w:p>
    <w:p>
      <w:pPr>
        <w:spacing w:after="0" w:line="219" w:lineRule="exact"/>
        <w:rPr>
          <w:sz w:val="20"/>
          <w:szCs w:val="20"/>
          <w:color w:val="auto"/>
        </w:rPr>
      </w:pPr>
    </w:p>
    <w:p>
      <w:pPr>
        <w:jc w:val="both"/>
        <w:ind w:left="7"/>
        <w:spacing w:after="0" w:line="304" w:lineRule="auto"/>
        <w:rPr>
          <w:sz w:val="20"/>
          <w:szCs w:val="20"/>
          <w:color w:val="auto"/>
        </w:rPr>
      </w:pPr>
      <w:r>
        <w:rPr>
          <w:rFonts w:ascii="Arial" w:cs="Arial" w:eastAsia="Arial" w:hAnsi="Arial"/>
          <w:sz w:val="14"/>
          <w:szCs w:val="14"/>
          <w:color w:val="auto"/>
        </w:rPr>
        <w:t>The Funds are parties to cash settled swaps (the “Swaps”) with respect to an aggregate of 1,000,000 shares of Common Stock. The Swaps provide the Funds with economic results that are comparable to the economic results of ownership but do not provide them (or Reporting Persons acting on their behalf) with the power to vote or direct the voting or dispose of or direct the disposition of any shares of Common Stock. The counterparties to the Swaps are unaffiliated third party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1585595</wp:posOffset>
            </wp:positionV>
            <wp:extent cx="727075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726" w:right="219" w:bottom="1440" w:gutter="0" w:footer="0" w:header="0"/>
        </w:sectPr>
      </w:pPr>
    </w:p>
    <w:bookmarkStart w:id="8" w:name="page9"/>
    <w:bookmarkEnd w:id="8"/>
    <w:p>
      <w:pPr>
        <w:jc w:val="center"/>
        <w:ind w:right="-6"/>
        <w:spacing w:after="0"/>
        <w:rPr>
          <w:sz w:val="20"/>
          <w:szCs w:val="20"/>
          <w:color w:val="auto"/>
        </w:rPr>
      </w:pPr>
      <w:r>
        <w:rPr>
          <w:rFonts w:ascii="Arial" w:cs="Arial" w:eastAsia="Arial" w:hAnsi="Arial"/>
          <w:sz w:val="16"/>
          <w:szCs w:val="16"/>
          <w:b w:val="1"/>
          <w:bCs w:val="1"/>
          <w:color w:val="auto"/>
        </w:rPr>
        <w:t>SIGNATURE</w:t>
      </w:r>
    </w:p>
    <w:p>
      <w:pPr>
        <w:spacing w:after="0" w:line="219" w:lineRule="exact"/>
        <w:rPr>
          <w:sz w:val="20"/>
          <w:szCs w:val="20"/>
          <w:color w:val="auto"/>
        </w:rPr>
      </w:pPr>
    </w:p>
    <w:p>
      <w:pPr>
        <w:ind w:left="7"/>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13" w:lineRule="exact"/>
        <w:rPr>
          <w:sz w:val="20"/>
          <w:szCs w:val="20"/>
          <w:color w:val="auto"/>
        </w:rPr>
      </w:pPr>
    </w:p>
    <w:tbl>
      <w:tblPr>
        <w:tblLayout w:type="fixed"/>
        <w:tblInd w:w="7" w:type="dxa"/>
        <w:tblCellMar>
          <w:top w:w="0" w:type="dxa"/>
          <w:left w:w="0" w:type="dxa"/>
          <w:bottom w:w="0" w:type="dxa"/>
          <w:right w:w="0" w:type="dxa"/>
        </w:tblCellMar>
      </w:tblPr>
      <w:tr>
        <w:trPr>
          <w:trHeight w:val="197"/>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1060" w:type="dxa"/>
            <w:vAlign w:val="bottom"/>
          </w:tcPr>
          <w:p>
            <w:pPr>
              <w:ind w:left="200"/>
              <w:spacing w:after="0"/>
              <w:rPr>
                <w:sz w:val="20"/>
                <w:szCs w:val="20"/>
                <w:color w:val="auto"/>
              </w:rPr>
            </w:pPr>
            <w:r>
              <w:rPr>
                <w:rFonts w:ascii="Arial" w:cs="Arial" w:eastAsia="Arial" w:hAnsi="Arial"/>
                <w:sz w:val="16"/>
                <w:szCs w:val="16"/>
                <w:color w:val="auto"/>
                <w:w w:val="86"/>
              </w:rPr>
              <w:t>May 15, 2015</w:t>
            </w:r>
          </w:p>
        </w:tc>
      </w:tr>
    </w:tbl>
    <w:p>
      <w:pPr>
        <w:spacing w:after="0" w:line="200" w:lineRule="exact"/>
        <w:rPr>
          <w:sz w:val="20"/>
          <w:szCs w:val="20"/>
          <w:color w:val="auto"/>
        </w:rPr>
      </w:pPr>
    </w:p>
    <w:p>
      <w:pPr>
        <w:ind w:left="5727"/>
        <w:spacing w:after="0"/>
        <w:rPr>
          <w:sz w:val="20"/>
          <w:szCs w:val="20"/>
          <w:color w:val="auto"/>
        </w:rPr>
      </w:pPr>
      <w:r>
        <w:rPr>
          <w:rFonts w:ascii="Arial" w:cs="Arial" w:eastAsia="Arial" w:hAnsi="Arial"/>
          <w:sz w:val="16"/>
          <w:szCs w:val="16"/>
          <w:color w:val="auto"/>
        </w:rPr>
        <w:t>Greenlight Capital, Inc.</w:t>
      </w:r>
    </w:p>
    <w:p>
      <w:pPr>
        <w:spacing w:after="0" w:line="189" w:lineRule="exact"/>
        <w:rPr>
          <w:sz w:val="20"/>
          <w:szCs w:val="20"/>
          <w:color w:val="auto"/>
        </w:rPr>
      </w:pPr>
    </w:p>
    <w:p>
      <w:pPr>
        <w:ind w:left="5727"/>
        <w:spacing w:after="0"/>
        <w:rPr>
          <w:sz w:val="20"/>
          <w:szCs w:val="20"/>
          <w:color w:val="auto"/>
        </w:rPr>
      </w:pPr>
      <w:r>
        <w:rPr>
          <w:rFonts w:ascii="Arial" w:cs="Arial" w:eastAsia="Arial" w:hAnsi="Arial"/>
          <w:sz w:val="16"/>
          <w:szCs w:val="16"/>
          <w:color w:val="auto"/>
        </w:rPr>
        <w:t>By:  /s/DANIEL ROITMAN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-13335</wp:posOffset>
            </wp:positionV>
            <wp:extent cx="161226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12265" cy="7620"/>
                    </a:xfrm>
                    <a:prstGeom prst="rect">
                      <a:avLst/>
                    </a:prstGeom>
                    <a:noFill/>
                  </pic:spPr>
                </pic:pic>
              </a:graphicData>
            </a:graphic>
          </wp:anchor>
        </w:drawing>
      </w:r>
    </w:p>
    <w:p>
      <w:pPr>
        <w:ind w:left="6067"/>
        <w:spacing w:after="0"/>
        <w:rPr>
          <w:sz w:val="20"/>
          <w:szCs w:val="20"/>
          <w:color w:val="auto"/>
        </w:rPr>
      </w:pPr>
      <w:r>
        <w:rPr>
          <w:rFonts w:ascii="Arial" w:cs="Arial" w:eastAsia="Arial" w:hAnsi="Arial"/>
          <w:sz w:val="16"/>
          <w:szCs w:val="16"/>
          <w:color w:val="auto"/>
        </w:rPr>
        <w:t>Daniel Roitman</w:t>
      </w:r>
    </w:p>
    <w:p>
      <w:pPr>
        <w:spacing w:after="0" w:line="3" w:lineRule="exact"/>
        <w:rPr>
          <w:sz w:val="20"/>
          <w:szCs w:val="20"/>
          <w:color w:val="auto"/>
        </w:rPr>
      </w:pPr>
    </w:p>
    <w:p>
      <w:pPr>
        <w:ind w:left="6067"/>
        <w:spacing w:after="0"/>
        <w:rPr>
          <w:sz w:val="20"/>
          <w:szCs w:val="20"/>
          <w:color w:val="auto"/>
        </w:rPr>
      </w:pPr>
      <w:r>
        <w:rPr>
          <w:rFonts w:ascii="Arial" w:cs="Arial" w:eastAsia="Arial" w:hAnsi="Arial"/>
          <w:sz w:val="16"/>
          <w:szCs w:val="16"/>
          <w:color w:val="auto"/>
        </w:rPr>
        <w:t>Chief Operating Officer</w:t>
      </w:r>
    </w:p>
    <w:p>
      <w:pPr>
        <w:spacing w:after="0" w:line="366" w:lineRule="exact"/>
        <w:rPr>
          <w:sz w:val="20"/>
          <w:szCs w:val="20"/>
          <w:color w:val="auto"/>
        </w:rPr>
      </w:pPr>
    </w:p>
    <w:p>
      <w:pPr>
        <w:ind w:left="5727"/>
        <w:spacing w:after="0"/>
        <w:rPr>
          <w:sz w:val="20"/>
          <w:szCs w:val="20"/>
          <w:color w:val="auto"/>
        </w:rPr>
      </w:pPr>
      <w:r>
        <w:rPr>
          <w:rFonts w:ascii="Arial" w:cs="Arial" w:eastAsia="Arial" w:hAnsi="Arial"/>
          <w:sz w:val="16"/>
          <w:szCs w:val="16"/>
          <w:color w:val="auto"/>
        </w:rPr>
        <w:t>DME Advisors GP, L.L.C.</w:t>
      </w:r>
    </w:p>
    <w:p>
      <w:pPr>
        <w:spacing w:after="0" w:line="189" w:lineRule="exact"/>
        <w:rPr>
          <w:sz w:val="20"/>
          <w:szCs w:val="20"/>
          <w:color w:val="auto"/>
        </w:rPr>
      </w:pPr>
    </w:p>
    <w:p>
      <w:pPr>
        <w:ind w:left="5727"/>
        <w:spacing w:after="0"/>
        <w:rPr>
          <w:sz w:val="20"/>
          <w:szCs w:val="20"/>
          <w:color w:val="auto"/>
        </w:rPr>
      </w:pPr>
      <w:r>
        <w:rPr>
          <w:rFonts w:ascii="Arial" w:cs="Arial" w:eastAsia="Arial" w:hAnsi="Arial"/>
          <w:sz w:val="16"/>
          <w:szCs w:val="16"/>
          <w:color w:val="auto"/>
        </w:rPr>
        <w:t>By:  /s/DANIEL ROITMAN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-13335</wp:posOffset>
            </wp:positionV>
            <wp:extent cx="161226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12265" cy="7620"/>
                    </a:xfrm>
                    <a:prstGeom prst="rect">
                      <a:avLst/>
                    </a:prstGeom>
                    <a:noFill/>
                  </pic:spPr>
                </pic:pic>
              </a:graphicData>
            </a:graphic>
          </wp:anchor>
        </w:drawing>
      </w:r>
    </w:p>
    <w:p>
      <w:pPr>
        <w:ind w:left="6067"/>
        <w:spacing w:after="0"/>
        <w:rPr>
          <w:sz w:val="20"/>
          <w:szCs w:val="20"/>
          <w:color w:val="auto"/>
        </w:rPr>
      </w:pPr>
      <w:r>
        <w:rPr>
          <w:rFonts w:ascii="Arial" w:cs="Arial" w:eastAsia="Arial" w:hAnsi="Arial"/>
          <w:sz w:val="16"/>
          <w:szCs w:val="16"/>
          <w:color w:val="auto"/>
        </w:rPr>
        <w:t>Daniel Roitman</w:t>
      </w:r>
    </w:p>
    <w:p>
      <w:pPr>
        <w:spacing w:after="0" w:line="3" w:lineRule="exact"/>
        <w:rPr>
          <w:sz w:val="20"/>
          <w:szCs w:val="20"/>
          <w:color w:val="auto"/>
        </w:rPr>
      </w:pPr>
    </w:p>
    <w:p>
      <w:pPr>
        <w:ind w:left="6067"/>
        <w:spacing w:after="0"/>
        <w:rPr>
          <w:sz w:val="20"/>
          <w:szCs w:val="20"/>
          <w:color w:val="auto"/>
        </w:rPr>
      </w:pPr>
      <w:r>
        <w:rPr>
          <w:rFonts w:ascii="Arial" w:cs="Arial" w:eastAsia="Arial" w:hAnsi="Arial"/>
          <w:sz w:val="16"/>
          <w:szCs w:val="16"/>
          <w:color w:val="auto"/>
        </w:rPr>
        <w:t>Chief Operating Officer</w:t>
      </w:r>
    </w:p>
    <w:p>
      <w:pPr>
        <w:spacing w:after="0" w:line="366" w:lineRule="exact"/>
        <w:rPr>
          <w:sz w:val="20"/>
          <w:szCs w:val="20"/>
          <w:color w:val="auto"/>
        </w:rPr>
      </w:pPr>
    </w:p>
    <w:p>
      <w:pPr>
        <w:ind w:left="5727"/>
        <w:spacing w:after="0"/>
        <w:rPr>
          <w:sz w:val="20"/>
          <w:szCs w:val="20"/>
          <w:color w:val="auto"/>
        </w:rPr>
      </w:pPr>
      <w:r>
        <w:rPr>
          <w:rFonts w:ascii="Arial" w:cs="Arial" w:eastAsia="Arial" w:hAnsi="Arial"/>
          <w:sz w:val="16"/>
          <w:szCs w:val="16"/>
          <w:color w:val="auto"/>
        </w:rPr>
        <w:t>DME Capital Management, LP</w:t>
      </w:r>
    </w:p>
    <w:p>
      <w:pPr>
        <w:spacing w:after="0" w:line="189" w:lineRule="exact"/>
        <w:rPr>
          <w:sz w:val="20"/>
          <w:szCs w:val="20"/>
          <w:color w:val="auto"/>
        </w:rPr>
      </w:pPr>
    </w:p>
    <w:p>
      <w:pPr>
        <w:ind w:left="5727"/>
        <w:spacing w:after="0"/>
        <w:rPr>
          <w:sz w:val="20"/>
          <w:szCs w:val="20"/>
          <w:color w:val="auto"/>
        </w:rPr>
      </w:pPr>
      <w:r>
        <w:rPr>
          <w:rFonts w:ascii="Arial" w:cs="Arial" w:eastAsia="Arial" w:hAnsi="Arial"/>
          <w:sz w:val="16"/>
          <w:szCs w:val="16"/>
          <w:color w:val="auto"/>
        </w:rPr>
        <w:t>By:  /s/DANIEL ROITMAN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-13335</wp:posOffset>
            </wp:positionV>
            <wp:extent cx="161226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12265" cy="7620"/>
                    </a:xfrm>
                    <a:prstGeom prst="rect">
                      <a:avLst/>
                    </a:prstGeom>
                    <a:noFill/>
                  </pic:spPr>
                </pic:pic>
              </a:graphicData>
            </a:graphic>
          </wp:anchor>
        </w:drawing>
      </w:r>
    </w:p>
    <w:p>
      <w:pPr>
        <w:ind w:left="6067"/>
        <w:spacing w:after="0"/>
        <w:rPr>
          <w:sz w:val="20"/>
          <w:szCs w:val="20"/>
          <w:color w:val="auto"/>
        </w:rPr>
      </w:pPr>
      <w:r>
        <w:rPr>
          <w:rFonts w:ascii="Arial" w:cs="Arial" w:eastAsia="Arial" w:hAnsi="Arial"/>
          <w:sz w:val="16"/>
          <w:szCs w:val="16"/>
          <w:color w:val="auto"/>
        </w:rPr>
        <w:t>Daniel Roitman</w:t>
      </w:r>
    </w:p>
    <w:p>
      <w:pPr>
        <w:spacing w:after="0" w:line="3" w:lineRule="exact"/>
        <w:rPr>
          <w:sz w:val="20"/>
          <w:szCs w:val="20"/>
          <w:color w:val="auto"/>
        </w:rPr>
      </w:pPr>
    </w:p>
    <w:p>
      <w:pPr>
        <w:ind w:left="6067"/>
        <w:spacing w:after="0"/>
        <w:rPr>
          <w:sz w:val="20"/>
          <w:szCs w:val="20"/>
          <w:color w:val="auto"/>
        </w:rPr>
      </w:pPr>
      <w:r>
        <w:rPr>
          <w:rFonts w:ascii="Arial" w:cs="Arial" w:eastAsia="Arial" w:hAnsi="Arial"/>
          <w:sz w:val="16"/>
          <w:szCs w:val="16"/>
          <w:color w:val="auto"/>
        </w:rPr>
        <w:t>Chief Operating Officer</w:t>
      </w:r>
    </w:p>
    <w:p>
      <w:pPr>
        <w:spacing w:after="0" w:line="366" w:lineRule="exact"/>
        <w:rPr>
          <w:sz w:val="20"/>
          <w:szCs w:val="20"/>
          <w:color w:val="auto"/>
        </w:rPr>
      </w:pPr>
    </w:p>
    <w:p>
      <w:pPr>
        <w:ind w:left="5727"/>
        <w:spacing w:after="0"/>
        <w:rPr>
          <w:sz w:val="20"/>
          <w:szCs w:val="20"/>
          <w:color w:val="auto"/>
        </w:rPr>
      </w:pPr>
      <w:r>
        <w:rPr>
          <w:rFonts w:ascii="Arial" w:cs="Arial" w:eastAsia="Arial" w:hAnsi="Arial"/>
          <w:sz w:val="16"/>
          <w:szCs w:val="16"/>
          <w:color w:val="auto"/>
        </w:rPr>
        <w:t>DME Advisors, L.P.</w:t>
      </w:r>
    </w:p>
    <w:p>
      <w:pPr>
        <w:spacing w:after="0" w:line="189" w:lineRule="exact"/>
        <w:rPr>
          <w:sz w:val="20"/>
          <w:szCs w:val="20"/>
          <w:color w:val="auto"/>
        </w:rPr>
      </w:pPr>
    </w:p>
    <w:p>
      <w:pPr>
        <w:ind w:left="5727"/>
        <w:spacing w:after="0"/>
        <w:rPr>
          <w:sz w:val="20"/>
          <w:szCs w:val="20"/>
          <w:color w:val="auto"/>
        </w:rPr>
      </w:pPr>
      <w:r>
        <w:rPr>
          <w:rFonts w:ascii="Arial" w:cs="Arial" w:eastAsia="Arial" w:hAnsi="Arial"/>
          <w:sz w:val="16"/>
          <w:szCs w:val="16"/>
          <w:color w:val="auto"/>
        </w:rPr>
        <w:t>By:  /s/DANIEL ROITMAN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-13335</wp:posOffset>
            </wp:positionV>
            <wp:extent cx="161226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12265" cy="7620"/>
                    </a:xfrm>
                    <a:prstGeom prst="rect">
                      <a:avLst/>
                    </a:prstGeom>
                    <a:noFill/>
                  </pic:spPr>
                </pic:pic>
              </a:graphicData>
            </a:graphic>
          </wp:anchor>
        </w:drawing>
      </w:r>
    </w:p>
    <w:p>
      <w:pPr>
        <w:ind w:left="6067"/>
        <w:spacing w:after="0"/>
        <w:rPr>
          <w:sz w:val="20"/>
          <w:szCs w:val="20"/>
          <w:color w:val="auto"/>
        </w:rPr>
      </w:pPr>
      <w:r>
        <w:rPr>
          <w:rFonts w:ascii="Arial" w:cs="Arial" w:eastAsia="Arial" w:hAnsi="Arial"/>
          <w:sz w:val="16"/>
          <w:szCs w:val="16"/>
          <w:color w:val="auto"/>
        </w:rPr>
        <w:t>Daniel Roitman</w:t>
      </w:r>
    </w:p>
    <w:p>
      <w:pPr>
        <w:spacing w:after="0" w:line="3" w:lineRule="exact"/>
        <w:rPr>
          <w:sz w:val="20"/>
          <w:szCs w:val="20"/>
          <w:color w:val="auto"/>
        </w:rPr>
      </w:pPr>
    </w:p>
    <w:p>
      <w:pPr>
        <w:ind w:left="6067"/>
        <w:spacing w:after="0"/>
        <w:rPr>
          <w:sz w:val="20"/>
          <w:szCs w:val="20"/>
          <w:color w:val="auto"/>
        </w:rPr>
      </w:pPr>
      <w:r>
        <w:rPr>
          <w:rFonts w:ascii="Arial" w:cs="Arial" w:eastAsia="Arial" w:hAnsi="Arial"/>
          <w:sz w:val="16"/>
          <w:szCs w:val="16"/>
          <w:color w:val="auto"/>
        </w:rPr>
        <w:t>Chief Operating Officer</w:t>
      </w:r>
    </w:p>
    <w:p>
      <w:pPr>
        <w:spacing w:after="0" w:line="179" w:lineRule="exact"/>
        <w:rPr>
          <w:sz w:val="20"/>
          <w:szCs w:val="20"/>
          <w:color w:val="auto"/>
        </w:rPr>
      </w:pPr>
    </w:p>
    <w:p>
      <w:pPr>
        <w:ind w:left="5727"/>
        <w:spacing w:after="0"/>
        <w:rPr>
          <w:sz w:val="20"/>
          <w:szCs w:val="20"/>
          <w:color w:val="auto"/>
        </w:rPr>
      </w:pPr>
      <w:r>
        <w:rPr>
          <w:rFonts w:ascii="Arial" w:cs="Arial" w:eastAsia="Arial" w:hAnsi="Arial"/>
          <w:sz w:val="16"/>
          <w:szCs w:val="16"/>
          <w:color w:val="auto"/>
        </w:rPr>
        <w:t>/s/DANIEL ROITMAN**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-13335</wp:posOffset>
            </wp:positionV>
            <wp:extent cx="171069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0690" cy="7620"/>
                    </a:xfrm>
                    <a:prstGeom prst="rect">
                      <a:avLst/>
                    </a:prstGeom>
                    <a:noFill/>
                  </pic:spPr>
                </pic:pic>
              </a:graphicData>
            </a:graphic>
          </wp:anchor>
        </w:drawing>
      </w:r>
    </w:p>
    <w:p>
      <w:pPr>
        <w:ind w:left="5727"/>
        <w:spacing w:after="0"/>
        <w:rPr>
          <w:sz w:val="20"/>
          <w:szCs w:val="20"/>
          <w:color w:val="auto"/>
        </w:rPr>
      </w:pPr>
      <w:r>
        <w:rPr>
          <w:rFonts w:ascii="Arial" w:cs="Arial" w:eastAsia="Arial" w:hAnsi="Arial"/>
          <w:sz w:val="16"/>
          <w:szCs w:val="16"/>
          <w:color w:val="auto"/>
        </w:rPr>
        <w:t>Daniel Roitman, on behalf of David Einhorn</w:t>
      </w:r>
    </w:p>
    <w:p>
      <w:pPr>
        <w:spacing w:after="0" w:line="200" w:lineRule="exact"/>
        <w:rPr>
          <w:sz w:val="20"/>
          <w:szCs w:val="20"/>
          <w:color w:val="auto"/>
        </w:rPr>
      </w:pPr>
    </w:p>
    <w:p>
      <w:pPr>
        <w:spacing w:after="0" w:line="213" w:lineRule="exact"/>
        <w:rPr>
          <w:sz w:val="20"/>
          <w:szCs w:val="20"/>
          <w:color w:val="auto"/>
        </w:rPr>
      </w:pPr>
    </w:p>
    <w:p>
      <w:pPr>
        <w:jc w:val="both"/>
        <w:ind w:left="7" w:hanging="7"/>
        <w:spacing w:after="0" w:line="251" w:lineRule="auto"/>
        <w:tabs>
          <w:tab w:leader="none" w:pos="2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Power of Attorney, executed by David Einhorn authorizing Harry Brandler and Daniel Roitman to sign and file this Schedule 13D on David Einhorn’s behalf, which was filed with a Schedule 13G filed with the Securities and Exchange Commission on July 18, 2005 by the Reporting Persons with respect to the Ordinary Shares of Flamel Technologies S.A., is hereby incorporated by reference.</w:t>
      </w:r>
    </w:p>
    <w:sectPr>
      <w:pgSz w:w="11900" w:h="16838" w:orient="portrait"/>
      <w:cols w:equalWidth="0" w:num="1">
        <w:col w:w="11447"/>
      </w:cols>
      <w:pgMar w:left="233" w:top="72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bullet"/>
      <w:start w:val="1"/>
    </w:lvl>
  </w:abstractNum>
  <w:abstractNum w:abstractNumId="2">
    <w:nsid w:val="75A2A8D4"/>
    <w:multiLevelType w:val="hybridMultilevel"/>
    <w:lvl w:ilvl="0">
      <w:lvlJc w:val="left"/>
      <w:lvlText w:val="2"/>
      <w:numFmt w:val="bullet"/>
      <w:start w:val="1"/>
    </w:lvl>
    <w:lvl w:ilvl="1">
      <w:lvlJc w:val="left"/>
      <w:lvlText w:val="(%2)"/>
      <w:numFmt w:val="lowerLetter"/>
      <w:start w:val="1"/>
    </w:lvl>
  </w:abstractNum>
  <w:abstractNum w:abstractNumId="3">
    <w:nsid w:val="8EDBDAB"/>
    <w:multiLevelType w:val="hybridMultilevel"/>
    <w:lvl w:ilvl="0">
      <w:lvlJc w:val="left"/>
      <w:lvlText w:val="3"/>
      <w:numFmt w:val="bullet"/>
      <w:start w:val="1"/>
    </w:lvl>
  </w:abstractNum>
  <w:abstractNum w:abstractNumId="4">
    <w:nsid w:val="79838CB2"/>
    <w:multiLevelType w:val="hybridMultilevel"/>
    <w:lvl w:ilvl="0">
      <w:lvlJc w:val="left"/>
      <w:lvlText w:val="4"/>
      <w:numFmt w:val="bullet"/>
      <w:start w:val="1"/>
    </w:lvl>
  </w:abstractNum>
  <w:abstractNum w:abstractNumId="5">
    <w:nsid w:val="4353D0CD"/>
    <w:multiLevelType w:val="hybridMultilevel"/>
    <w:lvl w:ilvl="0">
      <w:lvlJc w:val="left"/>
      <w:lvlText w:val="5"/>
      <w:numFmt w:val="bullet"/>
      <w:start w:val="1"/>
    </w:lvl>
  </w:abstractNum>
  <w:abstractNum w:abstractNumId="6">
    <w:nsid w:val="B03E0C6"/>
    <w:multiLevelType w:val="hybridMultilevel"/>
    <w:lvl w:ilvl="0">
      <w:lvlJc w:val="left"/>
      <w:lvlText w:val="6"/>
      <w:numFmt w:val="bullet"/>
      <w:start w:val="1"/>
    </w:lvl>
  </w:abstractNum>
  <w:abstractNum w:abstractNumId="7">
    <w:nsid w:val="189A769B"/>
    <w:multiLevelType w:val="hybridMultilevel"/>
    <w:lvl w:ilvl="0">
      <w:lvlJc w:val="left"/>
      <w:lvlText w:val="%1"/>
      <w:numFmt w:val="decimal"/>
      <w:start w:val="11"/>
    </w:lvl>
  </w:abstractNum>
  <w:abstractNum w:abstractNumId="8">
    <w:nsid w:val="54E49EB4"/>
    <w:multiLevelType w:val="hybridMultilevel"/>
    <w:lvl w:ilvl="0">
      <w:lvlJc w:val="left"/>
      <w:lvlText w:val="%1"/>
      <w:numFmt w:val="decimal"/>
      <w:start w:val="13"/>
    </w:lvl>
  </w:abstractNum>
  <w:abstractNum w:abstractNumId="9">
    <w:nsid w:val="71F32454"/>
    <w:multiLevelType w:val="hybridMultilevel"/>
    <w:lvl w:ilvl="0">
      <w:lvlJc w:val="left"/>
      <w:lvlText w:val="1"/>
      <w:numFmt w:val="bullet"/>
      <w:start w:val="1"/>
    </w:lvl>
  </w:abstractNum>
  <w:abstractNum w:abstractNumId="10">
    <w:nsid w:val="2CA88611"/>
    <w:multiLevelType w:val="hybridMultilevel"/>
    <w:lvl w:ilvl="0">
      <w:lvlJc w:val="left"/>
      <w:lvlText w:val="2"/>
      <w:numFmt w:val="bullet"/>
      <w:start w:val="1"/>
    </w:lvl>
    <w:lvl w:ilvl="1">
      <w:lvlJc w:val="left"/>
      <w:lvlText w:val="(%2)"/>
      <w:numFmt w:val="lowerLetter"/>
      <w:start w:val="1"/>
    </w:lvl>
  </w:abstractNum>
  <w:abstractNum w:abstractNumId="11">
    <w:nsid w:val="836C40E"/>
    <w:multiLevelType w:val="hybridMultilevel"/>
    <w:lvl w:ilvl="0">
      <w:lvlJc w:val="left"/>
      <w:lvlText w:val="3"/>
      <w:numFmt w:val="bullet"/>
      <w:start w:val="1"/>
    </w:lvl>
  </w:abstractNum>
  <w:abstractNum w:abstractNumId="12">
    <w:nsid w:val="2901D82"/>
    <w:multiLevelType w:val="hybridMultilevel"/>
    <w:lvl w:ilvl="0">
      <w:lvlJc w:val="left"/>
      <w:lvlText w:val="4"/>
      <w:numFmt w:val="bullet"/>
      <w:start w:val="1"/>
    </w:lvl>
  </w:abstractNum>
  <w:abstractNum w:abstractNumId="13">
    <w:nsid w:val="3A95F874"/>
    <w:multiLevelType w:val="hybridMultilevel"/>
    <w:lvl w:ilvl="0">
      <w:lvlJc w:val="left"/>
      <w:lvlText w:val="5"/>
      <w:numFmt w:val="bullet"/>
      <w:start w:val="1"/>
    </w:lvl>
  </w:abstractNum>
  <w:abstractNum w:abstractNumId="14">
    <w:nsid w:val="8138641"/>
    <w:multiLevelType w:val="hybridMultilevel"/>
    <w:lvl w:ilvl="0">
      <w:lvlJc w:val="left"/>
      <w:lvlText w:val="6"/>
      <w:numFmt w:val="bullet"/>
      <w:start w:val="1"/>
    </w:lvl>
  </w:abstractNum>
  <w:abstractNum w:abstractNumId="15">
    <w:nsid w:val="1E7FF521"/>
    <w:multiLevelType w:val="hybridMultilevel"/>
    <w:lvl w:ilvl="0">
      <w:lvlJc w:val="left"/>
      <w:lvlText w:val="%1"/>
      <w:numFmt w:val="decimal"/>
      <w:start w:val="11"/>
    </w:lvl>
  </w:abstractNum>
  <w:abstractNum w:abstractNumId="16">
    <w:nsid w:val="7C3DBD3D"/>
    <w:multiLevelType w:val="hybridMultilevel"/>
    <w:lvl w:ilvl="0">
      <w:lvlJc w:val="left"/>
      <w:lvlText w:val="%1"/>
      <w:numFmt w:val="decimal"/>
      <w:start w:val="13"/>
    </w:lvl>
  </w:abstractNum>
  <w:abstractNum w:abstractNumId="17">
    <w:nsid w:val="737B8DDC"/>
    <w:multiLevelType w:val="hybridMultilevel"/>
    <w:lvl w:ilvl="0">
      <w:lvlJc w:val="left"/>
      <w:lvlText w:val="1"/>
      <w:numFmt w:val="bullet"/>
      <w:start w:val="1"/>
    </w:lvl>
  </w:abstractNum>
  <w:abstractNum w:abstractNumId="18">
    <w:nsid w:val="6CEAF087"/>
    <w:multiLevelType w:val="hybridMultilevel"/>
    <w:lvl w:ilvl="0">
      <w:lvlJc w:val="left"/>
      <w:lvlText w:val="2"/>
      <w:numFmt w:val="bullet"/>
      <w:start w:val="1"/>
    </w:lvl>
    <w:lvl w:ilvl="1">
      <w:lvlJc w:val="left"/>
      <w:lvlText w:val="(%2)"/>
      <w:numFmt w:val="lowerLetter"/>
      <w:start w:val="1"/>
    </w:lvl>
  </w:abstractNum>
  <w:abstractNum w:abstractNumId="19">
    <w:nsid w:val="22221A70"/>
    <w:multiLevelType w:val="hybridMultilevel"/>
    <w:lvl w:ilvl="0">
      <w:lvlJc w:val="left"/>
      <w:lvlText w:val="3"/>
      <w:numFmt w:val="bullet"/>
      <w:start w:val="1"/>
    </w:lvl>
  </w:abstractNum>
  <w:abstractNum w:abstractNumId="20">
    <w:nsid w:val="4516DDE9"/>
    <w:multiLevelType w:val="hybridMultilevel"/>
    <w:lvl w:ilvl="0">
      <w:lvlJc w:val="left"/>
      <w:lvlText w:val="4"/>
      <w:numFmt w:val="bullet"/>
      <w:start w:val="1"/>
    </w:lvl>
  </w:abstractNum>
  <w:abstractNum w:abstractNumId="21">
    <w:nsid w:val="3006C83E"/>
    <w:multiLevelType w:val="hybridMultilevel"/>
    <w:lvl w:ilvl="0">
      <w:lvlJc w:val="left"/>
      <w:lvlText w:val="5"/>
      <w:numFmt w:val="bullet"/>
      <w:start w:val="1"/>
    </w:lvl>
  </w:abstractNum>
  <w:abstractNum w:abstractNumId="22">
    <w:nsid w:val="614FD4A1"/>
    <w:multiLevelType w:val="hybridMultilevel"/>
    <w:lvl w:ilvl="0">
      <w:lvlJc w:val="left"/>
      <w:lvlText w:val="6"/>
      <w:numFmt w:val="bullet"/>
      <w:start w:val="1"/>
    </w:lvl>
  </w:abstractNum>
  <w:abstractNum w:abstractNumId="23">
    <w:nsid w:val="419AC241"/>
    <w:multiLevelType w:val="hybridMultilevel"/>
    <w:lvl w:ilvl="0">
      <w:lvlJc w:val="left"/>
      <w:lvlText w:val="%1"/>
      <w:numFmt w:val="decimal"/>
      <w:start w:val="11"/>
    </w:lvl>
  </w:abstractNum>
  <w:abstractNum w:abstractNumId="24">
    <w:nsid w:val="5577F8E1"/>
    <w:multiLevelType w:val="hybridMultilevel"/>
    <w:lvl w:ilvl="0">
      <w:lvlJc w:val="left"/>
      <w:lvlText w:val="%1"/>
      <w:numFmt w:val="decimal"/>
      <w:start w:val="13"/>
    </w:lvl>
  </w:abstractNum>
  <w:abstractNum w:abstractNumId="25">
    <w:nsid w:val="440BADFC"/>
    <w:multiLevelType w:val="hybridMultilevel"/>
    <w:lvl w:ilvl="0">
      <w:lvlJc w:val="left"/>
      <w:lvlText w:val="1"/>
      <w:numFmt w:val="bullet"/>
      <w:start w:val="1"/>
    </w:lvl>
  </w:abstractNum>
  <w:abstractNum w:abstractNumId="26">
    <w:nsid w:val="5072367"/>
    <w:multiLevelType w:val="hybridMultilevel"/>
    <w:lvl w:ilvl="0">
      <w:lvlJc w:val="left"/>
      <w:lvlText w:val="2"/>
      <w:numFmt w:val="bullet"/>
      <w:start w:val="1"/>
    </w:lvl>
    <w:lvl w:ilvl="1">
      <w:lvlJc w:val="left"/>
      <w:lvlText w:val="(%2)"/>
      <w:numFmt w:val="lowerLetter"/>
      <w:start w:val="1"/>
    </w:lvl>
  </w:abstractNum>
  <w:abstractNum w:abstractNumId="27">
    <w:nsid w:val="3804823E"/>
    <w:multiLevelType w:val="hybridMultilevel"/>
    <w:lvl w:ilvl="0">
      <w:lvlJc w:val="left"/>
      <w:lvlText w:val="3"/>
      <w:numFmt w:val="bullet"/>
      <w:start w:val="1"/>
    </w:lvl>
  </w:abstractNum>
  <w:abstractNum w:abstractNumId="28">
    <w:nsid w:val="77465F01"/>
    <w:multiLevelType w:val="hybridMultilevel"/>
    <w:lvl w:ilvl="0">
      <w:lvlJc w:val="left"/>
      <w:lvlText w:val="4"/>
      <w:numFmt w:val="bullet"/>
      <w:start w:val="1"/>
    </w:lvl>
  </w:abstractNum>
  <w:abstractNum w:abstractNumId="29">
    <w:nsid w:val="7724C67E"/>
    <w:multiLevelType w:val="hybridMultilevel"/>
    <w:lvl w:ilvl="0">
      <w:lvlJc w:val="left"/>
      <w:lvlText w:val="5"/>
      <w:numFmt w:val="bullet"/>
      <w:start w:val="1"/>
    </w:lvl>
  </w:abstractNum>
  <w:abstractNum w:abstractNumId="30">
    <w:nsid w:val="5C482A97"/>
    <w:multiLevelType w:val="hybridMultilevel"/>
    <w:lvl w:ilvl="0">
      <w:lvlJc w:val="left"/>
      <w:lvlText w:val="6"/>
      <w:numFmt w:val="bullet"/>
      <w:start w:val="1"/>
    </w:lvl>
  </w:abstractNum>
  <w:abstractNum w:abstractNumId="31">
    <w:nsid w:val="2463B9EA"/>
    <w:multiLevelType w:val="hybridMultilevel"/>
    <w:lvl w:ilvl="0">
      <w:lvlJc w:val="left"/>
      <w:lvlText w:val="%1"/>
      <w:numFmt w:val="decimal"/>
      <w:start w:val="11"/>
    </w:lvl>
  </w:abstractNum>
  <w:abstractNum w:abstractNumId="32">
    <w:nsid w:val="5E884ADC"/>
    <w:multiLevelType w:val="hybridMultilevel"/>
    <w:lvl w:ilvl="0">
      <w:lvlJc w:val="left"/>
      <w:lvlText w:val="%1"/>
      <w:numFmt w:val="decimal"/>
      <w:start w:val="13"/>
    </w:lvl>
  </w:abstractNum>
  <w:abstractNum w:abstractNumId="33">
    <w:nsid w:val="51EAD36B"/>
    <w:multiLevelType w:val="hybridMultilevel"/>
    <w:lvl w:ilvl="0">
      <w:lvlJc w:val="left"/>
      <w:lvlText w:val="1"/>
      <w:numFmt w:val="bullet"/>
      <w:start w:val="1"/>
    </w:lvl>
  </w:abstractNum>
  <w:abstractNum w:abstractNumId="34">
    <w:nsid w:val="2D517796"/>
    <w:multiLevelType w:val="hybridMultilevel"/>
    <w:lvl w:ilvl="0">
      <w:lvlJc w:val="left"/>
      <w:lvlText w:val="2"/>
      <w:numFmt w:val="bullet"/>
      <w:start w:val="1"/>
    </w:lvl>
    <w:lvl w:ilvl="1">
      <w:lvlJc w:val="left"/>
      <w:lvlText w:val="(%2)"/>
      <w:numFmt w:val="lowerLetter"/>
      <w:start w:val="1"/>
    </w:lvl>
  </w:abstractNum>
  <w:abstractNum w:abstractNumId="35">
    <w:nsid w:val="580BD78F"/>
    <w:multiLevelType w:val="hybridMultilevel"/>
    <w:lvl w:ilvl="0">
      <w:lvlJc w:val="left"/>
      <w:lvlText w:val="3"/>
      <w:numFmt w:val="bullet"/>
      <w:start w:val="1"/>
    </w:lvl>
  </w:abstractNum>
  <w:abstractNum w:abstractNumId="36">
    <w:nsid w:val="153EA438"/>
    <w:multiLevelType w:val="hybridMultilevel"/>
    <w:lvl w:ilvl="0">
      <w:lvlJc w:val="left"/>
      <w:lvlText w:val="4"/>
      <w:numFmt w:val="bullet"/>
      <w:start w:val="1"/>
    </w:lvl>
  </w:abstractNum>
  <w:abstractNum w:abstractNumId="37">
    <w:nsid w:val="3855585C"/>
    <w:multiLevelType w:val="hybridMultilevel"/>
    <w:lvl w:ilvl="0">
      <w:lvlJc w:val="left"/>
      <w:lvlText w:val="5"/>
      <w:numFmt w:val="bullet"/>
      <w:start w:val="1"/>
    </w:lvl>
  </w:abstractNum>
  <w:abstractNum w:abstractNumId="38">
    <w:nsid w:val="70A64E2A"/>
    <w:multiLevelType w:val="hybridMultilevel"/>
    <w:lvl w:ilvl="0">
      <w:lvlJc w:val="left"/>
      <w:lvlText w:val="6"/>
      <w:numFmt w:val="bullet"/>
      <w:start w:val="1"/>
    </w:lvl>
  </w:abstractNum>
  <w:abstractNum w:abstractNumId="39">
    <w:nsid w:val="6A2342EC"/>
    <w:multiLevelType w:val="hybridMultilevel"/>
    <w:lvl w:ilvl="0">
      <w:lvlJc w:val="left"/>
      <w:lvlText w:val="%1"/>
      <w:numFmt w:val="decimal"/>
      <w:start w:val="11"/>
    </w:lvl>
  </w:abstractNum>
  <w:abstractNum w:abstractNumId="40">
    <w:nsid w:val="2A487CB0"/>
    <w:multiLevelType w:val="hybridMultilevel"/>
    <w:lvl w:ilvl="0">
      <w:lvlJc w:val="left"/>
      <w:lvlText w:val="%1"/>
      <w:numFmt w:val="decimal"/>
      <w:start w:val="13"/>
    </w:lvl>
  </w:abstractNum>
  <w:abstractNum w:abstractNumId="41">
    <w:nsid w:val="1D4ED43B"/>
    <w:multiLevelType w:val="hybridMultilevel"/>
    <w:lvl w:ilvl="0">
      <w:lvlJc w:val="left"/>
      <w:lvlText w:val="(%1)"/>
      <w:numFmt w:val="lowerLetter"/>
      <w:start w:val="3"/>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lowerLetter"/>
      <w:start w:val="4"/>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2019-12-16T09:30:33Z</dcterms:created>
  <dcterms:modified xsi:type="dcterms:W3CDTF">2019-12-16T09:30:33Z</dcterms:modified>
</cp:coreProperties>
</file>