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61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615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6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02/21/2017</w:t>
            </w:r>
          </w:p>
        </w:tc>
        <w:tc>
          <w:tcPr>
            <w:tcW w:w="112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00"/>
              <w:spacing w:after="0"/>
              <w:rPr>
                <w:sz w:val="20"/>
                <w:szCs w:val="20"/>
                <w:color w:val="auto"/>
              </w:rPr>
            </w:pPr>
            <w:r>
              <w:rPr>
                <w:rFonts w:ascii="Arial" w:cs="Arial" w:eastAsia="Arial" w:hAnsi="Arial"/>
                <w:sz w:val="13"/>
                <w:szCs w:val="13"/>
                <w:color w:val="0000FF"/>
                <w:w w:val="97"/>
              </w:rPr>
              <w:t>46,251</w:t>
            </w:r>
            <w:r>
              <w:rPr>
                <w:rFonts w:ascii="Arial" w:cs="Arial" w:eastAsia="Arial" w:hAnsi="Arial"/>
                <w:sz w:val="22"/>
                <w:szCs w:val="22"/>
                <w:color w:val="008000"/>
                <w:w w:val="97"/>
                <w:vertAlign w:val="superscript"/>
              </w:rPr>
              <w:t>(1)</w:t>
            </w: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46,251</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60"/>
              <w:spacing w:after="0"/>
              <w:rPr>
                <w:sz w:val="20"/>
                <w:szCs w:val="20"/>
                <w:color w:val="auto"/>
              </w:rPr>
            </w:pPr>
            <w:r>
              <w:rPr>
                <w:rFonts w:ascii="Arial" w:cs="Arial" w:eastAsia="Arial" w:hAnsi="Arial"/>
                <w:sz w:val="13"/>
                <w:szCs w:val="13"/>
                <w:color w:val="0000FF"/>
              </w:rPr>
              <w:t>352,245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700" w:type="dxa"/>
            <w:vAlign w:val="bottom"/>
            <w:tcBorders>
              <w:bottom w:val="single" w:sz="8" w:color="2C2C2C"/>
            </w:tcBorders>
          </w:tcPr>
          <w:p>
            <w:pPr>
              <w:ind w:left="60"/>
              <w:spacing w:after="0" w:line="146" w:lineRule="exact"/>
              <w:rPr>
                <w:sz w:val="20"/>
                <w:szCs w:val="20"/>
                <w:color w:val="auto"/>
              </w:rPr>
            </w:pPr>
            <w:r>
              <w:rPr>
                <w:rFonts w:ascii="Arial" w:cs="Arial" w:eastAsia="Arial" w:hAnsi="Arial"/>
                <w:sz w:val="13"/>
                <w:szCs w:val="13"/>
                <w:color w:val="0000FF"/>
              </w:rPr>
              <w:t>Share</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line="146" w:lineRule="exact"/>
              <w:rPr>
                <w:sz w:val="20"/>
                <w:szCs w:val="20"/>
                <w:color w:val="auto"/>
              </w:rPr>
            </w:pPr>
            <w:r>
              <w:rPr>
                <w:rFonts w:ascii="Arial" w:cs="Arial" w:eastAsia="Arial" w:hAnsi="Arial"/>
                <w:sz w:val="13"/>
                <w:szCs w:val="13"/>
                <w:color w:val="0000FF"/>
              </w:rPr>
              <w:t>Share</w:t>
            </w:r>
          </w:p>
        </w:tc>
        <w:tc>
          <w:tcPr>
            <w:tcW w:w="5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02/21/2017</w:t>
            </w:r>
          </w:p>
        </w:tc>
        <w:tc>
          <w:tcPr>
            <w:tcW w:w="112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100"/>
              <w:spacing w:after="0"/>
              <w:rPr>
                <w:sz w:val="20"/>
                <w:szCs w:val="20"/>
                <w:color w:val="auto"/>
              </w:rPr>
            </w:pPr>
            <w:r>
              <w:rPr>
                <w:rFonts w:ascii="Arial" w:cs="Arial" w:eastAsia="Arial" w:hAnsi="Arial"/>
                <w:sz w:val="13"/>
                <w:szCs w:val="13"/>
                <w:color w:val="0000FF"/>
                <w:w w:val="97"/>
              </w:rPr>
              <w:t>15,417</w:t>
            </w:r>
            <w:r>
              <w:rPr>
                <w:rFonts w:ascii="Arial" w:cs="Arial" w:eastAsia="Arial" w:hAnsi="Arial"/>
                <w:sz w:val="22"/>
                <w:szCs w:val="22"/>
                <w:color w:val="008000"/>
                <w:w w:val="97"/>
                <w:vertAlign w:val="superscript"/>
              </w:rPr>
              <w:t>(2)</w:t>
            </w: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15,417</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60"/>
              <w:spacing w:after="0"/>
              <w:rPr>
                <w:sz w:val="20"/>
                <w:szCs w:val="20"/>
                <w:color w:val="auto"/>
              </w:rPr>
            </w:pPr>
            <w:r>
              <w:rPr>
                <w:rFonts w:ascii="Arial" w:cs="Arial" w:eastAsia="Arial" w:hAnsi="Arial"/>
                <w:sz w:val="13"/>
                <w:szCs w:val="13"/>
                <w:color w:val="0000FF"/>
              </w:rPr>
              <w:t>367,662</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Corporation common share. The deferred shares vest in equal installments on each of the first three anniversaries of February 21, 2017.</w:t>
      </w:r>
    </w:p>
    <w:p>
      <w:pPr>
        <w:spacing w:after="0" w:line="61" w:lineRule="exact"/>
        <w:rPr>
          <w:rFonts w:ascii="Arial" w:cs="Arial" w:eastAsia="Arial" w:hAnsi="Arial"/>
          <w:sz w:val="12"/>
          <w:szCs w:val="12"/>
          <w:color w:val="008000"/>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21, 2017. Each phantom share is the economic equivalent of one Civeo Corporation common share and is payable in cash.</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ind w:left="6860"/>
        <w:spacing w:after="0" w:line="185"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397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250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095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2019-12-04T02:26:52Z</dcterms:created>
  <dcterms:modified xsi:type="dcterms:W3CDTF">2019-12-04T02:26:52Z</dcterms:modified>
</cp:coreProperties>
</file>