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Szalkowski Charles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20" w:type="dxa"/>
            <w:vAlign w:val="bottom"/>
            <w:tcBorders>
              <w:top w:val="single" w:sz="8" w:color="0000EE"/>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05/30/2014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CLAY STREET, SUITE 4980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Charles Szalkowski,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83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05/30/2014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24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OWER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TTORNEY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XECUTING</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ORMS</w:t>
      </w:r>
      <w:r>
        <w:rPr>
          <w:rFonts w:ascii="Arial" w:cs="Arial" w:eastAsia="Arial" w:hAnsi="Arial"/>
          <w:sz w:val="18"/>
          <w:szCs w:val="18"/>
          <w:b w:val="1"/>
          <w:bCs w:val="1"/>
          <w:color w:val="auto"/>
        </w:rPr>
        <w:t xml:space="preserve"> 3, 4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5, F</w:t>
      </w:r>
      <w:r>
        <w:rPr>
          <w:rFonts w:ascii="Arial" w:cs="Arial" w:eastAsia="Arial" w:hAnsi="Arial"/>
          <w:sz w:val="12"/>
          <w:szCs w:val="12"/>
          <w:b w:val="1"/>
          <w:bCs w:val="1"/>
          <w:color w:val="auto"/>
        </w:rPr>
        <w:t>ORM</w:t>
      </w:r>
      <w:r>
        <w:rPr>
          <w:rFonts w:ascii="Arial" w:cs="Arial" w:eastAsia="Arial" w:hAnsi="Arial"/>
          <w:sz w:val="18"/>
          <w:szCs w:val="18"/>
          <w:b w:val="1"/>
          <w:bCs w:val="1"/>
          <w:color w:val="auto"/>
        </w:rPr>
        <w:t xml:space="preserve"> 144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CHEDULES</w:t>
      </w:r>
      <w:r>
        <w:rPr>
          <w:rFonts w:ascii="Arial" w:cs="Arial" w:eastAsia="Arial" w:hAnsi="Arial"/>
          <w:sz w:val="18"/>
          <w:szCs w:val="18"/>
          <w:b w:val="1"/>
          <w:bCs w:val="1"/>
          <w:color w:val="auto"/>
        </w:rPr>
        <w:t xml:space="preserve"> 13D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13G</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Bradley Dodson, Frank Steininger and Carolyn Stone, signing singly, with full power of substitution, as the undersigned’s true and lawful attorney-in-fact to:</w:t>
      </w:r>
    </w:p>
    <w:p>
      <w:pPr>
        <w:spacing w:after="0" w:line="170"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(a) Forms 3, 4 and 5 (including amendments thereto) in accordance with Section 16(a) of the Securities Exchange Act of 1934, as amended (the “Exchange Act”) and the rules thereunder, (b) Form 144 and (c) Schedules 13D and 13G (including amendments thereto) in accordance with Sections 13(d) and 13(g) of the Exchange Act and the rules thereunder;</w:t>
      </w:r>
    </w:p>
    <w:p>
      <w:pPr>
        <w:spacing w:after="0" w:line="181" w:lineRule="exact"/>
        <w:rPr>
          <w:rFonts w:ascii="Arial" w:cs="Arial" w:eastAsia="Arial" w:hAnsi="Arial"/>
          <w:sz w:val="18"/>
          <w:szCs w:val="18"/>
          <w:color w:val="auto"/>
        </w:rPr>
      </w:pPr>
    </w:p>
    <w:p>
      <w:pPr>
        <w:jc w:val="both"/>
        <w:ind w:left="660" w:right="20" w:hanging="652"/>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that may be necessary or desirable to complete and execute any such Form 3, 4 or 5, Form 144 or Schedule 13D or 13G (including amendments thereto) and timely file such Forms or Schedules with the Securities and Exchange Commission and any stock exchange or quotation system, self-regulatory association or any other authority; and</w:t>
      </w:r>
    </w:p>
    <w:p>
      <w:pPr>
        <w:spacing w:after="0" w:line="165"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each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grants to each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Civeo Corporation assuming) any of the undersigned’s responsibilities to comply with Section 16 of the Exchange Act.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agrees that each such attorney-in-fact may rely entirely on information furnished orally or in writing by the undersigned to the attorney-in-fact. The undersigned also agrees to indemnify and hold harmless Civeo Corporation and each such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such attorney-in fact for purposes of executing, acknowledging, delivering or filing Form 3, 4 or 5, Form 144 or Schedule 13D or 13G (including amendments thereto) and agrees to reimburse Civeo Corporation and such attorney-in-fact on demand for any legal or other expenses reasonably incurred in connection with investigating or defending against any such loss, claim, damage, liability or action.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Form 144 and Schedules 13D and 13G (including amendments thereto) with respect to the undersigned’s holdings of and transactions in securities issued by Civeo Corporation, unless earlier revoked by the undersigned in a signed writing delivered to the foregoing attorneys in fact. This Power of Attorney does not revoke any other power of attorney that the undersigned has previously granted.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1470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7002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1476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47637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Type or Print Name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05/20/2014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1235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3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609119" TargetMode="External"/><Relationship Id="rId12"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2019-12-18T15:28:43Z</dcterms:created>
  <dcterms:modified xsi:type="dcterms:W3CDTF">2019-12-18T15:28:43Z</dcterms:modified>
</cp:coreProperties>
</file>