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88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Dodson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2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60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02/23/2026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17"/>
                <w:szCs w:val="17"/>
                <w:color w:val="0000FF"/>
                <w:w w:val="98"/>
              </w:rPr>
              <w:t>13,487</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3"/>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263,419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02/23/2026</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7"/>
                <w:szCs w:val="17"/>
                <w:color w:val="0000FF"/>
                <w:w w:val="98"/>
              </w:rPr>
              <w:t>13,487</w:t>
            </w:r>
          </w:p>
        </w:tc>
        <w:tc>
          <w:tcPr>
            <w:tcW w:w="8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249,932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02/23/2026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1"/>
              </w:rPr>
              <w:t>19,016</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268,948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02/23/2026</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7"/>
                <w:szCs w:val="17"/>
                <w:color w:val="0000FF"/>
                <w:w w:val="99"/>
              </w:rPr>
              <w:t>7,482</w:t>
            </w:r>
          </w:p>
        </w:tc>
        <w:tc>
          <w:tcPr>
            <w:tcW w:w="8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261,466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02/23/2026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13,487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13,487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64,172</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13,487 shares vested on February 23, 2026.</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47% on the third anniversary of February 23, 2023.</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Bradley J. Dodson,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02/25/2026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2026-02-25T15:47:33Z</dcterms:created>
  <dcterms:modified xsi:type="dcterms:W3CDTF">2026-02-25T15:47:33Z</dcterms:modified>
</cp:coreProperties>
</file>