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22, 2018</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CIVEO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5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48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1-36246</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98-1253716</w:t>
            </w:r>
          </w:p>
        </w:tc>
      </w:tr>
      <w:tr>
        <w:trPr>
          <w:trHeight w:val="216"/>
        </w:trPr>
        <w:tc>
          <w:tcPr>
            <w:tcW w:w="25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 File Number)</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5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Allen Center,</w:t>
            </w:r>
          </w:p>
        </w:tc>
        <w:tc>
          <w:tcPr>
            <w:tcW w:w="1940" w:type="dxa"/>
            <w:vAlign w:val="bottom"/>
          </w:tcPr>
          <w:p>
            <w:pPr>
              <w:spacing w:after="0"/>
              <w:rPr>
                <w:sz w:val="24"/>
                <w:szCs w:val="24"/>
                <w:color w:val="auto"/>
              </w:rPr>
            </w:pPr>
          </w:p>
        </w:tc>
      </w:tr>
      <w:tr>
        <w:trPr>
          <w:trHeight w:val="220"/>
        </w:trPr>
        <w:tc>
          <w:tcPr>
            <w:tcW w:w="2560" w:type="dxa"/>
            <w:vAlign w:val="bottom"/>
          </w:tcPr>
          <w:p>
            <w:pPr>
              <w:spacing w:after="0"/>
              <w:rPr>
                <w:sz w:val="19"/>
                <w:szCs w:val="19"/>
                <w:color w:val="auto"/>
              </w:rPr>
            </w:pPr>
          </w:p>
        </w:tc>
        <w:tc>
          <w:tcPr>
            <w:tcW w:w="4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333 Clay Street, Suite 4980, Houston, Texas 77002</w:t>
            </w:r>
          </w:p>
        </w:tc>
        <w:tc>
          <w:tcPr>
            <w:tcW w:w="1940" w:type="dxa"/>
            <w:vAlign w:val="bottom"/>
          </w:tcPr>
          <w:p>
            <w:pPr>
              <w:spacing w:after="0"/>
              <w:rPr>
                <w:sz w:val="19"/>
                <w:szCs w:val="19"/>
                <w:color w:val="auto"/>
              </w:rPr>
            </w:pPr>
          </w:p>
        </w:tc>
      </w:tr>
      <w:tr>
        <w:trPr>
          <w:trHeight w:val="234"/>
        </w:trPr>
        <w:tc>
          <w:tcPr>
            <w:tcW w:w="2560" w:type="dxa"/>
            <w:vAlign w:val="bottom"/>
          </w:tcPr>
          <w:p>
            <w:pPr>
              <w:spacing w:after="0"/>
              <w:rPr>
                <w:sz w:val="20"/>
                <w:szCs w:val="20"/>
                <w:color w:val="auto"/>
              </w:rPr>
            </w:pPr>
          </w:p>
        </w:tc>
        <w:tc>
          <w:tcPr>
            <w:tcW w:w="4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510-2400</w:t>
      </w:r>
    </w:p>
    <w:p>
      <w:pPr>
        <w:spacing w:after="0" w:line="22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260" w:right="1720"/>
        <w:spacing w:after="0" w:line="48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left="260"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 w:name="page2"/>
    <w:bookmarkEnd w:id="1"/>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26, 2017, Civeo Corporation (“Civeo”) entered into a share purchase agreement (as amended, the “Share Purchase Agreement”) by and among Civeo, Noralta Lodge Ltd. (“Noralta”), Torgerson Family Trust, 2073357 Alberta Ltd., 2073358 Alberta Ltd., 1818939 Alberta Ltd., 2040618 Alberta Ltd., 2040624 Alberta Ltd., 989677 Alberta Ltd. and Lance Torgerson. Pursuant to the Share Purchase Agreement, Civeo will acquire, directly or indirectly, all of the issued and outstanding shares of Noralta (the “Acquisition”), upon the satisfaction or waiver of the conditions set forth therein.</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Acquisition, on January 26, 2018, a putative class action captioned </w:t>
      </w:r>
      <w:r>
        <w:rPr>
          <w:rFonts w:ascii="Times New Roman" w:cs="Times New Roman" w:eastAsia="Times New Roman" w:hAnsi="Times New Roman"/>
          <w:sz w:val="18"/>
          <w:szCs w:val="18"/>
          <w:i w:val="1"/>
          <w:iCs w:val="1"/>
          <w:color w:val="auto"/>
        </w:rPr>
        <w:t>Philip Suhr v. Civeo Corporation, et al.</w:t>
      </w:r>
      <w:r>
        <w:rPr>
          <w:rFonts w:ascii="Times New Roman" w:cs="Times New Roman" w:eastAsia="Times New Roman" w:hAnsi="Times New Roman"/>
          <w:sz w:val="18"/>
          <w:szCs w:val="18"/>
          <w:color w:val="auto"/>
        </w:rPr>
        <w:t xml:space="preserve"> was filed in the U.S. District Court for the Southern District of Texas against Civeo and members of its board of directors (the “Litigation”). The complaint alleges that Civeo filed a materially incomplete and misleading proxy statement in connection with the Acquisition (the “Proxy Statement”), in violation of Sections 14(a) and 20(a) of the Securities Exchange Act of 1934 and Rule 14a-9 of the Securities and Exchange Commission. The complaint seeks injunctive relief, including to enjoin the shareholder vote on the Acquisition as well as the Acquisition itself, damages and an award of attorneys' fees, in addition to other relief. On February 5, 2018, the plaintiff filed a motion for a preliminary injunction (the “Preliminary Injunction Motion”) to prevent the shareholder vote scheduled for March 28, 2018 from taking place. The defendants filed an opposition to the Preliminary Injunction Motion on February 26, 2018. The court has set a hearing on the Preliminary Injunction Motion for March 27, 2018.</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Civeo believes that the claims asserted in the Litigation and the Preliminary Injunction Motion are without merit and no supplemental disclosure is required under applicable law. However, in order to moot plaintiffs’ unmeritorious disclosure claims, to avoid the risk of the Litigation delaying or adversely affecting the Acquisition and to minimize the costs, risks and uncertainties inherent in litigation, without admitting any liability or wrongdoing, Civeo has determined to voluntarily supplement the Proxy Statement as described in this Current Report on Form 8-K. Nothing in this Current Report on Form 8-K shall be deemed an admission of the legal necessity or materiality under applicable laws of any of the disclosures set forth herein. To the contrary, Civeo specifically denies all allegations in the Litigation and the Preliminary Injunction Motion that any additional disclosure was or is required, and believes that the supplemental disclosures contained herein are immaterial.</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supplemental disclosures will not affect the consideration to be paid in connection with the Acquisition or the timing of the special meeting of Civeo shareholders to be held at the Doubletree Houston at 400 Dallas Street, Houston, Texas 77002, on March 28, 2018 at 9:00 a.m., local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Supplemental Disclosure to Proxy Statement in Connection with the Litigation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disclosure in this Current Report on Form 8-K supplements the disclosures contained in the Proxy Statement and should be read in conjunction with the disclosures contained in the Proxy Statement, which in turn should be read in its entirety. The below updated disclosure provides the EBITDA multiples for each of the selected precedent transactions used by Lazard, which supplements the disclosure already included in the Proxy Statement that “[t]he overall low to high estimated EBITDA multiples observed for the selected transactions were 3.4x to 5.6x.”</w:t>
      </w:r>
    </w:p>
    <w:p>
      <w:pPr>
        <w:spacing w:after="0" w:line="176"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The disclosure in the section entitled “The Acquisition” under the heading “Opinion of Civeo’s Financial Advisor”, beginning on page 37 of the Proxy Statement, is hereby amended by adding the column “EV/LTM EBITDA” to the table at the top of page 42 of the Proxy Statement as indicated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0" w:type="dxa"/>
            <w:vAlign w:val="bottom"/>
          </w:tcPr>
          <w:p>
            <w:pPr>
              <w:spacing w:after="0"/>
              <w:rPr>
                <w:sz w:val="20"/>
                <w:szCs w:val="20"/>
                <w:color w:val="auto"/>
              </w:rPr>
            </w:pPr>
          </w:p>
        </w:tc>
        <w:tc>
          <w:tcPr>
            <w:tcW w:w="28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240" w:type="dxa"/>
            <w:vAlign w:val="bottom"/>
          </w:tcPr>
          <w:p>
            <w:pPr>
              <w:spacing w:after="0"/>
              <w:rPr>
                <w:sz w:val="20"/>
                <w:szCs w:val="20"/>
                <w:color w:val="auto"/>
              </w:rPr>
            </w:pPr>
          </w:p>
        </w:tc>
        <w:tc>
          <w:tcPr>
            <w:tcW w:w="2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EV/LTM EBITDA</w:t>
            </w:r>
          </w:p>
        </w:tc>
      </w:tr>
      <w:tr>
        <w:trPr>
          <w:trHeight w:val="191"/>
        </w:trPr>
        <w:tc>
          <w:tcPr>
            <w:tcW w:w="2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March 2017</w:t>
            </w:r>
          </w:p>
        </w:tc>
        <w:tc>
          <w:tcPr>
            <w:tcW w:w="24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Black Diamond Group Ltd.</w:t>
            </w:r>
          </w:p>
        </w:tc>
        <w:tc>
          <w:tcPr>
            <w:tcW w:w="240" w:type="dxa"/>
            <w:vAlign w:val="bottom"/>
          </w:tcPr>
          <w:p>
            <w:pPr>
              <w:spacing w:after="0"/>
              <w:rPr>
                <w:sz w:val="16"/>
                <w:szCs w:val="16"/>
                <w:color w:val="auto"/>
              </w:rPr>
            </w:pPr>
          </w:p>
        </w:tc>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Britco LP</w:t>
            </w:r>
          </w:p>
        </w:tc>
        <w:tc>
          <w:tcPr>
            <w:tcW w:w="220" w:type="dxa"/>
            <w:vAlign w:val="bottom"/>
          </w:tcPr>
          <w:p>
            <w:pPr>
              <w:spacing w:after="0"/>
              <w:rPr>
                <w:sz w:val="16"/>
                <w:szCs w:val="16"/>
                <w:color w:val="auto"/>
              </w:rPr>
            </w:pPr>
          </w:p>
        </w:tc>
        <w:tc>
          <w:tcPr>
            <w:tcW w:w="2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4.7x</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July 2016</w:t>
            </w: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Horizon North Logistics Inc.</w:t>
            </w:r>
          </w:p>
        </w:tc>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Empire Camp Equipment Ltd.</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3.4x</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November 2011</w:t>
            </w: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Hammond, Kennedy, Whitney &amp;</w:t>
            </w:r>
          </w:p>
        </w:tc>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Royal Camp Services Ltd.</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5.6x</w:t>
            </w:r>
          </w:p>
        </w:tc>
      </w:tr>
      <w:tr>
        <w:trPr>
          <w:trHeight w:val="216"/>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Company, Inc.</w:t>
            </w: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June 2011</w:t>
            </w: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Clean Harbors, Inc.</w:t>
            </w:r>
          </w:p>
        </w:tc>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Peak Energy Services Ltd.</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5.5x</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December 2010</w:t>
            </w: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Oil States International, Inc.</w:t>
            </w:r>
          </w:p>
        </w:tc>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Mountain West Oilfield Service and</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4.7x</w:t>
            </w:r>
          </w:p>
        </w:tc>
      </w:tr>
      <w:tr>
        <w:trPr>
          <w:trHeight w:val="234"/>
        </w:trPr>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Supplies, Inc.</w:t>
            </w: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574"/>
        </w:trPr>
        <w:tc>
          <w:tcPr>
            <w:tcW w:w="2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Frank C. Steininger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22, 2018</w:t>
      </w:r>
    </w:p>
    <w:sectPr>
      <w:pgSz w:w="11900" w:h="16838" w:orient="portrait"/>
      <w:cols w:equalWidth="0" w:num="1">
        <w:col w:w="10940"/>
      </w:cols>
      <w:pgMar w:left="240" w:top="57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2019-12-08T09:00:20Z</dcterms:created>
  <dcterms:modified xsi:type="dcterms:W3CDTF">2019-12-08T09:00:20Z</dcterms:modified>
</cp:coreProperties>
</file>