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0" w:right="2340"/>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32"/>
          <w:szCs w:val="32"/>
          <w:color w:val="auto"/>
        </w:rPr>
        <w:t>SCHEDULE 13D</w:t>
      </w:r>
    </w:p>
    <w:p>
      <w:pPr>
        <w:spacing w:after="0" w:line="24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295"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Civeo Corporation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406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Common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356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17878Y207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402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Ali John Mirshekari</w:t>
      </w:r>
    </w:p>
    <w:p>
      <w:pPr>
        <w:spacing w:after="0" w:line="8"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24 Shipyard Drive, Suite 102</w:t>
      </w:r>
    </w:p>
    <w:p>
      <w:pPr>
        <w:jc w:val="center"/>
        <w:ind w:right="1600"/>
        <w:spacing w:after="0" w:line="230" w:lineRule="auto"/>
        <w:rPr>
          <w:sz w:val="20"/>
          <w:szCs w:val="20"/>
          <w:color w:val="auto"/>
        </w:rPr>
      </w:pPr>
      <w:r>
        <w:rPr>
          <w:rFonts w:ascii="Times New Roman" w:cs="Times New Roman" w:eastAsia="Times New Roman" w:hAnsi="Times New Roman"/>
          <w:sz w:val="22"/>
          <w:szCs w:val="22"/>
          <w:b w:val="1"/>
          <w:bCs w:val="1"/>
          <w:color w:val="0000FF"/>
        </w:rPr>
        <w:t>Hingham, MA, 02043</w:t>
      </w:r>
    </w:p>
    <w:p>
      <w:pPr>
        <w:spacing w:after="0" w:line="1"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(617) 958-4185</w:t>
      </w:r>
    </w:p>
    <w:p>
      <w:pPr>
        <w:spacing w:after="0" w:line="200" w:lineRule="exact"/>
        <w:rPr>
          <w:sz w:val="24"/>
          <w:szCs w:val="24"/>
          <w:color w:val="auto"/>
        </w:rPr>
      </w:pPr>
    </w:p>
    <w:p>
      <w:pPr>
        <w:spacing w:after="0" w:line="248"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David J. Kaufman</w:t>
      </w:r>
    </w:p>
    <w:p>
      <w:pPr>
        <w:spacing w:after="0" w:line="8"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Thompson Coburn, 55 East Monroe Ct., Suite 3700</w:t>
      </w:r>
    </w:p>
    <w:p>
      <w:pPr>
        <w:jc w:val="center"/>
        <w:ind w:right="1600"/>
        <w:spacing w:after="0" w:line="230" w:lineRule="auto"/>
        <w:rPr>
          <w:sz w:val="20"/>
          <w:szCs w:val="20"/>
          <w:color w:val="auto"/>
        </w:rPr>
      </w:pPr>
      <w:r>
        <w:rPr>
          <w:rFonts w:ascii="Times New Roman" w:cs="Times New Roman" w:eastAsia="Times New Roman" w:hAnsi="Times New Roman"/>
          <w:sz w:val="22"/>
          <w:szCs w:val="22"/>
          <w:b w:val="1"/>
          <w:bCs w:val="1"/>
          <w:color w:val="0000FF"/>
        </w:rPr>
        <w:t>Chicago, IL, 60610</w:t>
      </w:r>
    </w:p>
    <w:p>
      <w:pPr>
        <w:spacing w:after="0" w:line="1"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(312) 580-2342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51435</wp:posOffset>
            </wp:positionV>
            <wp:extent cx="60858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185"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1"/>
          <w:szCs w:val="21"/>
          <w:b w:val="1"/>
          <w:bCs w:val="1"/>
          <w:color w:val="auto"/>
        </w:rPr>
        <w:t>(Name, Address and Telephone Number of Person Authorized to Receive Notices and Communications)</w:t>
      </w:r>
    </w:p>
    <w:p>
      <w:pPr>
        <w:spacing w:after="0" w:line="56"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01/31/2025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220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21" w:lineRule="exact"/>
        <w:rPr>
          <w:sz w:val="24"/>
          <w:szCs w:val="24"/>
          <w:color w:val="auto"/>
        </w:rPr>
      </w:pPr>
    </w:p>
    <w:p>
      <w:pPr>
        <w:jc w:val="both"/>
        <w:spacing w:after="0" w:line="288" w:lineRule="auto"/>
        <w:rPr>
          <w:sz w:val="20"/>
          <w:szCs w:val="20"/>
          <w:color w:val="auto"/>
        </w:rPr>
      </w:pPr>
      <w:r>
        <w:rPr>
          <w:rFonts w:ascii="Times New Roman" w:cs="Times New Roman" w:eastAsia="Times New Roman" w:hAnsi="Times New Roman"/>
          <w:sz w:val="21"/>
          <w:szCs w:val="21"/>
          <w:color w:val="auto"/>
        </w:rPr>
        <w:t xml:space="preserve">If the filing person has previously filed a statement on Schedule 13G to report the acquisition that is the subject of this Schedule 13D, and is filing this schedule because of §§ 240.13d-1(e), 240.13d-1(f) or 240.13d-1(g), check the following box. </w:t>
      </w:r>
      <w:r>
        <w:rPr>
          <w:sz w:val="1"/>
          <w:szCs w:val="1"/>
          <w:color w:val="auto"/>
        </w:rPr>
        <w:drawing>
          <wp:inline distT="0" distB="0" distL="0" distR="0">
            <wp:extent cx="128905" cy="128905"/>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156" w:lineRule="exact"/>
        <w:rPr>
          <w:sz w:val="24"/>
          <w:szCs w:val="24"/>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46355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132080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40" w:lineRule="exact"/>
        <w:rPr>
          <w:sz w:val="24"/>
          <w:szCs w:val="24"/>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17878Y207</w:t>
      </w:r>
    </w:p>
    <w:p>
      <w:pPr>
        <w:sectPr>
          <w:pgSz w:w="11900" w:h="16838" w:orient="portrait"/>
          <w:cols w:equalWidth="0" w:num="1">
            <w:col w:w="11240"/>
          </w:cols>
          <w:pgMar w:left="320" w:top="866" w:right="339" w:bottom="0" w:gutter="0" w:footer="0" w:header="0"/>
        </w:sectPr>
      </w:pPr>
    </w:p>
    <w:p>
      <w:pPr>
        <w:spacing w:after="0" w:line="200" w:lineRule="exact"/>
        <w:rPr>
          <w:sz w:val="24"/>
          <w:szCs w:val="24"/>
          <w:color w:val="auto"/>
        </w:rPr>
      </w:pPr>
    </w:p>
    <w:p>
      <w:pPr>
        <w:spacing w:after="0" w:line="361" w:lineRule="exact"/>
        <w:rPr>
          <w:sz w:val="24"/>
          <w:szCs w:val="24"/>
          <w:color w:val="auto"/>
        </w:rPr>
      </w:pPr>
    </w:p>
    <w:p>
      <w:pPr>
        <w:ind w:left="1160" w:hanging="1112"/>
        <w:spacing w:after="0"/>
        <w:tabs>
          <w:tab w:leader="none" w:pos="1160" w:val="left"/>
        </w:tabs>
        <w:numPr>
          <w:ilvl w:val="0"/>
          <w:numId w:val="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Name of reporting person</w:t>
      </w:r>
    </w:p>
    <w:p>
      <w:pPr>
        <w:sectPr>
          <w:pgSz w:w="11900" w:h="16838" w:orient="portrait"/>
          <w:cols w:equalWidth="0" w:num="1">
            <w:col w:w="11240"/>
          </w:cols>
          <w:pgMar w:left="320" w:top="866" w:right="339" w:bottom="0" w:gutter="0" w:footer="0" w:header="0"/>
          <w:type w:val="continuous"/>
        </w:sectPr>
      </w:pPr>
    </w:p>
    <w:bookmarkStart w:id="1" w:name="page2"/>
    <w:bookmarkEnd w:id="1"/>
    <w:p>
      <w:pPr>
        <w:spacing w:after="0" w:line="22"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M Partners Fund LP</w:t>
      </w:r>
    </w:p>
    <w:p>
      <w:pPr>
        <w:spacing w:after="0" w:line="45"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60" w:orient="portrait"/>
          <w:cols w:equalWidth="0" w:num="1">
            <w:col w:w="10099"/>
          </w:cols>
          <w:pgMar w:left="360" w:top="111" w:right="1440" w:bottom="0" w:gutter="0" w:footer="0" w:header="0"/>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165100</wp:posOffset>
            </wp:positionV>
            <wp:extent cx="128905" cy="1289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1,059,848.00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1,059,848.00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1,059,848.00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7.70 %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PN</w:t>
      </w:r>
    </w:p>
    <w:p>
      <w:pPr>
        <w:spacing w:after="0" w:line="200" w:lineRule="exact"/>
        <w:rPr>
          <w:sz w:val="20"/>
          <w:szCs w:val="20"/>
          <w:color w:val="auto"/>
        </w:rPr>
      </w:pPr>
    </w:p>
    <w:p>
      <w:pPr>
        <w:sectPr>
          <w:pgSz w:w="11900" w:h="16860" w:orient="portrait"/>
          <w:cols w:equalWidth="0" w:num="2">
            <w:col w:w="1060" w:space="60"/>
            <w:col w:w="8979"/>
          </w:cols>
          <w:pgMar w:left="360" w:top="111" w:right="144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17878Y207</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M Partners Fund (GP) LLC</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20" w:hanging="1112"/>
        <w:spacing w:after="0"/>
        <w:tabs>
          <w:tab w:leader="none" w:pos="1120" w:val="left"/>
        </w:tabs>
        <w:numPr>
          <w:ilvl w:val="0"/>
          <w:numId w:val="2"/>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20" w:hanging="1112"/>
        <w:spacing w:after="0"/>
        <w:tabs>
          <w:tab w:leader="none" w:pos="11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AF</w:t>
      </w:r>
    </w:p>
    <w:p>
      <w:pPr>
        <w:spacing w:after="0" w:line="19"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if disclosure of legal proceedings is required pursuant to Items 2(d) or 2(e)</w:t>
      </w:r>
    </w:p>
    <w:p>
      <w:pPr>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9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20" w:hanging="1112"/>
        <w:spacing w:after="0"/>
        <w:tabs>
          <w:tab w:leader="none" w:pos="11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Citizenship or place of organization</w:t>
      </w:r>
    </w:p>
    <w:p>
      <w:pPr>
        <w:sectPr>
          <w:pgSz w:w="11900" w:h="16860" w:orient="portrait"/>
          <w:cols w:equalWidth="0" w:num="1">
            <w:col w:w="10099"/>
          </w:cols>
          <w:pgMar w:left="360" w:top="111" w:right="1440" w:bottom="0" w:gutter="0" w:footer="0" w:header="0"/>
          <w:type w:val="continuous"/>
        </w:sectPr>
      </w:pPr>
    </w:p>
    <w:bookmarkStart w:id="2" w:name="page3"/>
    <w:bookmarkEnd w:id="2"/>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1,059,848.00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1,059,848.00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1,059,848.00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7.70 %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200" w:lineRule="exact"/>
        <w:rPr>
          <w:sz w:val="20"/>
          <w:szCs w:val="20"/>
          <w:color w:val="auto"/>
        </w:rPr>
      </w:pPr>
    </w:p>
    <w:p>
      <w:pPr>
        <w:sectPr>
          <w:pgSz w:w="11900" w:h="16838" w:orient="portrait"/>
          <w:cols w:equalWidth="0" w:num="2">
            <w:col w:w="1060" w:space="60"/>
            <w:col w:w="8979"/>
          </w:cols>
          <w:pgMar w:left="360" w:top="355"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17878Y207</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Ali John Mirshekari</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20" w:hanging="1112"/>
        <w:spacing w:after="0"/>
        <w:tabs>
          <w:tab w:leader="none" w:pos="1120" w:val="left"/>
        </w:tabs>
        <w:numPr>
          <w:ilvl w:val="0"/>
          <w:numId w:val="5"/>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20" w:hanging="1112"/>
        <w:spacing w:after="0"/>
        <w:tabs>
          <w:tab w:leader="none" w:pos="11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AF</w:t>
      </w:r>
    </w:p>
    <w:p>
      <w:pPr>
        <w:spacing w:after="0" w:line="19"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if disclosure of legal proceedings is required pursuant to Items 2(d) or 2(e)</w:t>
      </w:r>
    </w:p>
    <w:p>
      <w:pPr>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9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ind w:left="1120"/>
        <w:spacing w:after="0"/>
        <w:rPr>
          <w:sz w:val="20"/>
          <w:szCs w:val="20"/>
          <w:color w:val="auto"/>
        </w:rPr>
      </w:pPr>
      <w:r>
        <w:rPr>
          <w:rFonts w:ascii="Times New Roman" w:cs="Times New Roman" w:eastAsia="Times New Roman" w:hAnsi="Times New Roman"/>
          <w:sz w:val="22"/>
          <w:szCs w:val="22"/>
          <w:color w:val="auto"/>
        </w:rPr>
        <w:t>UNITED STATES</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Number of</w:t>
            </w:r>
          </w:p>
        </w:tc>
        <w:tc>
          <w:tcPr>
            <w:tcW w:w="1940" w:type="dxa"/>
            <w:vAlign w:val="bottom"/>
          </w:tcPr>
          <w:p>
            <w:pPr>
              <w:ind w:left="320"/>
              <w:spacing w:after="0"/>
              <w:rPr>
                <w:sz w:val="20"/>
                <w:szCs w:val="20"/>
                <w:color w:val="auto"/>
              </w:rPr>
            </w:pPr>
            <w:r>
              <w:rPr>
                <w:rFonts w:ascii="Times New Roman" w:cs="Times New Roman" w:eastAsia="Times New Roman" w:hAnsi="Times New Roman"/>
                <w:sz w:val="22"/>
                <w:szCs w:val="22"/>
                <w:color w:val="auto"/>
                <w:w w:val="95"/>
              </w:rPr>
              <w:t>Sole Voting Power</w:t>
            </w: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1940" w:type="dxa"/>
            <w:vAlign w:val="bottom"/>
          </w:tcPr>
          <w:p>
            <w:pPr>
              <w:jc w:val="right"/>
              <w:ind w:right="1672"/>
              <w:spacing w:after="0" w:line="243" w:lineRule="exact"/>
              <w:rPr>
                <w:sz w:val="20"/>
                <w:szCs w:val="20"/>
                <w:color w:val="auto"/>
              </w:rPr>
            </w:pPr>
            <w:r>
              <w:rPr>
                <w:rFonts w:ascii="Times New Roman" w:cs="Times New Roman" w:eastAsia="Times New Roman" w:hAnsi="Times New Roman"/>
                <w:sz w:val="22"/>
                <w:szCs w:val="22"/>
                <w:color w:val="auto"/>
              </w:rPr>
              <w:t>7</w:t>
            </w:r>
          </w:p>
        </w:tc>
      </w:tr>
      <w:tr>
        <w:trPr>
          <w:trHeight w:val="253"/>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Beneficially</w:t>
            </w:r>
          </w:p>
        </w:tc>
        <w:tc>
          <w:tcPr>
            <w:tcW w:w="194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0.00</w:t>
            </w: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1040" w:type="dxa"/>
            <w:vAlign w:val="bottom"/>
          </w:tcPr>
          <w:p>
            <w:pPr>
              <w:spacing w:after="0" w:line="219" w:lineRule="exact"/>
              <w:rPr>
                <w:sz w:val="20"/>
                <w:szCs w:val="20"/>
                <w:color w:val="auto"/>
              </w:rPr>
            </w:pPr>
            <w:r>
              <w:rPr>
                <w:rFonts w:ascii="Times New Roman" w:cs="Times New Roman" w:eastAsia="Times New Roman" w:hAnsi="Times New Roman"/>
                <w:sz w:val="22"/>
                <w:szCs w:val="22"/>
                <w:color w:val="auto"/>
              </w:rPr>
              <w:t>Owned by</w:t>
            </w:r>
          </w:p>
        </w:tc>
        <w:tc>
          <w:tcPr>
            <w:tcW w:w="2640" w:type="dxa"/>
            <w:vAlign w:val="bottom"/>
            <w:vMerge w:val="restart"/>
          </w:tcPr>
          <w:p>
            <w:pPr>
              <w:ind w:left="40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94"/>
        </w:trPr>
        <w:tc>
          <w:tcPr>
            <w:tcW w:w="104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26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48"/>
        </w:trPr>
        <w:tc>
          <w:tcPr>
            <w:tcW w:w="1040" w:type="dxa"/>
            <w:vAlign w:val="bottom"/>
            <w:vMerge w:val="continue"/>
          </w:tcPr>
          <w:p>
            <w:pPr>
              <w:spacing w:after="0"/>
              <w:rPr>
                <w:sz w:val="12"/>
                <w:szCs w:val="12"/>
                <w:color w:val="auto"/>
              </w:rPr>
            </w:pPr>
          </w:p>
        </w:tc>
        <w:tc>
          <w:tcPr>
            <w:tcW w:w="264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color w:val="auto"/>
              </w:rPr>
              <w:t>8</w:t>
            </w:r>
          </w:p>
        </w:tc>
        <w:tc>
          <w:tcPr>
            <w:tcW w:w="0" w:type="dxa"/>
            <w:vAlign w:val="bottom"/>
          </w:tcPr>
          <w:p>
            <w:pPr>
              <w:spacing w:after="0"/>
              <w:rPr>
                <w:sz w:val="1"/>
                <w:szCs w:val="1"/>
                <w:color w:val="auto"/>
              </w:rPr>
            </w:pPr>
          </w:p>
        </w:tc>
      </w:tr>
      <w:tr>
        <w:trPr>
          <w:trHeight w:val="94"/>
        </w:trPr>
        <w:tc>
          <w:tcPr>
            <w:tcW w:w="104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26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1040" w:type="dxa"/>
            <w:vAlign w:val="bottom"/>
            <w:vMerge w:val="continue"/>
          </w:tcPr>
          <w:p>
            <w:pPr>
              <w:spacing w:after="0"/>
              <w:rPr>
                <w:sz w:val="12"/>
                <w:szCs w:val="12"/>
                <w:color w:val="auto"/>
              </w:rPr>
            </w:pPr>
          </w:p>
        </w:tc>
        <w:tc>
          <w:tcPr>
            <w:tcW w:w="2640" w:type="dxa"/>
            <w:vAlign w:val="bottom"/>
            <w:vMerge w:val="restart"/>
          </w:tcPr>
          <w:p>
            <w:pPr>
              <w:ind w:left="400"/>
              <w:spacing w:after="0"/>
              <w:rPr>
                <w:sz w:val="20"/>
                <w:szCs w:val="20"/>
                <w:color w:val="auto"/>
              </w:rPr>
            </w:pPr>
            <w:r>
              <w:rPr>
                <w:rFonts w:ascii="Times New Roman" w:cs="Times New Roman" w:eastAsia="Times New Roman" w:hAnsi="Times New Roman"/>
                <w:sz w:val="22"/>
                <w:szCs w:val="22"/>
                <w:color w:val="auto"/>
              </w:rPr>
              <w:t>1,059,848.00</w:t>
            </w:r>
          </w:p>
        </w:tc>
        <w:tc>
          <w:tcPr>
            <w:tcW w:w="0" w:type="dxa"/>
            <w:vAlign w:val="bottom"/>
          </w:tcPr>
          <w:p>
            <w:pPr>
              <w:spacing w:after="0"/>
              <w:rPr>
                <w:sz w:val="1"/>
                <w:szCs w:val="1"/>
                <w:color w:val="auto"/>
              </w:rPr>
            </w:pPr>
          </w:p>
        </w:tc>
      </w:tr>
      <w:tr>
        <w:trPr>
          <w:trHeight w:val="134"/>
        </w:trPr>
        <w:tc>
          <w:tcPr>
            <w:tcW w:w="104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26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040" w:type="dxa"/>
            <w:vAlign w:val="bottom"/>
            <w:vMerge w:val="continue"/>
          </w:tcPr>
          <w:p>
            <w:pPr>
              <w:spacing w:after="0"/>
              <w:rPr>
                <w:sz w:val="9"/>
                <w:szCs w:val="9"/>
                <w:color w:val="auto"/>
              </w:rPr>
            </w:pPr>
          </w:p>
        </w:tc>
        <w:tc>
          <w:tcPr>
            <w:tcW w:w="2640" w:type="dxa"/>
            <w:vAlign w:val="bottom"/>
            <w:vMerge w:val="restart"/>
          </w:tcPr>
          <w:p>
            <w:pPr>
              <w:ind w:left="400"/>
              <w:spacing w:after="0"/>
              <w:rPr>
                <w:sz w:val="20"/>
                <w:szCs w:val="20"/>
                <w:color w:val="auto"/>
              </w:rPr>
            </w:pPr>
            <w:r>
              <w:rPr>
                <w:rFonts w:ascii="Times New Roman" w:cs="Times New Roman" w:eastAsia="Times New Roman" w:hAnsi="Times New Roman"/>
                <w:sz w:val="22"/>
                <w:szCs w:val="22"/>
                <w:color w:val="auto"/>
              </w:rPr>
              <w:t>Sole Dispositive Power</w:t>
            </w:r>
          </w:p>
        </w:tc>
        <w:tc>
          <w:tcPr>
            <w:tcW w:w="0" w:type="dxa"/>
            <w:vAlign w:val="bottom"/>
          </w:tcPr>
          <w:p>
            <w:pPr>
              <w:spacing w:after="0"/>
              <w:rPr>
                <w:sz w:val="1"/>
                <w:szCs w:val="1"/>
                <w:color w:val="auto"/>
              </w:rPr>
            </w:pPr>
          </w:p>
        </w:tc>
      </w:tr>
      <w:tr>
        <w:trPr>
          <w:trHeight w:val="148"/>
        </w:trPr>
        <w:tc>
          <w:tcPr>
            <w:tcW w:w="10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With:</w:t>
            </w:r>
          </w:p>
        </w:tc>
        <w:tc>
          <w:tcPr>
            <w:tcW w:w="26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1040" w:type="dxa"/>
            <w:vAlign w:val="bottom"/>
            <w:vMerge w:val="continue"/>
          </w:tcPr>
          <w:p>
            <w:pPr>
              <w:spacing w:after="0"/>
              <w:rPr>
                <w:sz w:val="11"/>
                <w:szCs w:val="11"/>
                <w:color w:val="auto"/>
              </w:rPr>
            </w:pPr>
          </w:p>
        </w:tc>
        <w:tc>
          <w:tcPr>
            <w:tcW w:w="264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color w:val="auto"/>
              </w:rPr>
              <w:t>9</w:t>
            </w:r>
          </w:p>
        </w:tc>
        <w:tc>
          <w:tcPr>
            <w:tcW w:w="0" w:type="dxa"/>
            <w:vAlign w:val="bottom"/>
          </w:tcPr>
          <w:p>
            <w:pPr>
              <w:spacing w:after="0"/>
              <w:rPr>
                <w:sz w:val="1"/>
                <w:szCs w:val="1"/>
                <w:color w:val="auto"/>
              </w:rPr>
            </w:pPr>
          </w:p>
        </w:tc>
      </w:tr>
      <w:tr>
        <w:trPr>
          <w:trHeight w:val="109"/>
        </w:trPr>
        <w:tc>
          <w:tcPr>
            <w:tcW w:w="1040" w:type="dxa"/>
            <w:vAlign w:val="bottom"/>
          </w:tcPr>
          <w:p>
            <w:pPr>
              <w:spacing w:after="0"/>
              <w:rPr>
                <w:sz w:val="9"/>
                <w:szCs w:val="9"/>
                <w:color w:val="auto"/>
              </w:rPr>
            </w:pPr>
          </w:p>
        </w:tc>
        <w:tc>
          <w:tcPr>
            <w:tcW w:w="26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82"/>
        </w:trPr>
        <w:tc>
          <w:tcPr>
            <w:tcW w:w="1040" w:type="dxa"/>
            <w:vAlign w:val="bottom"/>
          </w:tcPr>
          <w:p>
            <w:pPr>
              <w:spacing w:after="0"/>
              <w:rPr>
                <w:sz w:val="24"/>
                <w:szCs w:val="24"/>
                <w:color w:val="auto"/>
              </w:rPr>
            </w:pPr>
          </w:p>
        </w:tc>
        <w:tc>
          <w:tcPr>
            <w:tcW w:w="2640" w:type="dxa"/>
            <w:vAlign w:val="bottom"/>
          </w:tcPr>
          <w:p>
            <w:pPr>
              <w:ind w:left="40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97"/>
        </w:trPr>
        <w:tc>
          <w:tcPr>
            <w:tcW w:w="1040" w:type="dxa"/>
            <w:vAlign w:val="bottom"/>
          </w:tcPr>
          <w:p>
            <w:pPr>
              <w:spacing w:after="0"/>
              <w:rPr>
                <w:sz w:val="24"/>
                <w:szCs w:val="24"/>
                <w:color w:val="auto"/>
              </w:rPr>
            </w:pPr>
          </w:p>
        </w:tc>
        <w:tc>
          <w:tcPr>
            <w:tcW w:w="2640" w:type="dxa"/>
            <w:vAlign w:val="bottom"/>
          </w:tcPr>
          <w:p>
            <w:pPr>
              <w:ind w:left="120"/>
              <w:spacing w:after="0"/>
              <w:rPr>
                <w:sz w:val="20"/>
                <w:szCs w:val="20"/>
                <w:color w:val="auto"/>
              </w:rPr>
            </w:pPr>
            <w:r>
              <w:rPr>
                <w:rFonts w:ascii="Times New Roman" w:cs="Times New Roman" w:eastAsia="Times New Roman" w:hAnsi="Times New Roman"/>
                <w:sz w:val="22"/>
                <w:szCs w:val="22"/>
                <w:color w:val="auto"/>
                <w:w w:val="97"/>
              </w:rPr>
              <w:t>10 Shared Dispositive Power</w:t>
            </w:r>
          </w:p>
        </w:tc>
        <w:tc>
          <w:tcPr>
            <w:tcW w:w="0" w:type="dxa"/>
            <w:vAlign w:val="bottom"/>
          </w:tcPr>
          <w:p>
            <w:pPr>
              <w:spacing w:after="0"/>
              <w:rPr>
                <w:sz w:val="1"/>
                <w:szCs w:val="1"/>
                <w:color w:val="auto"/>
              </w:rPr>
            </w:pPr>
          </w:p>
        </w:tc>
      </w:tr>
    </w:tbl>
    <w:p>
      <w:pPr>
        <w:sectPr>
          <w:pgSz w:w="11900" w:h="16838" w:orient="portrait"/>
          <w:cols w:equalWidth="0" w:num="1">
            <w:col w:w="10099"/>
          </w:cols>
          <w:pgMar w:left="360" w:top="355" w:right="1440" w:bottom="0" w:gutter="0" w:footer="0" w:header="0"/>
          <w:type w:val="continuous"/>
        </w:sectPr>
      </w:pPr>
    </w:p>
    <w:bookmarkStart w:id="3" w:name="page4"/>
    <w:bookmarkEnd w:id="3"/>
    <w:p>
      <w:pPr>
        <w:spacing w:after="0" w:line="43"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22"/>
          <w:szCs w:val="22"/>
          <w:color w:val="auto"/>
        </w:rPr>
        <w:t>1,059,848.00</w:t>
      </w:r>
    </w:p>
    <w:p>
      <w:pPr>
        <w:spacing w:after="0" w:line="8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ind w:left="1160"/>
        <w:spacing w:after="0"/>
        <w:rPr>
          <w:sz w:val="20"/>
          <w:szCs w:val="20"/>
          <w:color w:val="auto"/>
        </w:rPr>
      </w:pPr>
      <w:r>
        <w:rPr>
          <w:rFonts w:ascii="Times New Roman" w:cs="Times New Roman" w:eastAsia="Times New Roman" w:hAnsi="Times New Roman"/>
          <w:sz w:val="22"/>
          <w:szCs w:val="22"/>
          <w:color w:val="auto"/>
        </w:rPr>
        <w:t>1,059,848.00</w:t>
      </w:r>
    </w:p>
    <w:p>
      <w:pPr>
        <w:spacing w:after="0" w:line="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if the aggregate amount in Row (11) excludes certain shares (See Instructions)</w:t>
      </w: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12700</wp:posOffset>
            </wp:positionV>
            <wp:extent cx="128905" cy="1289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13</w:t>
      </w:r>
    </w:p>
    <w:p>
      <w:pPr>
        <w:ind w:left="1160"/>
        <w:spacing w:after="0"/>
        <w:rPr>
          <w:sz w:val="20"/>
          <w:szCs w:val="20"/>
          <w:color w:val="auto"/>
        </w:rPr>
      </w:pPr>
      <w:r>
        <w:rPr>
          <w:rFonts w:ascii="Times New Roman" w:cs="Times New Roman" w:eastAsia="Times New Roman" w:hAnsi="Times New Roman"/>
          <w:sz w:val="22"/>
          <w:szCs w:val="22"/>
          <w:color w:val="auto"/>
        </w:rPr>
        <w:t>7.70 %</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14</w:t>
      </w:r>
    </w:p>
    <w:p>
      <w:pPr>
        <w:ind w:left="1160"/>
        <w:spacing w:after="0"/>
        <w:rPr>
          <w:sz w:val="20"/>
          <w:szCs w:val="20"/>
          <w:color w:val="auto"/>
        </w:rPr>
      </w:pPr>
      <w:r>
        <w:rPr>
          <w:rFonts w:ascii="Times New Roman" w:cs="Times New Roman" w:eastAsia="Times New Roman" w:hAnsi="Times New Roman"/>
          <w:sz w:val="22"/>
          <w:szCs w:val="22"/>
          <w:color w:val="auto"/>
        </w:rPr>
        <w:t>IN</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 xml:space="preserve">Comment </w:t>
      </w:r>
      <w:r>
        <w:rPr>
          <w:rFonts w:ascii="Times New Roman" w:cs="Times New Roman" w:eastAsia="Times New Roman" w:hAnsi="Times New Roman"/>
          <w:sz w:val="21"/>
          <w:szCs w:val="21"/>
          <w:color w:val="auto"/>
        </w:rPr>
        <w:t>M Partners Fund LP is a Delaware limited partnership whose sole general partner is M Partners Fund (GP) LLC. The</w:t>
      </w:r>
    </w:p>
    <w:tbl>
      <w:tblPr>
        <w:tblLayout w:type="fixed"/>
        <w:tblInd w:w="0" w:type="dxa"/>
        <w:tblCellMar>
          <w:top w:w="0" w:type="dxa"/>
          <w:left w:w="0" w:type="dxa"/>
          <w:bottom w:w="0" w:type="dxa"/>
          <w:right w:w="0" w:type="dxa"/>
        </w:tblCellMar>
      </w:tblPr>
      <w:tr>
        <w:trPr>
          <w:trHeight w:val="221"/>
        </w:trPr>
        <w:tc>
          <w:tcPr>
            <w:tcW w:w="8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for Type</w:t>
            </w:r>
          </w:p>
        </w:tc>
        <w:tc>
          <w:tcPr>
            <w:tcW w:w="10420" w:type="dxa"/>
            <w:vAlign w:val="bottom"/>
          </w:tcPr>
          <w:p>
            <w:pPr>
              <w:ind w:left="100"/>
              <w:spacing w:after="0" w:line="221" w:lineRule="exact"/>
              <w:rPr>
                <w:sz w:val="20"/>
                <w:szCs w:val="20"/>
                <w:color w:val="auto"/>
              </w:rPr>
            </w:pPr>
            <w:r>
              <w:rPr>
                <w:rFonts w:ascii="Times New Roman" w:cs="Times New Roman" w:eastAsia="Times New Roman" w:hAnsi="Times New Roman"/>
                <w:sz w:val="22"/>
                <w:szCs w:val="22"/>
                <w:color w:val="auto"/>
                <w:w w:val="98"/>
              </w:rPr>
              <w:t>managing member of M Partners Fund (GP) LLC is Ali John Mirshekari. As a result, Ali John Mirshekari is deemed to</w:t>
            </w:r>
          </w:p>
        </w:tc>
      </w:tr>
      <w:tr>
        <w:trPr>
          <w:trHeight w:val="255"/>
        </w:trPr>
        <w:tc>
          <w:tcPr>
            <w:tcW w:w="8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of</w:t>
            </w:r>
          </w:p>
        </w:tc>
        <w:tc>
          <w:tcPr>
            <w:tcW w:w="10420" w:type="dxa"/>
            <w:vAlign w:val="bottom"/>
          </w:tcPr>
          <w:p>
            <w:pPr>
              <w:ind w:left="100"/>
              <w:spacing w:after="0"/>
              <w:rPr>
                <w:sz w:val="20"/>
                <w:szCs w:val="20"/>
                <w:color w:val="auto"/>
              </w:rPr>
            </w:pPr>
            <w:r>
              <w:rPr>
                <w:rFonts w:ascii="Times New Roman" w:cs="Times New Roman" w:eastAsia="Times New Roman" w:hAnsi="Times New Roman"/>
                <w:sz w:val="22"/>
                <w:szCs w:val="22"/>
                <w:color w:val="auto"/>
                <w:w w:val="98"/>
              </w:rPr>
              <w:t>be the indirect owner of the shares held directly by M Partners Fund LP. Despite such shared beneficial ownership, the</w:t>
            </w:r>
          </w:p>
        </w:tc>
      </w:tr>
    </w:tbl>
    <w:p>
      <w:pPr>
        <w:jc w:val="both"/>
        <w:spacing w:after="0" w:line="197" w:lineRule="auto"/>
        <w:rPr>
          <w:sz w:val="20"/>
          <w:szCs w:val="20"/>
          <w:color w:val="auto"/>
        </w:rPr>
      </w:pPr>
      <w:r>
        <w:rPr>
          <w:rFonts w:ascii="Times New Roman" w:cs="Times New Roman" w:eastAsia="Times New Roman" w:hAnsi="Times New Roman"/>
          <w:sz w:val="35"/>
          <w:szCs w:val="35"/>
          <w:b w:val="1"/>
          <w:bCs w:val="1"/>
          <w:color w:val="auto"/>
          <w:vertAlign w:val="superscript"/>
        </w:rPr>
        <w:t>Reporting</w:t>
      </w:r>
      <w:r>
        <w:rPr>
          <w:rFonts w:ascii="Times New Roman" w:cs="Times New Roman" w:eastAsia="Times New Roman" w:hAnsi="Times New Roman"/>
          <w:sz w:val="20"/>
          <w:szCs w:val="20"/>
          <w:color w:val="auto"/>
        </w:rPr>
        <w:t xml:space="preserve"> Reporting Persons disclaim that they constitute a statutory group within the meaning of Rule 13d-5(b)(1) of the </w:t>
      </w:r>
      <w:r>
        <w:rPr>
          <w:rFonts w:ascii="Times New Roman" w:cs="Times New Roman" w:eastAsia="Times New Roman" w:hAnsi="Times New Roman"/>
          <w:sz w:val="35"/>
          <w:szCs w:val="35"/>
          <w:b w:val="1"/>
          <w:bCs w:val="1"/>
          <w:color w:val="auto"/>
          <w:vertAlign w:val="superscript"/>
        </w:rPr>
        <w:t>Person:</w:t>
      </w:r>
      <w:r>
        <w:rPr>
          <w:rFonts w:ascii="Times New Roman" w:cs="Times New Roman" w:eastAsia="Times New Roman" w:hAnsi="Times New Roman"/>
          <w:sz w:val="20"/>
          <w:szCs w:val="20"/>
          <w:color w:val="auto"/>
        </w:rPr>
        <w:t xml:space="preserve"> Securities Exchange Act of 1934. Based on the 13,772,802 common shares, without par value per share, outstanding as</w:t>
      </w:r>
    </w:p>
    <w:p>
      <w:pPr>
        <w:spacing w:after="0" w:line="2" w:lineRule="exact"/>
        <w:rPr>
          <w:sz w:val="20"/>
          <w:szCs w:val="20"/>
          <w:color w:val="auto"/>
        </w:rPr>
      </w:pPr>
    </w:p>
    <w:p>
      <w:pPr>
        <w:ind w:left="920"/>
        <w:spacing w:after="0" w:line="237" w:lineRule="auto"/>
        <w:rPr>
          <w:sz w:val="20"/>
          <w:szCs w:val="20"/>
          <w:color w:val="auto"/>
        </w:rPr>
      </w:pPr>
      <w:r>
        <w:rPr>
          <w:rFonts w:ascii="Times New Roman" w:cs="Times New Roman" w:eastAsia="Times New Roman" w:hAnsi="Times New Roman"/>
          <w:sz w:val="22"/>
          <w:szCs w:val="22"/>
          <w:color w:val="auto"/>
        </w:rPr>
        <w:t>of October 25, 2024, as reported in the Form 10-Q for the quarterly period ended September 30, 2024, of Civeo Corporation.</w:t>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9" w:lineRule="exact"/>
        <w:rPr>
          <w:sz w:val="20"/>
          <w:szCs w:val="20"/>
          <w:color w:val="auto"/>
        </w:rPr>
      </w:pPr>
    </w:p>
    <w:p>
      <w:pPr>
        <w:ind w:left="40"/>
        <w:spacing w:after="0"/>
        <w:tabs>
          <w:tab w:leader="none" w:pos="940" w:val="left"/>
        </w:tabs>
        <w:rPr>
          <w:sz w:val="20"/>
          <w:szCs w:val="20"/>
          <w:color w:val="auto"/>
        </w:rPr>
      </w:pPr>
      <w:r>
        <w:rPr>
          <w:rFonts w:ascii="Times New Roman" w:cs="Times New Roman" w:eastAsia="Times New Roman" w:hAnsi="Times New Roman"/>
          <w:sz w:val="22"/>
          <w:szCs w:val="22"/>
          <w:color w:val="auto"/>
        </w:rPr>
        <w:t>Item 1.</w:t>
      </w:r>
      <w:r>
        <w:rPr>
          <w:sz w:val="20"/>
          <w:szCs w:val="20"/>
          <w:color w:val="auto"/>
        </w:rPr>
        <w:tab/>
      </w:r>
      <w:r>
        <w:rPr>
          <w:rFonts w:ascii="Times New Roman" w:cs="Times New Roman" w:eastAsia="Times New Roman" w:hAnsi="Times New Roman"/>
          <w:sz w:val="21"/>
          <w:szCs w:val="21"/>
          <w:color w:val="auto"/>
        </w:rPr>
        <w:t>Security and Issuer</w:t>
      </w:r>
    </w:p>
    <w:p>
      <w:pPr>
        <w:spacing w:after="0" w:line="44"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ind w:left="960"/>
        <w:spacing w:after="0"/>
        <w:rPr>
          <w:sz w:val="20"/>
          <w:szCs w:val="20"/>
          <w:color w:val="auto"/>
        </w:rPr>
      </w:pPr>
      <w:r>
        <w:rPr>
          <w:rFonts w:ascii="Times New Roman" w:cs="Times New Roman" w:eastAsia="Times New Roman" w:hAnsi="Times New Roman"/>
          <w:sz w:val="22"/>
          <w:szCs w:val="22"/>
          <w:color w:val="auto"/>
        </w:rPr>
        <w:t>Common Shares</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ind w:left="960"/>
        <w:spacing w:after="0"/>
        <w:rPr>
          <w:sz w:val="20"/>
          <w:szCs w:val="20"/>
          <w:color w:val="auto"/>
        </w:rPr>
      </w:pPr>
      <w:r>
        <w:rPr>
          <w:rFonts w:ascii="Times New Roman" w:cs="Times New Roman" w:eastAsia="Times New Roman" w:hAnsi="Times New Roman"/>
          <w:sz w:val="22"/>
          <w:szCs w:val="22"/>
          <w:color w:val="auto"/>
        </w:rPr>
        <w:t>Civeo Corporation</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w:t>
      </w:r>
    </w:p>
    <w:p>
      <w:pPr>
        <w:ind w:left="960"/>
        <w:spacing w:after="0"/>
        <w:rPr>
          <w:sz w:val="20"/>
          <w:szCs w:val="20"/>
          <w:color w:val="auto"/>
        </w:rPr>
      </w:pPr>
      <w:r>
        <w:rPr>
          <w:rFonts w:ascii="Times New Roman" w:cs="Times New Roman" w:eastAsia="Times New Roman" w:hAnsi="Times New Roman"/>
          <w:sz w:val="22"/>
          <w:szCs w:val="22"/>
          <w:color w:val="auto"/>
        </w:rPr>
        <w:t>Three Allen Center, 333 Clay Street, Suite 4980, Houston, TEXAS , 77002.</w:t>
      </w:r>
    </w:p>
    <w:p>
      <w:pPr>
        <w:spacing w:after="0" w:line="20" w:lineRule="exact"/>
        <w:rPr>
          <w:sz w:val="20"/>
          <w:szCs w:val="20"/>
          <w:color w:val="auto"/>
        </w:rPr>
      </w:pPr>
    </w:p>
    <w:p>
      <w:pPr>
        <w:ind w:left="40" w:right="40"/>
        <w:spacing w:after="0" w:line="253" w:lineRule="auto"/>
        <w:rPr>
          <w:sz w:val="20"/>
          <w:szCs w:val="20"/>
          <w:color w:val="auto"/>
        </w:rPr>
      </w:pPr>
      <w:r>
        <w:rPr>
          <w:rFonts w:ascii="Times New Roman" w:cs="Times New Roman" w:eastAsia="Times New Roman" w:hAnsi="Times New Roman"/>
          <w:sz w:val="19"/>
          <w:szCs w:val="19"/>
          <w:b w:val="1"/>
          <w:bCs w:val="1"/>
          <w:color w:val="auto"/>
        </w:rPr>
        <w:t xml:space="preserve">Item 1 </w:t>
      </w:r>
      <w:r>
        <w:rPr>
          <w:rFonts w:ascii="Times New Roman" w:cs="Times New Roman" w:eastAsia="Times New Roman" w:hAnsi="Times New Roman"/>
          <w:sz w:val="21"/>
          <w:szCs w:val="21"/>
          <w:color w:val="auto"/>
        </w:rPr>
        <w:t>This statement 13D (this "Statement") relates to the common shares, without par value per share (the "Common</w:t>
      </w:r>
      <w:r>
        <w:rPr>
          <w:rFonts w:ascii="Times New Roman" w:cs="Times New Roman" w:eastAsia="Times New Roman" w:hAnsi="Times New Roman"/>
          <w:sz w:val="19"/>
          <w:szCs w:val="19"/>
          <w:b w:val="1"/>
          <w:bCs w:val="1"/>
          <w:color w:val="auto"/>
        </w:rPr>
        <w:t xml:space="preserve"> Comment: </w:t>
      </w:r>
      <w:r>
        <w:rPr>
          <w:rFonts w:ascii="Times New Roman" w:cs="Times New Roman" w:eastAsia="Times New Roman" w:hAnsi="Times New Roman"/>
          <w:sz w:val="21"/>
          <w:szCs w:val="21"/>
          <w:color w:val="auto"/>
        </w:rPr>
        <w:t>Shares"), of Civeo Corporation, a British Columbia, Canada corporation (the "Issuer"). The address of the principal</w:t>
      </w:r>
    </w:p>
    <w:p>
      <w:pPr>
        <w:spacing w:after="0" w:line="1"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22"/>
          <w:szCs w:val="22"/>
          <w:color w:val="auto"/>
        </w:rPr>
        <w:t>offices of the Issuer is Three Allen Center, 333 Clay Street, Suite 4980 Houston, TX 77002.</w:t>
      </w:r>
    </w:p>
    <w:p>
      <w:pPr>
        <w:spacing w:after="0" w:line="20" w:lineRule="exact"/>
        <w:rPr>
          <w:sz w:val="20"/>
          <w:szCs w:val="20"/>
          <w:color w:val="auto"/>
        </w:rPr>
      </w:pPr>
    </w:p>
    <w:p>
      <w:pPr>
        <w:ind w:left="40"/>
        <w:spacing w:after="0"/>
        <w:tabs>
          <w:tab w:leader="none" w:pos="940" w:val="left"/>
        </w:tabs>
        <w:rPr>
          <w:sz w:val="20"/>
          <w:szCs w:val="20"/>
          <w:color w:val="auto"/>
        </w:rPr>
      </w:pPr>
      <w:r>
        <w:rPr>
          <w:rFonts w:ascii="Times New Roman" w:cs="Times New Roman" w:eastAsia="Times New Roman" w:hAnsi="Times New Roman"/>
          <w:sz w:val="22"/>
          <w:szCs w:val="22"/>
          <w:color w:val="auto"/>
        </w:rPr>
        <w:t>Item 2.</w:t>
      </w:r>
      <w:r>
        <w:rPr>
          <w:sz w:val="20"/>
          <w:szCs w:val="20"/>
          <w:color w:val="auto"/>
        </w:rPr>
        <w:tab/>
      </w:r>
      <w:r>
        <w:rPr>
          <w:rFonts w:ascii="Times New Roman" w:cs="Times New Roman" w:eastAsia="Times New Roman" w:hAnsi="Times New Roman"/>
          <w:sz w:val="21"/>
          <w:szCs w:val="21"/>
          <w:color w:val="auto"/>
        </w:rPr>
        <w:t>Identity and Background</w:t>
      </w:r>
    </w:p>
    <w:p>
      <w:pPr>
        <w:spacing w:after="0" w:line="71" w:lineRule="exact"/>
        <w:rPr>
          <w:sz w:val="20"/>
          <w:szCs w:val="20"/>
          <w:color w:val="auto"/>
        </w:rPr>
      </w:pPr>
    </w:p>
    <w:p>
      <w:pPr>
        <w:ind w:left="960" w:hanging="912"/>
        <w:spacing w:after="0"/>
        <w:tabs>
          <w:tab w:leader="none" w:pos="96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Statement is filed by M Partners Fund LP, M Partners Fund (GP) LLC and Ali John Mirshekari.</w:t>
      </w:r>
    </w:p>
    <w:p>
      <w:pPr>
        <w:spacing w:after="0" w:line="44" w:lineRule="exact"/>
        <w:rPr>
          <w:rFonts w:ascii="Times New Roman" w:cs="Times New Roman" w:eastAsia="Times New Roman" w:hAnsi="Times New Roman"/>
          <w:sz w:val="22"/>
          <w:szCs w:val="22"/>
          <w:color w:val="auto"/>
        </w:rPr>
      </w:pPr>
    </w:p>
    <w:p>
      <w:pPr>
        <w:ind w:left="960" w:right="540" w:hanging="912"/>
        <w:spacing w:after="0" w:line="280" w:lineRule="auto"/>
        <w:tabs>
          <w:tab w:leader="none" w:pos="960" w:val="left"/>
        </w:tabs>
        <w:numPr>
          <w:ilvl w:val="0"/>
          <w:numId w:val="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principal business address of the Reporting Persons is 24 Shipyard Drive, Suite 102, Hingham, MA 02043. M Partners Fund LP's principal business is to purchase, sell, trade and invest in securities. M Partners Fund (GP)</w:t>
      </w:r>
    </w:p>
    <w:p>
      <w:pPr>
        <w:ind w:left="960" w:right="140" w:hanging="912"/>
        <w:spacing w:after="0" w:line="237" w:lineRule="auto"/>
        <w:tabs>
          <w:tab w:leader="none" w:pos="96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LLC's principal business is to serve as the general partner to M Partners Fund LP. Mr. Mirshekari's principal business is to serve as managing member of M Partners Fund (GP) LLC.</w:t>
      </w:r>
    </w:p>
    <w:p>
      <w:pPr>
        <w:spacing w:after="0" w:line="16" w:lineRule="exact"/>
        <w:rPr>
          <w:rFonts w:ascii="Times New Roman" w:cs="Times New Roman" w:eastAsia="Times New Roman" w:hAnsi="Times New Roman"/>
          <w:sz w:val="22"/>
          <w:szCs w:val="22"/>
          <w:color w:val="auto"/>
        </w:rPr>
      </w:pPr>
    </w:p>
    <w:p>
      <w:pPr>
        <w:ind w:left="960" w:right="80" w:hanging="912"/>
        <w:spacing w:after="0" w:line="185" w:lineRule="auto"/>
        <w:tabs>
          <w:tab w:leader="none" w:pos="960" w:val="left"/>
        </w:tabs>
        <w:numPr>
          <w:ilvl w:val="0"/>
          <w:numId w:val="7"/>
        </w:numPr>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0"/>
          <w:szCs w:val="20"/>
          <w:color w:val="auto"/>
        </w:rPr>
        <w:t>The Reporting Persons have not, during the past five years, been convicted in a criminal proceeding (excluding traffic violations or similar misdemeanors).</w:t>
      </w:r>
    </w:p>
    <w:p>
      <w:pPr>
        <w:spacing w:after="0" w:line="17" w:lineRule="exact"/>
        <w:rPr>
          <w:rFonts w:ascii="Times New Roman" w:cs="Times New Roman" w:eastAsia="Times New Roman" w:hAnsi="Times New Roman"/>
          <w:sz w:val="39"/>
          <w:szCs w:val="39"/>
          <w:color w:val="auto"/>
          <w:vertAlign w:val="subscript"/>
        </w:rPr>
      </w:pPr>
    </w:p>
    <w:p>
      <w:pPr>
        <w:ind w:left="96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2"/>
          <w:szCs w:val="22"/>
          <w:color w:val="auto"/>
        </w:rPr>
        <w:t>The Reporting Persons have not, during the last five years, been party to a civil proceeding of a judicial or</w:t>
      </w:r>
    </w:p>
    <w:p>
      <w:pPr>
        <w:spacing w:after="0" w:line="14" w:lineRule="exact"/>
        <w:rPr>
          <w:rFonts w:ascii="Times New Roman" w:cs="Times New Roman" w:eastAsia="Times New Roman" w:hAnsi="Times New Roman"/>
          <w:sz w:val="39"/>
          <w:szCs w:val="39"/>
          <w:color w:val="auto"/>
          <w:vertAlign w:val="subscript"/>
        </w:rPr>
      </w:pPr>
    </w:p>
    <w:p>
      <w:pPr>
        <w:jc w:val="both"/>
        <w:ind w:left="960" w:right="320" w:hanging="912"/>
        <w:spacing w:after="0" w:line="184" w:lineRule="auto"/>
        <w:tabs>
          <w:tab w:leader="none" w:pos="960" w:val="left"/>
        </w:tabs>
        <w:numPr>
          <w:ilvl w:val="0"/>
          <w:numId w:val="7"/>
        </w:numPr>
        <w:rPr>
          <w:rFonts w:ascii="Times New Roman" w:cs="Times New Roman" w:eastAsia="Times New Roman" w:hAnsi="Times New Roman"/>
          <w:sz w:val="42"/>
          <w:szCs w:val="42"/>
          <w:color w:val="auto"/>
          <w:vertAlign w:val="subscript"/>
        </w:rPr>
      </w:pPr>
      <w:r>
        <w:rPr>
          <w:rFonts w:ascii="Times New Roman" w:cs="Times New Roman" w:eastAsia="Times New Roman" w:hAnsi="Times New Roman"/>
          <w:sz w:val="21"/>
          <w:szCs w:val="21"/>
          <w:color w:val="auto"/>
        </w:rPr>
        <w:t>administrative body of competent jurisdiction and as a result of such proceeding were or are subject to a judgment, decree or final order enjoining future violations of, or prohibiting or mandating activities subject to, federal or state securities laws or finding any violation with respect to such laws.</w:t>
      </w:r>
    </w:p>
    <w:p>
      <w:pPr>
        <w:spacing w:after="0" w:line="18" w:lineRule="exact"/>
        <w:rPr>
          <w:rFonts w:ascii="Times New Roman" w:cs="Times New Roman" w:eastAsia="Times New Roman" w:hAnsi="Times New Roman"/>
          <w:sz w:val="42"/>
          <w:szCs w:val="42"/>
          <w:color w:val="auto"/>
          <w:vertAlign w:val="subscript"/>
        </w:rPr>
      </w:pPr>
    </w:p>
    <w:p>
      <w:pPr>
        <w:ind w:left="960" w:right="480" w:hanging="912"/>
        <w:spacing w:after="0" w:line="185" w:lineRule="auto"/>
        <w:tabs>
          <w:tab w:leader="none" w:pos="960" w:val="left"/>
        </w:tabs>
        <w:numPr>
          <w:ilvl w:val="0"/>
          <w:numId w:val="7"/>
        </w:numPr>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0"/>
          <w:szCs w:val="20"/>
          <w:color w:val="auto"/>
        </w:rPr>
        <w:t>M Partners Fund LP is a Delaware limited partnership. M Partners Fund (GP) LLC is a Delaware limited liability company. Ali John Mirshekari is a citizen of the United States of America.</w:t>
      </w:r>
    </w:p>
    <w:p>
      <w:pPr>
        <w:spacing w:after="0" w:line="17" w:lineRule="exact"/>
        <w:rPr>
          <w:sz w:val="20"/>
          <w:szCs w:val="20"/>
          <w:color w:val="auto"/>
        </w:rPr>
      </w:pPr>
    </w:p>
    <w:p>
      <w:pPr>
        <w:ind w:left="40"/>
        <w:spacing w:after="0"/>
        <w:tabs>
          <w:tab w:leader="none" w:pos="94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Source and Amount of Funds or Other Consideration</w:t>
      </w:r>
    </w:p>
    <w:p>
      <w:pPr>
        <w:spacing w:after="0" w:line="44" w:lineRule="exact"/>
        <w:rPr>
          <w:sz w:val="20"/>
          <w:szCs w:val="20"/>
          <w:color w:val="auto"/>
        </w:rPr>
      </w:pPr>
    </w:p>
    <w:p>
      <w:pPr>
        <w:ind w:left="960" w:right="480"/>
        <w:spacing w:after="0" w:line="256" w:lineRule="auto"/>
        <w:rPr>
          <w:sz w:val="20"/>
          <w:szCs w:val="20"/>
          <w:color w:val="auto"/>
        </w:rPr>
      </w:pPr>
      <w:r>
        <w:rPr>
          <w:rFonts w:ascii="Times New Roman" w:cs="Times New Roman" w:eastAsia="Times New Roman" w:hAnsi="Times New Roman"/>
          <w:sz w:val="22"/>
          <w:szCs w:val="22"/>
          <w:color w:val="auto"/>
        </w:rPr>
        <w:t>M Partners Fund LP holds 1,059,848 Common Shares which were acquired using working capital. The aggregate purchase price of the 1,059,848 Common Shares acquired was approximately $24,784,766.25.</w:t>
      </w:r>
    </w:p>
    <w:p>
      <w:pPr>
        <w:ind w:left="40"/>
        <w:spacing w:after="0"/>
        <w:tabs>
          <w:tab w:leader="none" w:pos="94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Purpose of Transaction</w:t>
      </w:r>
    </w:p>
    <w:p>
      <w:pPr>
        <w:spacing w:after="0" w:line="44" w:lineRule="exact"/>
        <w:rPr>
          <w:sz w:val="20"/>
          <w:szCs w:val="20"/>
          <w:color w:val="auto"/>
        </w:rPr>
      </w:pPr>
    </w:p>
    <w:p>
      <w:pPr>
        <w:ind w:left="960" w:right="80"/>
        <w:spacing w:after="0" w:line="249" w:lineRule="auto"/>
        <w:rPr>
          <w:sz w:val="20"/>
          <w:szCs w:val="20"/>
          <w:color w:val="auto"/>
        </w:rPr>
      </w:pPr>
      <w:r>
        <w:rPr>
          <w:rFonts w:ascii="Times New Roman" w:cs="Times New Roman" w:eastAsia="Times New Roman" w:hAnsi="Times New Roman"/>
          <w:sz w:val="21"/>
          <w:szCs w:val="21"/>
          <w:color w:val="auto"/>
        </w:rPr>
        <w:t>The Reporting Persons acquired the Common Shares reported hereunder for investment purposes, and such purposes were made in the Reporting Persons' ordinary course of business. As with their other investments, the Reporting Persons continuously evaluate the Issuer, including but not limited to its business, results of operations, and prospects. All of the Common Shares reported herein as being beneficially owned by the Reporting Persons were acquired for investment purposes. Except as otherwise set forth herein, the Reporting Persons do not have any present plans or proposals which would relate to, or result in, the matters set forth in subparagraphs (a) - (j) of Item 4 of</w:t>
      </w:r>
    </w:p>
    <w:p>
      <w:pPr>
        <w:sectPr>
          <w:pgSz w:w="11900" w:h="16882" w:orient="portrait"/>
          <w:cols w:equalWidth="0" w:num="1">
            <w:col w:w="11240"/>
          </w:cols>
          <w:pgMar w:left="320" w:top="112" w:right="339" w:bottom="0" w:gutter="0" w:footer="0" w:header="0"/>
        </w:sectPr>
      </w:pPr>
    </w:p>
    <w:bookmarkStart w:id="4" w:name="page5"/>
    <w:bookmarkEnd w:id="4"/>
    <w:p>
      <w:pPr>
        <w:ind w:left="920" w:right="360"/>
        <w:spacing w:after="0"/>
        <w:rPr>
          <w:sz w:val="20"/>
          <w:szCs w:val="20"/>
          <w:color w:val="auto"/>
        </w:rPr>
      </w:pPr>
      <w:r>
        <w:rPr>
          <w:rFonts w:ascii="Times New Roman" w:cs="Times New Roman" w:eastAsia="Times New Roman" w:hAnsi="Times New Roman"/>
          <w:sz w:val="22"/>
          <w:szCs w:val="22"/>
          <w:color w:val="auto"/>
        </w:rPr>
        <w:t>Schedule 13D. The Reporting Persons reserve the right, at a later date, to effect one or more of such changes or transactions in the number of Common Shares they may be deemed to beneficially own or to formulate other purposes, plans or proposals regarding the Issuer or any of its securities, to the extent deemed advisable in light of general investment and trading policies of the Reporting Persons, market conditions or other factors.</w:t>
      </w:r>
    </w:p>
    <w:p>
      <w:pPr>
        <w:spacing w:after="0" w:line="15"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5.</w:t>
      </w:r>
      <w:r>
        <w:rPr>
          <w:sz w:val="20"/>
          <w:szCs w:val="20"/>
          <w:color w:val="auto"/>
        </w:rPr>
        <w:tab/>
      </w:r>
      <w:r>
        <w:rPr>
          <w:rFonts w:ascii="Times New Roman" w:cs="Times New Roman" w:eastAsia="Times New Roman" w:hAnsi="Times New Roman"/>
          <w:sz w:val="21"/>
          <w:szCs w:val="21"/>
          <w:color w:val="auto"/>
        </w:rPr>
        <w:t>Interest in Securities of the Issuer</w:t>
      </w:r>
    </w:p>
    <w:p>
      <w:pPr>
        <w:spacing w:after="0" w:line="44" w:lineRule="exact"/>
        <w:rPr>
          <w:sz w:val="20"/>
          <w:szCs w:val="20"/>
          <w:color w:val="auto"/>
        </w:rPr>
      </w:pPr>
    </w:p>
    <w:p>
      <w:pPr>
        <w:ind w:left="920" w:hanging="912"/>
        <w:spacing w:after="0"/>
        <w:tabs>
          <w:tab w:leader="none" w:pos="92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information set forth in the cover page above is incorporated herein by reference</w:t>
      </w:r>
    </w:p>
    <w:p>
      <w:pPr>
        <w:spacing w:after="0" w:line="44"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information set forth in the cover page above is incorporated herein by reference</w:t>
      </w:r>
    </w:p>
    <w:p>
      <w:pPr>
        <w:spacing w:after="0" w:line="44"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Information concerning transactions in the Common Shares effected by the Reporting Persons during the past sixty</w:t>
      </w:r>
    </w:p>
    <w:p>
      <w:pPr>
        <w:spacing w:after="0" w:line="14" w:lineRule="exact"/>
        <w:rPr>
          <w:rFonts w:ascii="Times New Roman" w:cs="Times New Roman" w:eastAsia="Times New Roman" w:hAnsi="Times New Roman"/>
          <w:sz w:val="22"/>
          <w:szCs w:val="22"/>
          <w:color w:val="auto"/>
        </w:rPr>
      </w:pPr>
    </w:p>
    <w:p>
      <w:pPr>
        <w:ind w:left="920" w:right="600" w:hanging="912"/>
        <w:spacing w:after="0" w:line="184" w:lineRule="auto"/>
        <w:tabs>
          <w:tab w:leader="none" w:pos="920" w:val="left"/>
        </w:tabs>
        <w:numPr>
          <w:ilvl w:val="0"/>
          <w:numId w:val="8"/>
        </w:numPr>
        <w:rPr>
          <w:rFonts w:ascii="Times New Roman" w:cs="Times New Roman" w:eastAsia="Times New Roman" w:hAnsi="Times New Roman"/>
          <w:sz w:val="42"/>
          <w:szCs w:val="42"/>
          <w:color w:val="auto"/>
          <w:vertAlign w:val="subscript"/>
        </w:rPr>
      </w:pPr>
      <w:r>
        <w:rPr>
          <w:rFonts w:ascii="Times New Roman" w:cs="Times New Roman" w:eastAsia="Times New Roman" w:hAnsi="Times New Roman"/>
          <w:sz w:val="21"/>
          <w:szCs w:val="21"/>
          <w:color w:val="auto"/>
        </w:rPr>
        <w:t>days is set forth in Exhibit A hereto and is incorporated herein by reference. All of the transactions in Common Shares listed herein were effected in the open market, provided majority of the Common Shares purchased on 1/31/2025 were pursuant to a privately negotiated block trade.</w:t>
      </w:r>
    </w:p>
    <w:p>
      <w:pPr>
        <w:spacing w:after="0" w:line="18" w:lineRule="exact"/>
        <w:rPr>
          <w:rFonts w:ascii="Times New Roman" w:cs="Times New Roman" w:eastAsia="Times New Roman" w:hAnsi="Times New Roman"/>
          <w:sz w:val="42"/>
          <w:szCs w:val="42"/>
          <w:color w:val="auto"/>
          <w:vertAlign w:val="subscript"/>
        </w:rPr>
      </w:pPr>
    </w:p>
    <w:p>
      <w:pPr>
        <w:ind w:left="920" w:right="480" w:hanging="912"/>
        <w:spacing w:after="0" w:line="185" w:lineRule="auto"/>
        <w:tabs>
          <w:tab w:leader="none" w:pos="920" w:val="left"/>
        </w:tabs>
        <w:numPr>
          <w:ilvl w:val="0"/>
          <w:numId w:val="8"/>
        </w:numPr>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0"/>
          <w:szCs w:val="20"/>
          <w:color w:val="auto"/>
        </w:rPr>
        <w:t>No other person is known to have the right to receive or the power to direct the receipt of dividends from, or any proceeds from the sale of, Common Shares beneficially owned by the Reporting Persons.</w:t>
      </w:r>
    </w:p>
    <w:p>
      <w:pPr>
        <w:spacing w:after="0" w:line="17" w:lineRule="exact"/>
        <w:rPr>
          <w:rFonts w:ascii="Times New Roman" w:cs="Times New Roman" w:eastAsia="Times New Roman" w:hAnsi="Times New Roman"/>
          <w:sz w:val="39"/>
          <w:szCs w:val="39"/>
          <w:color w:val="auto"/>
          <w:vertAlign w:val="subscript"/>
        </w:rPr>
      </w:pPr>
    </w:p>
    <w:p>
      <w:pPr>
        <w:ind w:left="920" w:hanging="912"/>
        <w:spacing w:after="0"/>
        <w:tabs>
          <w:tab w:leader="none" w:pos="92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6.</w:t>
      </w:r>
      <w:r>
        <w:rPr>
          <w:sz w:val="20"/>
          <w:szCs w:val="20"/>
          <w:color w:val="auto"/>
        </w:rPr>
        <w:tab/>
      </w:r>
      <w:r>
        <w:rPr>
          <w:rFonts w:ascii="Times New Roman" w:cs="Times New Roman" w:eastAsia="Times New Roman" w:hAnsi="Times New Roman"/>
          <w:sz w:val="21"/>
          <w:szCs w:val="21"/>
          <w:color w:val="auto"/>
        </w:rPr>
        <w:t>Contracts, Arrangements, Understandings or Relationships With Respect to Securities of the Issuer</w:t>
      </w:r>
    </w:p>
    <w:p>
      <w:pPr>
        <w:spacing w:after="0" w:line="44" w:lineRule="exact"/>
        <w:rPr>
          <w:sz w:val="20"/>
          <w:szCs w:val="20"/>
          <w:color w:val="auto"/>
        </w:rPr>
      </w:pPr>
    </w:p>
    <w:p>
      <w:pPr>
        <w:ind w:left="920" w:right="200"/>
        <w:spacing w:after="0" w:line="256" w:lineRule="auto"/>
        <w:rPr>
          <w:sz w:val="20"/>
          <w:szCs w:val="20"/>
          <w:color w:val="auto"/>
        </w:rPr>
      </w:pPr>
      <w:r>
        <w:rPr>
          <w:rFonts w:ascii="Times New Roman" w:cs="Times New Roman" w:eastAsia="Times New Roman" w:hAnsi="Times New Roman"/>
          <w:sz w:val="22"/>
          <w:szCs w:val="22"/>
          <w:color w:val="auto"/>
        </w:rPr>
        <w:t>As of the date hereof, the Reporting Persons have no contracts, arrangements, understandings or relationships (legal or otherwise) with respect to any securities of the Issuer.</w:t>
      </w: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7.</w:t>
      </w:r>
      <w:r>
        <w:rPr>
          <w:sz w:val="20"/>
          <w:szCs w:val="20"/>
          <w:color w:val="auto"/>
        </w:rPr>
        <w:tab/>
      </w:r>
      <w:r>
        <w:rPr>
          <w:rFonts w:ascii="Times New Roman" w:cs="Times New Roman" w:eastAsia="Times New Roman" w:hAnsi="Times New Roman"/>
          <w:sz w:val="21"/>
          <w:szCs w:val="21"/>
          <w:color w:val="auto"/>
        </w:rPr>
        <w:t>Material to be Filed as Exhibits.</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Exhibit A: Schedule of Transactions in Common Shares</w:t>
      </w:r>
    </w:p>
    <w:p>
      <w:pPr>
        <w:spacing w:after="0" w:line="31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2"/>
          <w:szCs w:val="22"/>
          <w:color w:val="auto"/>
        </w:rPr>
        <w:t>M Partners Fund LP</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Ali John Mirshekari</w:t>
      </w:r>
    </w:p>
    <w:p>
      <w:pPr>
        <w:ind w:left="5660"/>
        <w:spacing w:after="0" w:line="180" w:lineRule="auto"/>
        <w:rPr>
          <w:sz w:val="20"/>
          <w:szCs w:val="20"/>
          <w:color w:val="auto"/>
        </w:rPr>
      </w:pPr>
      <w:r>
        <w:rPr>
          <w:rFonts w:ascii="Times New Roman" w:cs="Times New Roman" w:eastAsia="Times New Roman" w:hAnsi="Times New Roman"/>
          <w:sz w:val="36"/>
          <w:szCs w:val="36"/>
          <w:color w:val="auto"/>
          <w:vertAlign w:val="subscript"/>
        </w:rPr>
        <w:t>Name/Title:</w:t>
      </w:r>
      <w:r>
        <w:rPr>
          <w:rFonts w:ascii="Times New Roman" w:cs="Times New Roman" w:eastAsia="Times New Roman" w:hAnsi="Times New Roman"/>
          <w:sz w:val="19"/>
          <w:szCs w:val="19"/>
          <w:color w:val="auto"/>
        </w:rPr>
        <w:t xml:space="preserve"> Ali John Mirshekari, Managing Member of M</w:t>
      </w:r>
    </w:p>
    <w:p>
      <w:pPr>
        <w:spacing w:after="0" w:line="1"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Partners Fund (GP) LLC</w:t>
      </w:r>
    </w:p>
    <w:p>
      <w:pPr>
        <w:spacing w:after="0" w:line="20"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02/07/2025</w:t>
      </w:r>
    </w:p>
    <w:p>
      <w:pPr>
        <w:spacing w:after="0" w:line="152" w:lineRule="exact"/>
        <w:rPr>
          <w:sz w:val="20"/>
          <w:szCs w:val="20"/>
          <w:color w:val="auto"/>
        </w:rPr>
      </w:pPr>
    </w:p>
    <w:p>
      <w:pPr>
        <w:ind w:left="2580"/>
        <w:spacing w:after="0"/>
        <w:rPr>
          <w:sz w:val="20"/>
          <w:szCs w:val="20"/>
          <w:color w:val="auto"/>
        </w:rPr>
      </w:pPr>
      <w:r>
        <w:rPr>
          <w:rFonts w:ascii="Times New Roman" w:cs="Times New Roman" w:eastAsia="Times New Roman" w:hAnsi="Times New Roman"/>
          <w:sz w:val="22"/>
          <w:szCs w:val="22"/>
          <w:color w:val="auto"/>
        </w:rPr>
        <w:t>M Partners Fund (GP) LLC</w:t>
      </w:r>
    </w:p>
    <w:p>
      <w:pPr>
        <w:spacing w:after="0" w:line="152" w:lineRule="exact"/>
        <w:rPr>
          <w:sz w:val="20"/>
          <w:szCs w:val="20"/>
          <w:color w:val="auto"/>
        </w:rPr>
      </w:pPr>
    </w:p>
    <w:p>
      <w:pPr>
        <w:ind w:left="4780"/>
        <w:spacing w:after="0"/>
        <w:tabs>
          <w:tab w:leader="none" w:pos="58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Ali John Mirshekari</w:t>
      </w:r>
    </w:p>
    <w:p>
      <w:pPr>
        <w:spacing w:after="0" w:line="44"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22"/>
          <w:szCs w:val="22"/>
          <w:color w:val="auto"/>
        </w:rPr>
        <w:t>Name/Title: Ali John Mirshekari, Managing Member</w:t>
      </w:r>
    </w:p>
    <w:p>
      <w:pPr>
        <w:spacing w:after="0" w:line="44" w:lineRule="exact"/>
        <w:rPr>
          <w:sz w:val="20"/>
          <w:szCs w:val="20"/>
          <w:color w:val="auto"/>
        </w:rPr>
      </w:pPr>
    </w:p>
    <w:p>
      <w:pPr>
        <w:ind w:left="4780"/>
        <w:spacing w:after="0"/>
        <w:tabs>
          <w:tab w:leader="none" w:pos="58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02/07/2025</w:t>
      </w:r>
    </w:p>
    <w:p>
      <w:pPr>
        <w:spacing w:after="0" w:line="152" w:lineRule="exact"/>
        <w:rPr>
          <w:sz w:val="20"/>
          <w:szCs w:val="20"/>
          <w:color w:val="auto"/>
        </w:rPr>
      </w:pPr>
    </w:p>
    <w:p>
      <w:pPr>
        <w:ind w:left="1920"/>
        <w:spacing w:after="0"/>
        <w:rPr>
          <w:sz w:val="20"/>
          <w:szCs w:val="20"/>
          <w:color w:val="auto"/>
        </w:rPr>
      </w:pPr>
      <w:r>
        <w:rPr>
          <w:rFonts w:ascii="Times New Roman" w:cs="Times New Roman" w:eastAsia="Times New Roman" w:hAnsi="Times New Roman"/>
          <w:sz w:val="22"/>
          <w:szCs w:val="22"/>
          <w:color w:val="auto"/>
        </w:rPr>
        <w:t>Ali John Mirshekari</w:t>
      </w:r>
    </w:p>
    <w:p>
      <w:pPr>
        <w:spacing w:after="0" w:line="152" w:lineRule="exact"/>
        <w:rPr>
          <w:sz w:val="20"/>
          <w:szCs w:val="20"/>
          <w:color w:val="auto"/>
        </w:rPr>
      </w:pPr>
    </w:p>
    <w:p>
      <w:pPr>
        <w:ind w:left="3280"/>
        <w:spacing w:after="0"/>
        <w:tabs>
          <w:tab w:leader="none" w:pos="43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Ali John Mirshekari</w:t>
      </w:r>
    </w:p>
    <w:p>
      <w:pPr>
        <w:spacing w:after="0" w:line="44"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22"/>
          <w:szCs w:val="22"/>
          <w:color w:val="auto"/>
        </w:rPr>
        <w:t>Name/Title: Ali John Mirshekari</w:t>
      </w:r>
    </w:p>
    <w:p>
      <w:pPr>
        <w:spacing w:after="0" w:line="44" w:lineRule="exact"/>
        <w:rPr>
          <w:sz w:val="20"/>
          <w:szCs w:val="20"/>
          <w:color w:val="auto"/>
        </w:rPr>
      </w:pPr>
    </w:p>
    <w:p>
      <w:pPr>
        <w:ind w:left="3280"/>
        <w:spacing w:after="0"/>
        <w:tabs>
          <w:tab w:leader="none" w:pos="43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02/07/2025</w:t>
      </w:r>
    </w:p>
    <w:p>
      <w:pPr>
        <w:sectPr>
          <w:pgSz w:w="11900" w:h="16838" w:orient="portrait"/>
          <w:cols w:equalWidth="0" w:num="1">
            <w:col w:w="11140"/>
          </w:cols>
          <w:pgMar w:left="360" w:top="112" w:right="39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Exhibit A</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SCHEDULE OF TRANSACTIONS IN COMMON SHARES</w:t>
      </w:r>
    </w:p>
    <w:p>
      <w:pPr>
        <w:spacing w:after="0" w:line="229" w:lineRule="exact"/>
        <w:rPr>
          <w:sz w:val="20"/>
          <w:szCs w:val="20"/>
          <w:color w:val="auto"/>
        </w:rPr>
      </w:pPr>
    </w:p>
    <w:p>
      <w:pPr>
        <w:ind w:right="40" w:hanging="1"/>
        <w:spacing w:after="0" w:line="266" w:lineRule="auto"/>
        <w:rPr>
          <w:sz w:val="20"/>
          <w:szCs w:val="20"/>
          <w:color w:val="auto"/>
        </w:rPr>
      </w:pPr>
      <w:r>
        <w:rPr>
          <w:rFonts w:ascii="Times New Roman" w:cs="Times New Roman" w:eastAsia="Times New Roman" w:hAnsi="Times New Roman"/>
          <w:sz w:val="18"/>
          <w:szCs w:val="18"/>
          <w:color w:val="auto"/>
        </w:rPr>
        <w:t>The following table sets forth all transactions in the Common Shares effected in the past sixty days by the Reporting Persons. All such transactions were effected in the open market and the price per share includes commissions, provided majority of the Common Shares purchased on 1/31/2025 were pursuant to a privately negotiated block trade. The Price Per Share ($) is a weighted average price.</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3620" w:type="dxa"/>
            <w:vAlign w:val="bottom"/>
            <w:tcBorders>
              <w:bottom w:val="single" w:sz="8" w:color="auto"/>
            </w:tcBorders>
          </w:tcPr>
          <w:p>
            <w:pPr>
              <w:ind w:left="1340"/>
              <w:spacing w:after="0"/>
              <w:rPr>
                <w:sz w:val="20"/>
                <w:szCs w:val="20"/>
                <w:color w:val="auto"/>
              </w:rPr>
            </w:pPr>
            <w:r>
              <w:rPr>
                <w:rFonts w:ascii="Times New Roman" w:cs="Times New Roman" w:eastAsia="Times New Roman" w:hAnsi="Times New Roman"/>
                <w:sz w:val="18"/>
                <w:szCs w:val="18"/>
                <w:b w:val="1"/>
                <w:bCs w:val="1"/>
                <w:color w:val="auto"/>
              </w:rPr>
              <w:t>Trade Date</w:t>
            </w:r>
          </w:p>
        </w:tc>
        <w:tc>
          <w:tcPr>
            <w:tcW w:w="220" w:type="dxa"/>
            <w:vAlign w:val="bottom"/>
            <w:tcBorders>
              <w:bottom w:val="single" w:sz="8" w:color="CCEEFF"/>
            </w:tcBorders>
          </w:tcPr>
          <w:p>
            <w:pPr>
              <w:spacing w:after="0"/>
              <w:rPr>
                <w:sz w:val="21"/>
                <w:szCs w:val="21"/>
                <w:color w:val="auto"/>
              </w:rPr>
            </w:pPr>
          </w:p>
        </w:tc>
        <w:tc>
          <w:tcPr>
            <w:tcW w:w="3600" w:type="dxa"/>
            <w:vAlign w:val="bottom"/>
            <w:tcBorders>
              <w:bottom w:val="single" w:sz="8" w:color="auto"/>
            </w:tcBorders>
          </w:tcPr>
          <w:p>
            <w:pPr>
              <w:ind w:left="1060"/>
              <w:spacing w:after="0"/>
              <w:rPr>
                <w:sz w:val="20"/>
                <w:szCs w:val="20"/>
                <w:color w:val="auto"/>
              </w:rPr>
            </w:pPr>
            <w:r>
              <w:rPr>
                <w:rFonts w:ascii="Times New Roman" w:cs="Times New Roman" w:eastAsia="Times New Roman" w:hAnsi="Times New Roman"/>
                <w:sz w:val="18"/>
                <w:szCs w:val="18"/>
                <w:b w:val="1"/>
                <w:bCs w:val="1"/>
                <w:color w:val="auto"/>
              </w:rPr>
              <w:t>Shares Purchased</w:t>
            </w:r>
          </w:p>
        </w:tc>
        <w:tc>
          <w:tcPr>
            <w:tcW w:w="200" w:type="dxa"/>
            <w:vAlign w:val="bottom"/>
            <w:tcBorders>
              <w:bottom w:val="single" w:sz="8" w:color="CCEEFF"/>
            </w:tcBorders>
          </w:tcPr>
          <w:p>
            <w:pPr>
              <w:spacing w:after="0"/>
              <w:rPr>
                <w:sz w:val="21"/>
                <w:szCs w:val="21"/>
                <w:color w:val="auto"/>
              </w:rPr>
            </w:pPr>
          </w:p>
        </w:tc>
        <w:tc>
          <w:tcPr>
            <w:tcW w:w="360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Price Per Share ($)</w:t>
            </w:r>
          </w:p>
        </w:tc>
      </w:tr>
      <w:tr>
        <w:trPr>
          <w:trHeight w:val="203"/>
        </w:trPr>
        <w:tc>
          <w:tcPr>
            <w:tcW w:w="3620" w:type="dxa"/>
            <w:vAlign w:val="bottom"/>
            <w:tcBorders>
              <w:bottom w:val="single" w:sz="8" w:color="CCEEFF"/>
            </w:tcBorders>
            <w:shd w:val="clear" w:color="auto" w:fill="CCEEFF"/>
          </w:tcPr>
          <w:p>
            <w:pPr>
              <w:jc w:val="center"/>
              <w:ind w:right="10"/>
              <w:spacing w:after="0" w:line="202" w:lineRule="exact"/>
              <w:rPr>
                <w:sz w:val="20"/>
                <w:szCs w:val="20"/>
                <w:color w:val="auto"/>
              </w:rPr>
            </w:pPr>
            <w:r>
              <w:rPr>
                <w:rFonts w:ascii="Times New Roman" w:cs="Times New Roman" w:eastAsia="Times New Roman" w:hAnsi="Times New Roman"/>
                <w:sz w:val="18"/>
                <w:szCs w:val="18"/>
                <w:color w:val="auto"/>
                <w:w w:val="98"/>
              </w:rPr>
              <w:t>12/9/2024</w:t>
            </w:r>
          </w:p>
        </w:tc>
        <w:tc>
          <w:tcPr>
            <w:tcW w:w="220" w:type="dxa"/>
            <w:vAlign w:val="bottom"/>
            <w:shd w:val="clear" w:color="auto" w:fill="CCEEFF"/>
          </w:tcPr>
          <w:p>
            <w:pPr>
              <w:spacing w:after="0"/>
              <w:rPr>
                <w:sz w:val="17"/>
                <w:szCs w:val="17"/>
                <w:color w:val="auto"/>
              </w:rPr>
            </w:pPr>
          </w:p>
        </w:tc>
        <w:tc>
          <w:tcPr>
            <w:tcW w:w="3600" w:type="dxa"/>
            <w:vAlign w:val="bottom"/>
            <w:tcBorders>
              <w:bottom w:val="single" w:sz="8" w:color="CCEEFF"/>
            </w:tcBorders>
            <w:shd w:val="clear" w:color="auto" w:fill="CCEEFF"/>
          </w:tcPr>
          <w:p>
            <w:pPr>
              <w:jc w:val="center"/>
              <w:ind w:right="30"/>
              <w:spacing w:after="0" w:line="202" w:lineRule="exact"/>
              <w:rPr>
                <w:sz w:val="20"/>
                <w:szCs w:val="20"/>
                <w:color w:val="auto"/>
              </w:rPr>
            </w:pPr>
            <w:r>
              <w:rPr>
                <w:rFonts w:ascii="Times New Roman" w:cs="Times New Roman" w:eastAsia="Times New Roman" w:hAnsi="Times New Roman"/>
                <w:sz w:val="18"/>
                <w:szCs w:val="18"/>
                <w:color w:val="auto"/>
                <w:w w:val="99"/>
              </w:rPr>
              <w:t>22,300.00</w:t>
            </w:r>
          </w:p>
        </w:tc>
        <w:tc>
          <w:tcPr>
            <w:tcW w:w="200" w:type="dxa"/>
            <w:vAlign w:val="bottom"/>
            <w:shd w:val="clear" w:color="auto" w:fill="CCEEFF"/>
          </w:tcPr>
          <w:p>
            <w:pPr>
              <w:spacing w:after="0"/>
              <w:rPr>
                <w:sz w:val="17"/>
                <w:szCs w:val="17"/>
                <w:color w:val="auto"/>
              </w:rPr>
            </w:pPr>
          </w:p>
        </w:tc>
        <w:tc>
          <w:tcPr>
            <w:tcW w:w="3600" w:type="dxa"/>
            <w:vAlign w:val="bottom"/>
            <w:tcBorders>
              <w:bottom w:val="single" w:sz="8" w:color="CCEEFF"/>
            </w:tcBorders>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w w:val="98"/>
              </w:rPr>
              <w:t>22.80</w:t>
            </w:r>
          </w:p>
        </w:tc>
      </w:tr>
      <w:tr>
        <w:trPr>
          <w:trHeight w:val="196"/>
        </w:trPr>
        <w:tc>
          <w:tcPr>
            <w:tcW w:w="3620" w:type="dxa"/>
            <w:vAlign w:val="bottom"/>
          </w:tcPr>
          <w:p>
            <w:pPr>
              <w:jc w:val="center"/>
              <w:ind w:right="10"/>
              <w:spacing w:after="0" w:line="196" w:lineRule="exact"/>
              <w:rPr>
                <w:sz w:val="20"/>
                <w:szCs w:val="20"/>
                <w:color w:val="auto"/>
              </w:rPr>
            </w:pPr>
            <w:r>
              <w:rPr>
                <w:rFonts w:ascii="Times New Roman" w:cs="Times New Roman" w:eastAsia="Times New Roman" w:hAnsi="Times New Roman"/>
                <w:sz w:val="18"/>
                <w:szCs w:val="18"/>
                <w:color w:val="auto"/>
                <w:w w:val="97"/>
              </w:rPr>
              <w:t>12/11/2024</w:t>
            </w:r>
          </w:p>
        </w:tc>
        <w:tc>
          <w:tcPr>
            <w:tcW w:w="220" w:type="dxa"/>
            <w:vAlign w:val="bottom"/>
          </w:tcPr>
          <w:p>
            <w:pPr>
              <w:spacing w:after="0"/>
              <w:rPr>
                <w:sz w:val="17"/>
                <w:szCs w:val="17"/>
                <w:color w:val="auto"/>
              </w:rPr>
            </w:pPr>
          </w:p>
        </w:tc>
        <w:tc>
          <w:tcPr>
            <w:tcW w:w="3600" w:type="dxa"/>
            <w:vAlign w:val="bottom"/>
          </w:tcPr>
          <w:p>
            <w:pPr>
              <w:jc w:val="center"/>
              <w:ind w:right="30"/>
              <w:spacing w:after="0" w:line="196" w:lineRule="exact"/>
              <w:rPr>
                <w:sz w:val="20"/>
                <w:szCs w:val="20"/>
                <w:color w:val="auto"/>
              </w:rPr>
            </w:pPr>
            <w:r>
              <w:rPr>
                <w:rFonts w:ascii="Times New Roman" w:cs="Times New Roman" w:eastAsia="Times New Roman" w:hAnsi="Times New Roman"/>
                <w:sz w:val="18"/>
                <w:szCs w:val="18"/>
                <w:color w:val="auto"/>
                <w:w w:val="99"/>
              </w:rPr>
              <w:t>13,704.00</w:t>
            </w:r>
          </w:p>
        </w:tc>
        <w:tc>
          <w:tcPr>
            <w:tcW w:w="200" w:type="dxa"/>
            <w:vAlign w:val="bottom"/>
          </w:tcPr>
          <w:p>
            <w:pPr>
              <w:spacing w:after="0"/>
              <w:rPr>
                <w:sz w:val="17"/>
                <w:szCs w:val="17"/>
                <w:color w:val="auto"/>
              </w:rPr>
            </w:pPr>
          </w:p>
        </w:tc>
        <w:tc>
          <w:tcPr>
            <w:tcW w:w="36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8"/>
              </w:rPr>
              <w:t>23.48</w:t>
            </w:r>
          </w:p>
        </w:tc>
      </w:tr>
      <w:tr>
        <w:trPr>
          <w:trHeight w:val="216"/>
        </w:trPr>
        <w:tc>
          <w:tcPr>
            <w:tcW w:w="36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12/12/2024</w:t>
            </w:r>
          </w:p>
        </w:tc>
        <w:tc>
          <w:tcPr>
            <w:tcW w:w="220" w:type="dxa"/>
            <w:vAlign w:val="bottom"/>
            <w:shd w:val="clear" w:color="auto" w:fill="CCEEFF"/>
          </w:tcPr>
          <w:p>
            <w:pPr>
              <w:spacing w:after="0"/>
              <w:rPr>
                <w:sz w:val="18"/>
                <w:szCs w:val="18"/>
                <w:color w:val="auto"/>
              </w:rPr>
            </w:pPr>
          </w:p>
        </w:tc>
        <w:tc>
          <w:tcPr>
            <w:tcW w:w="3600" w:type="dxa"/>
            <w:vAlign w:val="bottom"/>
            <w:tcBorders>
              <w:bottom w:val="single" w:sz="8" w:color="CCEEFF"/>
            </w:tcBorders>
            <w:shd w:val="clear" w:color="auto" w:fill="CCEEFF"/>
          </w:tcPr>
          <w:p>
            <w:pPr>
              <w:jc w:val="center"/>
              <w:ind w:right="10"/>
              <w:spacing w:after="0"/>
              <w:rPr>
                <w:sz w:val="20"/>
                <w:szCs w:val="20"/>
                <w:color w:val="auto"/>
              </w:rPr>
            </w:pPr>
            <w:r>
              <w:rPr>
                <w:rFonts w:ascii="Times New Roman" w:cs="Times New Roman" w:eastAsia="Times New Roman" w:hAnsi="Times New Roman"/>
                <w:sz w:val="18"/>
                <w:szCs w:val="18"/>
                <w:color w:val="auto"/>
                <w:w w:val="98"/>
              </w:rPr>
              <w:t>6,586.00</w:t>
            </w:r>
          </w:p>
        </w:tc>
        <w:tc>
          <w:tcPr>
            <w:tcW w:w="200" w:type="dxa"/>
            <w:vAlign w:val="bottom"/>
            <w:shd w:val="clear" w:color="auto" w:fill="CCEEFF"/>
          </w:tcPr>
          <w:p>
            <w:pPr>
              <w:spacing w:after="0"/>
              <w:rPr>
                <w:sz w:val="18"/>
                <w:szCs w:val="18"/>
                <w:color w:val="auto"/>
              </w:rPr>
            </w:pPr>
          </w:p>
        </w:tc>
        <w:tc>
          <w:tcPr>
            <w:tcW w:w="36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23.34</w:t>
            </w:r>
          </w:p>
        </w:tc>
      </w:tr>
      <w:tr>
        <w:trPr>
          <w:trHeight w:val="196"/>
        </w:trPr>
        <w:tc>
          <w:tcPr>
            <w:tcW w:w="36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12/12/2024</w:t>
            </w:r>
          </w:p>
        </w:tc>
        <w:tc>
          <w:tcPr>
            <w:tcW w:w="220" w:type="dxa"/>
            <w:vAlign w:val="bottom"/>
          </w:tcPr>
          <w:p>
            <w:pPr>
              <w:spacing w:after="0"/>
              <w:rPr>
                <w:sz w:val="17"/>
                <w:szCs w:val="17"/>
                <w:color w:val="auto"/>
              </w:rPr>
            </w:pPr>
          </w:p>
        </w:tc>
        <w:tc>
          <w:tcPr>
            <w:tcW w:w="3600" w:type="dxa"/>
            <w:vAlign w:val="bottom"/>
          </w:tcPr>
          <w:p>
            <w:pPr>
              <w:jc w:val="center"/>
              <w:ind w:right="10"/>
              <w:spacing w:after="0" w:line="196" w:lineRule="exact"/>
              <w:rPr>
                <w:sz w:val="20"/>
                <w:szCs w:val="20"/>
                <w:color w:val="auto"/>
              </w:rPr>
            </w:pPr>
            <w:r>
              <w:rPr>
                <w:rFonts w:ascii="Times New Roman" w:cs="Times New Roman" w:eastAsia="Times New Roman" w:hAnsi="Times New Roman"/>
                <w:sz w:val="18"/>
                <w:szCs w:val="18"/>
                <w:color w:val="auto"/>
                <w:w w:val="98"/>
              </w:rPr>
              <w:t>9,600.00</w:t>
            </w:r>
          </w:p>
        </w:tc>
        <w:tc>
          <w:tcPr>
            <w:tcW w:w="200" w:type="dxa"/>
            <w:vAlign w:val="bottom"/>
          </w:tcPr>
          <w:p>
            <w:pPr>
              <w:spacing w:after="0"/>
              <w:rPr>
                <w:sz w:val="17"/>
                <w:szCs w:val="17"/>
                <w:color w:val="auto"/>
              </w:rPr>
            </w:pPr>
          </w:p>
        </w:tc>
        <w:tc>
          <w:tcPr>
            <w:tcW w:w="36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8"/>
              </w:rPr>
              <w:t>23.37</w:t>
            </w:r>
          </w:p>
        </w:tc>
      </w:tr>
      <w:tr>
        <w:trPr>
          <w:trHeight w:val="216"/>
        </w:trPr>
        <w:tc>
          <w:tcPr>
            <w:tcW w:w="36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12/13/2024</w:t>
            </w:r>
          </w:p>
        </w:tc>
        <w:tc>
          <w:tcPr>
            <w:tcW w:w="220" w:type="dxa"/>
            <w:vAlign w:val="bottom"/>
            <w:shd w:val="clear" w:color="auto" w:fill="CCEEFF"/>
          </w:tcPr>
          <w:p>
            <w:pPr>
              <w:spacing w:after="0"/>
              <w:rPr>
                <w:sz w:val="18"/>
                <w:szCs w:val="18"/>
                <w:color w:val="auto"/>
              </w:rPr>
            </w:pPr>
          </w:p>
        </w:tc>
        <w:tc>
          <w:tcPr>
            <w:tcW w:w="3600" w:type="dxa"/>
            <w:vAlign w:val="bottom"/>
            <w:tcBorders>
              <w:bottom w:val="single" w:sz="8" w:color="CCEEFF"/>
            </w:tcBorders>
            <w:shd w:val="clear" w:color="auto" w:fill="CCEEFF"/>
          </w:tcPr>
          <w:p>
            <w:pPr>
              <w:jc w:val="center"/>
              <w:ind w:right="30"/>
              <w:spacing w:after="0"/>
              <w:rPr>
                <w:sz w:val="20"/>
                <w:szCs w:val="20"/>
                <w:color w:val="auto"/>
              </w:rPr>
            </w:pPr>
            <w:r>
              <w:rPr>
                <w:rFonts w:ascii="Times New Roman" w:cs="Times New Roman" w:eastAsia="Times New Roman" w:hAnsi="Times New Roman"/>
                <w:sz w:val="18"/>
                <w:szCs w:val="18"/>
                <w:color w:val="auto"/>
                <w:w w:val="99"/>
              </w:rPr>
              <w:t>18,170.00</w:t>
            </w:r>
          </w:p>
        </w:tc>
        <w:tc>
          <w:tcPr>
            <w:tcW w:w="200" w:type="dxa"/>
            <w:vAlign w:val="bottom"/>
            <w:shd w:val="clear" w:color="auto" w:fill="CCEEFF"/>
          </w:tcPr>
          <w:p>
            <w:pPr>
              <w:spacing w:after="0"/>
              <w:rPr>
                <w:sz w:val="18"/>
                <w:szCs w:val="18"/>
                <w:color w:val="auto"/>
              </w:rPr>
            </w:pPr>
          </w:p>
        </w:tc>
        <w:tc>
          <w:tcPr>
            <w:tcW w:w="36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22.89</w:t>
            </w:r>
          </w:p>
        </w:tc>
      </w:tr>
      <w:tr>
        <w:trPr>
          <w:trHeight w:val="196"/>
        </w:trPr>
        <w:tc>
          <w:tcPr>
            <w:tcW w:w="36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12/19/2024</w:t>
            </w:r>
          </w:p>
        </w:tc>
        <w:tc>
          <w:tcPr>
            <w:tcW w:w="220" w:type="dxa"/>
            <w:vAlign w:val="bottom"/>
          </w:tcPr>
          <w:p>
            <w:pPr>
              <w:spacing w:after="0"/>
              <w:rPr>
                <w:sz w:val="17"/>
                <w:szCs w:val="17"/>
                <w:color w:val="auto"/>
              </w:rPr>
            </w:pPr>
          </w:p>
        </w:tc>
        <w:tc>
          <w:tcPr>
            <w:tcW w:w="3600" w:type="dxa"/>
            <w:vAlign w:val="bottom"/>
          </w:tcPr>
          <w:p>
            <w:pPr>
              <w:jc w:val="center"/>
              <w:ind w:right="30"/>
              <w:spacing w:after="0" w:line="196" w:lineRule="exact"/>
              <w:rPr>
                <w:sz w:val="20"/>
                <w:szCs w:val="20"/>
                <w:color w:val="auto"/>
              </w:rPr>
            </w:pPr>
            <w:r>
              <w:rPr>
                <w:rFonts w:ascii="Times New Roman" w:cs="Times New Roman" w:eastAsia="Times New Roman" w:hAnsi="Times New Roman"/>
                <w:sz w:val="18"/>
                <w:szCs w:val="18"/>
                <w:color w:val="auto"/>
                <w:w w:val="99"/>
              </w:rPr>
              <w:t>20,000.00</w:t>
            </w:r>
          </w:p>
        </w:tc>
        <w:tc>
          <w:tcPr>
            <w:tcW w:w="200" w:type="dxa"/>
            <w:vAlign w:val="bottom"/>
          </w:tcPr>
          <w:p>
            <w:pPr>
              <w:spacing w:after="0"/>
              <w:rPr>
                <w:sz w:val="17"/>
                <w:szCs w:val="17"/>
                <w:color w:val="auto"/>
              </w:rPr>
            </w:pPr>
          </w:p>
        </w:tc>
        <w:tc>
          <w:tcPr>
            <w:tcW w:w="36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8"/>
              </w:rPr>
              <w:t>21.61</w:t>
            </w:r>
          </w:p>
        </w:tc>
      </w:tr>
      <w:tr>
        <w:trPr>
          <w:trHeight w:val="216"/>
        </w:trPr>
        <w:tc>
          <w:tcPr>
            <w:tcW w:w="36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12/20/2024</w:t>
            </w:r>
          </w:p>
        </w:tc>
        <w:tc>
          <w:tcPr>
            <w:tcW w:w="220" w:type="dxa"/>
            <w:vAlign w:val="bottom"/>
            <w:shd w:val="clear" w:color="auto" w:fill="CCEEFF"/>
          </w:tcPr>
          <w:p>
            <w:pPr>
              <w:spacing w:after="0"/>
              <w:rPr>
                <w:sz w:val="18"/>
                <w:szCs w:val="18"/>
                <w:color w:val="auto"/>
              </w:rPr>
            </w:pPr>
          </w:p>
        </w:tc>
        <w:tc>
          <w:tcPr>
            <w:tcW w:w="3600" w:type="dxa"/>
            <w:vAlign w:val="bottom"/>
            <w:tcBorders>
              <w:bottom w:val="single" w:sz="8" w:color="CCEEFF"/>
            </w:tcBorders>
            <w:shd w:val="clear" w:color="auto" w:fill="CCEEFF"/>
          </w:tcPr>
          <w:p>
            <w:pPr>
              <w:jc w:val="center"/>
              <w:ind w:right="10"/>
              <w:spacing w:after="0"/>
              <w:rPr>
                <w:sz w:val="20"/>
                <w:szCs w:val="20"/>
                <w:color w:val="auto"/>
              </w:rPr>
            </w:pPr>
            <w:r>
              <w:rPr>
                <w:rFonts w:ascii="Times New Roman" w:cs="Times New Roman" w:eastAsia="Times New Roman" w:hAnsi="Times New Roman"/>
                <w:sz w:val="18"/>
                <w:szCs w:val="18"/>
                <w:color w:val="auto"/>
                <w:w w:val="98"/>
              </w:rPr>
              <w:t>4,326.00</w:t>
            </w:r>
          </w:p>
        </w:tc>
        <w:tc>
          <w:tcPr>
            <w:tcW w:w="200" w:type="dxa"/>
            <w:vAlign w:val="bottom"/>
            <w:shd w:val="clear" w:color="auto" w:fill="CCEEFF"/>
          </w:tcPr>
          <w:p>
            <w:pPr>
              <w:spacing w:after="0"/>
              <w:rPr>
                <w:sz w:val="18"/>
                <w:szCs w:val="18"/>
                <w:color w:val="auto"/>
              </w:rPr>
            </w:pPr>
          </w:p>
        </w:tc>
        <w:tc>
          <w:tcPr>
            <w:tcW w:w="36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21.60</w:t>
            </w:r>
          </w:p>
        </w:tc>
      </w:tr>
      <w:tr>
        <w:trPr>
          <w:trHeight w:val="196"/>
        </w:trPr>
        <w:tc>
          <w:tcPr>
            <w:tcW w:w="36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12/23/2024</w:t>
            </w:r>
          </w:p>
        </w:tc>
        <w:tc>
          <w:tcPr>
            <w:tcW w:w="220" w:type="dxa"/>
            <w:vAlign w:val="bottom"/>
          </w:tcPr>
          <w:p>
            <w:pPr>
              <w:spacing w:after="0"/>
              <w:rPr>
                <w:sz w:val="17"/>
                <w:szCs w:val="17"/>
                <w:color w:val="auto"/>
              </w:rPr>
            </w:pPr>
          </w:p>
        </w:tc>
        <w:tc>
          <w:tcPr>
            <w:tcW w:w="3600" w:type="dxa"/>
            <w:vAlign w:val="bottom"/>
          </w:tcPr>
          <w:p>
            <w:pPr>
              <w:jc w:val="center"/>
              <w:ind w:right="10"/>
              <w:spacing w:after="0" w:line="196" w:lineRule="exact"/>
              <w:rPr>
                <w:sz w:val="20"/>
                <w:szCs w:val="20"/>
                <w:color w:val="auto"/>
              </w:rPr>
            </w:pPr>
            <w:r>
              <w:rPr>
                <w:rFonts w:ascii="Times New Roman" w:cs="Times New Roman" w:eastAsia="Times New Roman" w:hAnsi="Times New Roman"/>
                <w:sz w:val="18"/>
                <w:szCs w:val="18"/>
                <w:color w:val="auto"/>
                <w:w w:val="97"/>
              </w:rPr>
              <w:t>11,185.00</w:t>
            </w:r>
          </w:p>
        </w:tc>
        <w:tc>
          <w:tcPr>
            <w:tcW w:w="200" w:type="dxa"/>
            <w:vAlign w:val="bottom"/>
          </w:tcPr>
          <w:p>
            <w:pPr>
              <w:spacing w:after="0"/>
              <w:rPr>
                <w:sz w:val="17"/>
                <w:szCs w:val="17"/>
                <w:color w:val="auto"/>
              </w:rPr>
            </w:pPr>
          </w:p>
        </w:tc>
        <w:tc>
          <w:tcPr>
            <w:tcW w:w="36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8"/>
              </w:rPr>
              <w:t>21.68</w:t>
            </w:r>
          </w:p>
        </w:tc>
      </w:tr>
      <w:tr>
        <w:trPr>
          <w:trHeight w:val="216"/>
        </w:trPr>
        <w:tc>
          <w:tcPr>
            <w:tcW w:w="36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12/24/2024</w:t>
            </w:r>
          </w:p>
        </w:tc>
        <w:tc>
          <w:tcPr>
            <w:tcW w:w="220" w:type="dxa"/>
            <w:vAlign w:val="bottom"/>
            <w:shd w:val="clear" w:color="auto" w:fill="CCEEFF"/>
          </w:tcPr>
          <w:p>
            <w:pPr>
              <w:spacing w:after="0"/>
              <w:rPr>
                <w:sz w:val="18"/>
                <w:szCs w:val="18"/>
                <w:color w:val="auto"/>
              </w:rPr>
            </w:pPr>
          </w:p>
        </w:tc>
        <w:tc>
          <w:tcPr>
            <w:tcW w:w="3600" w:type="dxa"/>
            <w:vAlign w:val="bottom"/>
            <w:tcBorders>
              <w:bottom w:val="single" w:sz="8" w:color="CCEEFF"/>
            </w:tcBorders>
            <w:shd w:val="clear" w:color="auto" w:fill="CCEEFF"/>
          </w:tcPr>
          <w:p>
            <w:pPr>
              <w:jc w:val="center"/>
              <w:ind w:right="10"/>
              <w:spacing w:after="0"/>
              <w:rPr>
                <w:sz w:val="20"/>
                <w:szCs w:val="20"/>
                <w:color w:val="auto"/>
              </w:rPr>
            </w:pPr>
            <w:r>
              <w:rPr>
                <w:rFonts w:ascii="Times New Roman" w:cs="Times New Roman" w:eastAsia="Times New Roman" w:hAnsi="Times New Roman"/>
                <w:sz w:val="18"/>
                <w:szCs w:val="18"/>
                <w:color w:val="auto"/>
                <w:w w:val="98"/>
              </w:rPr>
              <w:t>4,300.00</w:t>
            </w:r>
          </w:p>
        </w:tc>
        <w:tc>
          <w:tcPr>
            <w:tcW w:w="200" w:type="dxa"/>
            <w:vAlign w:val="bottom"/>
            <w:shd w:val="clear" w:color="auto" w:fill="CCEEFF"/>
          </w:tcPr>
          <w:p>
            <w:pPr>
              <w:spacing w:after="0"/>
              <w:rPr>
                <w:sz w:val="18"/>
                <w:szCs w:val="18"/>
                <w:color w:val="auto"/>
              </w:rPr>
            </w:pPr>
          </w:p>
        </w:tc>
        <w:tc>
          <w:tcPr>
            <w:tcW w:w="36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21.73</w:t>
            </w:r>
          </w:p>
        </w:tc>
      </w:tr>
      <w:tr>
        <w:trPr>
          <w:trHeight w:val="196"/>
        </w:trPr>
        <w:tc>
          <w:tcPr>
            <w:tcW w:w="36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12/26/2024</w:t>
            </w:r>
          </w:p>
        </w:tc>
        <w:tc>
          <w:tcPr>
            <w:tcW w:w="220" w:type="dxa"/>
            <w:vAlign w:val="bottom"/>
          </w:tcPr>
          <w:p>
            <w:pPr>
              <w:spacing w:after="0"/>
              <w:rPr>
                <w:sz w:val="17"/>
                <w:szCs w:val="17"/>
                <w:color w:val="auto"/>
              </w:rPr>
            </w:pPr>
          </w:p>
        </w:tc>
        <w:tc>
          <w:tcPr>
            <w:tcW w:w="3600" w:type="dxa"/>
            <w:vAlign w:val="bottom"/>
          </w:tcPr>
          <w:p>
            <w:pPr>
              <w:jc w:val="center"/>
              <w:ind w:right="10"/>
              <w:spacing w:after="0" w:line="196" w:lineRule="exact"/>
              <w:rPr>
                <w:sz w:val="20"/>
                <w:szCs w:val="20"/>
                <w:color w:val="auto"/>
              </w:rPr>
            </w:pPr>
            <w:r>
              <w:rPr>
                <w:rFonts w:ascii="Times New Roman" w:cs="Times New Roman" w:eastAsia="Times New Roman" w:hAnsi="Times New Roman"/>
                <w:sz w:val="18"/>
                <w:szCs w:val="18"/>
                <w:color w:val="auto"/>
                <w:w w:val="98"/>
              </w:rPr>
              <w:t>2,948.00</w:t>
            </w:r>
          </w:p>
        </w:tc>
        <w:tc>
          <w:tcPr>
            <w:tcW w:w="200" w:type="dxa"/>
            <w:vAlign w:val="bottom"/>
          </w:tcPr>
          <w:p>
            <w:pPr>
              <w:spacing w:after="0"/>
              <w:rPr>
                <w:sz w:val="17"/>
                <w:szCs w:val="17"/>
                <w:color w:val="auto"/>
              </w:rPr>
            </w:pPr>
          </w:p>
        </w:tc>
        <w:tc>
          <w:tcPr>
            <w:tcW w:w="36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8"/>
              </w:rPr>
              <w:t>22.12</w:t>
            </w:r>
          </w:p>
        </w:tc>
      </w:tr>
      <w:tr>
        <w:trPr>
          <w:trHeight w:val="216"/>
        </w:trPr>
        <w:tc>
          <w:tcPr>
            <w:tcW w:w="36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12/27/2024</w:t>
            </w:r>
          </w:p>
        </w:tc>
        <w:tc>
          <w:tcPr>
            <w:tcW w:w="220" w:type="dxa"/>
            <w:vAlign w:val="bottom"/>
            <w:shd w:val="clear" w:color="auto" w:fill="CCEEFF"/>
          </w:tcPr>
          <w:p>
            <w:pPr>
              <w:spacing w:after="0"/>
              <w:rPr>
                <w:sz w:val="18"/>
                <w:szCs w:val="18"/>
                <w:color w:val="auto"/>
              </w:rPr>
            </w:pPr>
          </w:p>
        </w:tc>
        <w:tc>
          <w:tcPr>
            <w:tcW w:w="3600" w:type="dxa"/>
            <w:vAlign w:val="bottom"/>
            <w:tcBorders>
              <w:bottom w:val="single" w:sz="8" w:color="CCEEFF"/>
            </w:tcBorders>
            <w:shd w:val="clear" w:color="auto" w:fill="CCEEFF"/>
          </w:tcPr>
          <w:p>
            <w:pPr>
              <w:jc w:val="center"/>
              <w:ind w:right="10"/>
              <w:spacing w:after="0"/>
              <w:rPr>
                <w:sz w:val="20"/>
                <w:szCs w:val="20"/>
                <w:color w:val="auto"/>
              </w:rPr>
            </w:pPr>
            <w:r>
              <w:rPr>
                <w:rFonts w:ascii="Times New Roman" w:cs="Times New Roman" w:eastAsia="Times New Roman" w:hAnsi="Times New Roman"/>
                <w:sz w:val="18"/>
                <w:szCs w:val="18"/>
                <w:color w:val="auto"/>
                <w:w w:val="98"/>
              </w:rPr>
              <w:t>6,195.00</w:t>
            </w:r>
          </w:p>
        </w:tc>
        <w:tc>
          <w:tcPr>
            <w:tcW w:w="200" w:type="dxa"/>
            <w:vAlign w:val="bottom"/>
            <w:shd w:val="clear" w:color="auto" w:fill="CCEEFF"/>
          </w:tcPr>
          <w:p>
            <w:pPr>
              <w:spacing w:after="0"/>
              <w:rPr>
                <w:sz w:val="18"/>
                <w:szCs w:val="18"/>
                <w:color w:val="auto"/>
              </w:rPr>
            </w:pPr>
          </w:p>
        </w:tc>
        <w:tc>
          <w:tcPr>
            <w:tcW w:w="36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22.08</w:t>
            </w:r>
          </w:p>
        </w:tc>
      </w:tr>
      <w:tr>
        <w:trPr>
          <w:trHeight w:val="196"/>
        </w:trPr>
        <w:tc>
          <w:tcPr>
            <w:tcW w:w="36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12/30/2024</w:t>
            </w:r>
          </w:p>
        </w:tc>
        <w:tc>
          <w:tcPr>
            <w:tcW w:w="220" w:type="dxa"/>
            <w:vAlign w:val="bottom"/>
          </w:tcPr>
          <w:p>
            <w:pPr>
              <w:spacing w:after="0"/>
              <w:rPr>
                <w:sz w:val="17"/>
                <w:szCs w:val="17"/>
                <w:color w:val="auto"/>
              </w:rPr>
            </w:pPr>
          </w:p>
        </w:tc>
        <w:tc>
          <w:tcPr>
            <w:tcW w:w="3600" w:type="dxa"/>
            <w:vAlign w:val="bottom"/>
          </w:tcPr>
          <w:p>
            <w:pPr>
              <w:jc w:val="center"/>
              <w:ind w:right="10"/>
              <w:spacing w:after="0" w:line="196" w:lineRule="exact"/>
              <w:rPr>
                <w:sz w:val="20"/>
                <w:szCs w:val="20"/>
                <w:color w:val="auto"/>
              </w:rPr>
            </w:pPr>
            <w:r>
              <w:rPr>
                <w:rFonts w:ascii="Times New Roman" w:cs="Times New Roman" w:eastAsia="Times New Roman" w:hAnsi="Times New Roman"/>
                <w:sz w:val="18"/>
                <w:szCs w:val="18"/>
                <w:color w:val="auto"/>
                <w:w w:val="98"/>
              </w:rPr>
              <w:t>3,159.00</w:t>
            </w:r>
          </w:p>
        </w:tc>
        <w:tc>
          <w:tcPr>
            <w:tcW w:w="200" w:type="dxa"/>
            <w:vAlign w:val="bottom"/>
          </w:tcPr>
          <w:p>
            <w:pPr>
              <w:spacing w:after="0"/>
              <w:rPr>
                <w:sz w:val="17"/>
                <w:szCs w:val="17"/>
                <w:color w:val="auto"/>
              </w:rPr>
            </w:pPr>
          </w:p>
        </w:tc>
        <w:tc>
          <w:tcPr>
            <w:tcW w:w="36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8"/>
              </w:rPr>
              <w:t>22.32</w:t>
            </w:r>
          </w:p>
        </w:tc>
      </w:tr>
      <w:tr>
        <w:trPr>
          <w:trHeight w:val="216"/>
        </w:trPr>
        <w:tc>
          <w:tcPr>
            <w:tcW w:w="3620" w:type="dxa"/>
            <w:vAlign w:val="bottom"/>
            <w:tcBorders>
              <w:bottom w:val="single" w:sz="8" w:color="CCEEFF"/>
            </w:tcBorders>
            <w:shd w:val="clear" w:color="auto" w:fill="CCEEFF"/>
          </w:tcPr>
          <w:p>
            <w:pPr>
              <w:jc w:val="center"/>
              <w:ind w:right="10"/>
              <w:spacing w:after="0"/>
              <w:rPr>
                <w:sz w:val="20"/>
                <w:szCs w:val="20"/>
                <w:color w:val="auto"/>
              </w:rPr>
            </w:pPr>
            <w:r>
              <w:rPr>
                <w:rFonts w:ascii="Times New Roman" w:cs="Times New Roman" w:eastAsia="Times New Roman" w:hAnsi="Times New Roman"/>
                <w:sz w:val="18"/>
                <w:szCs w:val="18"/>
                <w:color w:val="auto"/>
                <w:w w:val="99"/>
              </w:rPr>
              <w:t>1/2/2025</w:t>
            </w:r>
          </w:p>
        </w:tc>
        <w:tc>
          <w:tcPr>
            <w:tcW w:w="220" w:type="dxa"/>
            <w:vAlign w:val="bottom"/>
            <w:shd w:val="clear" w:color="auto" w:fill="CCEEFF"/>
          </w:tcPr>
          <w:p>
            <w:pPr>
              <w:spacing w:after="0"/>
              <w:rPr>
                <w:sz w:val="18"/>
                <w:szCs w:val="18"/>
                <w:color w:val="auto"/>
              </w:rPr>
            </w:pPr>
          </w:p>
        </w:tc>
        <w:tc>
          <w:tcPr>
            <w:tcW w:w="3600" w:type="dxa"/>
            <w:vAlign w:val="bottom"/>
            <w:tcBorders>
              <w:bottom w:val="single" w:sz="8" w:color="CCEEFF"/>
            </w:tcBorders>
            <w:shd w:val="clear" w:color="auto" w:fill="CCEEFF"/>
          </w:tcPr>
          <w:p>
            <w:pPr>
              <w:jc w:val="center"/>
              <w:ind w:right="10"/>
              <w:spacing w:after="0"/>
              <w:rPr>
                <w:sz w:val="20"/>
                <w:szCs w:val="20"/>
                <w:color w:val="auto"/>
              </w:rPr>
            </w:pPr>
            <w:r>
              <w:rPr>
                <w:rFonts w:ascii="Times New Roman" w:cs="Times New Roman" w:eastAsia="Times New Roman" w:hAnsi="Times New Roman"/>
                <w:sz w:val="18"/>
                <w:szCs w:val="18"/>
                <w:color w:val="auto"/>
                <w:w w:val="98"/>
              </w:rPr>
              <w:t>1,400.00</w:t>
            </w:r>
          </w:p>
        </w:tc>
        <w:tc>
          <w:tcPr>
            <w:tcW w:w="200" w:type="dxa"/>
            <w:vAlign w:val="bottom"/>
            <w:shd w:val="clear" w:color="auto" w:fill="CCEEFF"/>
          </w:tcPr>
          <w:p>
            <w:pPr>
              <w:spacing w:after="0"/>
              <w:rPr>
                <w:sz w:val="18"/>
                <w:szCs w:val="18"/>
                <w:color w:val="auto"/>
              </w:rPr>
            </w:pPr>
          </w:p>
        </w:tc>
        <w:tc>
          <w:tcPr>
            <w:tcW w:w="36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22.51</w:t>
            </w:r>
          </w:p>
        </w:tc>
      </w:tr>
      <w:tr>
        <w:trPr>
          <w:trHeight w:val="196"/>
        </w:trPr>
        <w:tc>
          <w:tcPr>
            <w:tcW w:w="3620" w:type="dxa"/>
            <w:vAlign w:val="bottom"/>
          </w:tcPr>
          <w:p>
            <w:pPr>
              <w:jc w:val="center"/>
              <w:ind w:right="10"/>
              <w:spacing w:after="0" w:line="196" w:lineRule="exact"/>
              <w:rPr>
                <w:sz w:val="20"/>
                <w:szCs w:val="20"/>
                <w:color w:val="auto"/>
              </w:rPr>
            </w:pPr>
            <w:r>
              <w:rPr>
                <w:rFonts w:ascii="Times New Roman" w:cs="Times New Roman" w:eastAsia="Times New Roman" w:hAnsi="Times New Roman"/>
                <w:sz w:val="18"/>
                <w:szCs w:val="18"/>
                <w:color w:val="auto"/>
                <w:w w:val="99"/>
              </w:rPr>
              <w:t>1/3/2025</w:t>
            </w:r>
          </w:p>
        </w:tc>
        <w:tc>
          <w:tcPr>
            <w:tcW w:w="220" w:type="dxa"/>
            <w:vAlign w:val="bottom"/>
          </w:tcPr>
          <w:p>
            <w:pPr>
              <w:spacing w:after="0"/>
              <w:rPr>
                <w:sz w:val="17"/>
                <w:szCs w:val="17"/>
                <w:color w:val="auto"/>
              </w:rPr>
            </w:pPr>
          </w:p>
        </w:tc>
        <w:tc>
          <w:tcPr>
            <w:tcW w:w="3600" w:type="dxa"/>
            <w:vAlign w:val="bottom"/>
          </w:tcPr>
          <w:p>
            <w:pPr>
              <w:jc w:val="center"/>
              <w:ind w:right="10"/>
              <w:spacing w:after="0" w:line="196" w:lineRule="exact"/>
              <w:rPr>
                <w:sz w:val="20"/>
                <w:szCs w:val="20"/>
                <w:color w:val="auto"/>
              </w:rPr>
            </w:pPr>
            <w:r>
              <w:rPr>
                <w:rFonts w:ascii="Times New Roman" w:cs="Times New Roman" w:eastAsia="Times New Roman" w:hAnsi="Times New Roman"/>
                <w:sz w:val="18"/>
                <w:szCs w:val="18"/>
                <w:color w:val="auto"/>
                <w:w w:val="98"/>
              </w:rPr>
              <w:t>8,707.00</w:t>
            </w:r>
          </w:p>
        </w:tc>
        <w:tc>
          <w:tcPr>
            <w:tcW w:w="200" w:type="dxa"/>
            <w:vAlign w:val="bottom"/>
          </w:tcPr>
          <w:p>
            <w:pPr>
              <w:spacing w:after="0"/>
              <w:rPr>
                <w:sz w:val="17"/>
                <w:szCs w:val="17"/>
                <w:color w:val="auto"/>
              </w:rPr>
            </w:pPr>
          </w:p>
        </w:tc>
        <w:tc>
          <w:tcPr>
            <w:tcW w:w="36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8"/>
              </w:rPr>
              <w:t>22.90</w:t>
            </w:r>
          </w:p>
        </w:tc>
      </w:tr>
      <w:tr>
        <w:trPr>
          <w:trHeight w:val="216"/>
        </w:trPr>
        <w:tc>
          <w:tcPr>
            <w:tcW w:w="3620" w:type="dxa"/>
            <w:vAlign w:val="bottom"/>
            <w:tcBorders>
              <w:bottom w:val="single" w:sz="8" w:color="CCEEFF"/>
            </w:tcBorders>
            <w:shd w:val="clear" w:color="auto" w:fill="CCEEFF"/>
          </w:tcPr>
          <w:p>
            <w:pPr>
              <w:jc w:val="center"/>
              <w:ind w:right="10"/>
              <w:spacing w:after="0"/>
              <w:rPr>
                <w:sz w:val="20"/>
                <w:szCs w:val="20"/>
                <w:color w:val="auto"/>
              </w:rPr>
            </w:pPr>
            <w:r>
              <w:rPr>
                <w:rFonts w:ascii="Times New Roman" w:cs="Times New Roman" w:eastAsia="Times New Roman" w:hAnsi="Times New Roman"/>
                <w:sz w:val="18"/>
                <w:szCs w:val="18"/>
                <w:color w:val="auto"/>
                <w:w w:val="99"/>
              </w:rPr>
              <w:t>1/6/2025</w:t>
            </w:r>
          </w:p>
        </w:tc>
        <w:tc>
          <w:tcPr>
            <w:tcW w:w="220" w:type="dxa"/>
            <w:vAlign w:val="bottom"/>
            <w:shd w:val="clear" w:color="auto" w:fill="CCEEFF"/>
          </w:tcPr>
          <w:p>
            <w:pPr>
              <w:spacing w:after="0"/>
              <w:rPr>
                <w:sz w:val="18"/>
                <w:szCs w:val="18"/>
                <w:color w:val="auto"/>
              </w:rPr>
            </w:pPr>
          </w:p>
        </w:tc>
        <w:tc>
          <w:tcPr>
            <w:tcW w:w="3600" w:type="dxa"/>
            <w:vAlign w:val="bottom"/>
            <w:tcBorders>
              <w:bottom w:val="single" w:sz="8" w:color="CCEEFF"/>
            </w:tcBorders>
            <w:shd w:val="clear" w:color="auto" w:fill="CCEEFF"/>
          </w:tcPr>
          <w:p>
            <w:pPr>
              <w:jc w:val="center"/>
              <w:ind w:right="30"/>
              <w:spacing w:after="0"/>
              <w:rPr>
                <w:sz w:val="20"/>
                <w:szCs w:val="20"/>
                <w:color w:val="auto"/>
              </w:rPr>
            </w:pPr>
            <w:r>
              <w:rPr>
                <w:rFonts w:ascii="Times New Roman" w:cs="Times New Roman" w:eastAsia="Times New Roman" w:hAnsi="Times New Roman"/>
                <w:sz w:val="18"/>
                <w:szCs w:val="18"/>
                <w:color w:val="auto"/>
                <w:w w:val="99"/>
              </w:rPr>
              <w:t>25,000.00</w:t>
            </w:r>
          </w:p>
        </w:tc>
        <w:tc>
          <w:tcPr>
            <w:tcW w:w="200" w:type="dxa"/>
            <w:vAlign w:val="bottom"/>
            <w:shd w:val="clear" w:color="auto" w:fill="CCEEFF"/>
          </w:tcPr>
          <w:p>
            <w:pPr>
              <w:spacing w:after="0"/>
              <w:rPr>
                <w:sz w:val="18"/>
                <w:szCs w:val="18"/>
                <w:color w:val="auto"/>
              </w:rPr>
            </w:pPr>
          </w:p>
        </w:tc>
        <w:tc>
          <w:tcPr>
            <w:tcW w:w="36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22.78</w:t>
            </w:r>
          </w:p>
        </w:tc>
      </w:tr>
      <w:tr>
        <w:trPr>
          <w:trHeight w:val="196"/>
        </w:trPr>
        <w:tc>
          <w:tcPr>
            <w:tcW w:w="3620" w:type="dxa"/>
            <w:vAlign w:val="bottom"/>
          </w:tcPr>
          <w:p>
            <w:pPr>
              <w:jc w:val="center"/>
              <w:ind w:right="10"/>
              <w:spacing w:after="0" w:line="196" w:lineRule="exact"/>
              <w:rPr>
                <w:sz w:val="20"/>
                <w:szCs w:val="20"/>
                <w:color w:val="auto"/>
              </w:rPr>
            </w:pPr>
            <w:r>
              <w:rPr>
                <w:rFonts w:ascii="Times New Roman" w:cs="Times New Roman" w:eastAsia="Times New Roman" w:hAnsi="Times New Roman"/>
                <w:sz w:val="18"/>
                <w:szCs w:val="18"/>
                <w:color w:val="auto"/>
                <w:w w:val="99"/>
              </w:rPr>
              <w:t>1/7/2025</w:t>
            </w:r>
          </w:p>
        </w:tc>
        <w:tc>
          <w:tcPr>
            <w:tcW w:w="220" w:type="dxa"/>
            <w:vAlign w:val="bottom"/>
          </w:tcPr>
          <w:p>
            <w:pPr>
              <w:spacing w:after="0"/>
              <w:rPr>
                <w:sz w:val="17"/>
                <w:szCs w:val="17"/>
                <w:color w:val="auto"/>
              </w:rPr>
            </w:pPr>
          </w:p>
        </w:tc>
        <w:tc>
          <w:tcPr>
            <w:tcW w:w="3600" w:type="dxa"/>
            <w:vAlign w:val="bottom"/>
          </w:tcPr>
          <w:p>
            <w:pPr>
              <w:jc w:val="center"/>
              <w:ind w:right="10"/>
              <w:spacing w:after="0" w:line="196" w:lineRule="exact"/>
              <w:rPr>
                <w:sz w:val="20"/>
                <w:szCs w:val="20"/>
                <w:color w:val="auto"/>
              </w:rPr>
            </w:pPr>
            <w:r>
              <w:rPr>
                <w:rFonts w:ascii="Times New Roman" w:cs="Times New Roman" w:eastAsia="Times New Roman" w:hAnsi="Times New Roman"/>
                <w:sz w:val="18"/>
                <w:szCs w:val="18"/>
                <w:color w:val="auto"/>
                <w:w w:val="98"/>
              </w:rPr>
              <w:t>8,697.00</w:t>
            </w:r>
          </w:p>
        </w:tc>
        <w:tc>
          <w:tcPr>
            <w:tcW w:w="200" w:type="dxa"/>
            <w:vAlign w:val="bottom"/>
          </w:tcPr>
          <w:p>
            <w:pPr>
              <w:spacing w:after="0"/>
              <w:rPr>
                <w:sz w:val="17"/>
                <w:szCs w:val="17"/>
                <w:color w:val="auto"/>
              </w:rPr>
            </w:pPr>
          </w:p>
        </w:tc>
        <w:tc>
          <w:tcPr>
            <w:tcW w:w="36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8"/>
              </w:rPr>
              <w:t>22.84</w:t>
            </w:r>
          </w:p>
        </w:tc>
      </w:tr>
      <w:tr>
        <w:trPr>
          <w:trHeight w:val="216"/>
        </w:trPr>
        <w:tc>
          <w:tcPr>
            <w:tcW w:w="3620" w:type="dxa"/>
            <w:vAlign w:val="bottom"/>
            <w:tcBorders>
              <w:bottom w:val="single" w:sz="8" w:color="CCEEFF"/>
            </w:tcBorders>
            <w:shd w:val="clear" w:color="auto" w:fill="CCEEFF"/>
          </w:tcPr>
          <w:p>
            <w:pPr>
              <w:jc w:val="center"/>
              <w:ind w:right="10"/>
              <w:spacing w:after="0"/>
              <w:rPr>
                <w:sz w:val="20"/>
                <w:szCs w:val="20"/>
                <w:color w:val="auto"/>
              </w:rPr>
            </w:pPr>
            <w:r>
              <w:rPr>
                <w:rFonts w:ascii="Times New Roman" w:cs="Times New Roman" w:eastAsia="Times New Roman" w:hAnsi="Times New Roman"/>
                <w:sz w:val="18"/>
                <w:szCs w:val="18"/>
                <w:color w:val="auto"/>
                <w:w w:val="99"/>
              </w:rPr>
              <w:t>1/8/2025</w:t>
            </w:r>
          </w:p>
        </w:tc>
        <w:tc>
          <w:tcPr>
            <w:tcW w:w="220" w:type="dxa"/>
            <w:vAlign w:val="bottom"/>
            <w:shd w:val="clear" w:color="auto" w:fill="CCEEFF"/>
          </w:tcPr>
          <w:p>
            <w:pPr>
              <w:spacing w:after="0"/>
              <w:rPr>
                <w:sz w:val="18"/>
                <w:szCs w:val="18"/>
                <w:color w:val="auto"/>
              </w:rPr>
            </w:pPr>
          </w:p>
        </w:tc>
        <w:tc>
          <w:tcPr>
            <w:tcW w:w="3600" w:type="dxa"/>
            <w:vAlign w:val="bottom"/>
            <w:tcBorders>
              <w:bottom w:val="single" w:sz="8" w:color="CCEEFF"/>
            </w:tcBorders>
            <w:shd w:val="clear" w:color="auto" w:fill="CCEEFF"/>
          </w:tcPr>
          <w:p>
            <w:pPr>
              <w:jc w:val="center"/>
              <w:ind w:right="10"/>
              <w:spacing w:after="0"/>
              <w:rPr>
                <w:sz w:val="20"/>
                <w:szCs w:val="20"/>
                <w:color w:val="auto"/>
              </w:rPr>
            </w:pPr>
            <w:r>
              <w:rPr>
                <w:rFonts w:ascii="Times New Roman" w:cs="Times New Roman" w:eastAsia="Times New Roman" w:hAnsi="Times New Roman"/>
                <w:sz w:val="18"/>
                <w:szCs w:val="18"/>
                <w:color w:val="auto"/>
                <w:w w:val="96"/>
              </w:rPr>
              <w:t>371</w:t>
            </w:r>
          </w:p>
        </w:tc>
        <w:tc>
          <w:tcPr>
            <w:tcW w:w="200" w:type="dxa"/>
            <w:vAlign w:val="bottom"/>
            <w:shd w:val="clear" w:color="auto" w:fill="CCEEFF"/>
          </w:tcPr>
          <w:p>
            <w:pPr>
              <w:spacing w:after="0"/>
              <w:rPr>
                <w:sz w:val="18"/>
                <w:szCs w:val="18"/>
                <w:color w:val="auto"/>
              </w:rPr>
            </w:pPr>
          </w:p>
        </w:tc>
        <w:tc>
          <w:tcPr>
            <w:tcW w:w="36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22.98</w:t>
            </w:r>
          </w:p>
        </w:tc>
      </w:tr>
      <w:tr>
        <w:trPr>
          <w:trHeight w:val="196"/>
        </w:trPr>
        <w:tc>
          <w:tcPr>
            <w:tcW w:w="3620" w:type="dxa"/>
            <w:vAlign w:val="bottom"/>
          </w:tcPr>
          <w:p>
            <w:pPr>
              <w:jc w:val="center"/>
              <w:ind w:right="10"/>
              <w:spacing w:after="0" w:line="196" w:lineRule="exact"/>
              <w:rPr>
                <w:sz w:val="20"/>
                <w:szCs w:val="20"/>
                <w:color w:val="auto"/>
              </w:rPr>
            </w:pPr>
            <w:r>
              <w:rPr>
                <w:rFonts w:ascii="Times New Roman" w:cs="Times New Roman" w:eastAsia="Times New Roman" w:hAnsi="Times New Roman"/>
                <w:sz w:val="18"/>
                <w:szCs w:val="18"/>
                <w:color w:val="auto"/>
                <w:w w:val="98"/>
              </w:rPr>
              <w:t>1/13/2025</w:t>
            </w:r>
          </w:p>
        </w:tc>
        <w:tc>
          <w:tcPr>
            <w:tcW w:w="220" w:type="dxa"/>
            <w:vAlign w:val="bottom"/>
          </w:tcPr>
          <w:p>
            <w:pPr>
              <w:spacing w:after="0"/>
              <w:rPr>
                <w:sz w:val="17"/>
                <w:szCs w:val="17"/>
                <w:color w:val="auto"/>
              </w:rPr>
            </w:pPr>
          </w:p>
        </w:tc>
        <w:tc>
          <w:tcPr>
            <w:tcW w:w="3600" w:type="dxa"/>
            <w:vAlign w:val="bottom"/>
          </w:tcPr>
          <w:p>
            <w:pPr>
              <w:jc w:val="center"/>
              <w:ind w:right="10"/>
              <w:spacing w:after="0" w:line="196" w:lineRule="exact"/>
              <w:rPr>
                <w:sz w:val="20"/>
                <w:szCs w:val="20"/>
                <w:color w:val="auto"/>
              </w:rPr>
            </w:pPr>
            <w:r>
              <w:rPr>
                <w:rFonts w:ascii="Times New Roman" w:cs="Times New Roman" w:eastAsia="Times New Roman" w:hAnsi="Times New Roman"/>
                <w:sz w:val="18"/>
                <w:szCs w:val="18"/>
                <w:color w:val="auto"/>
                <w:w w:val="98"/>
              </w:rPr>
              <w:t>1,000.00</w:t>
            </w:r>
          </w:p>
        </w:tc>
        <w:tc>
          <w:tcPr>
            <w:tcW w:w="200" w:type="dxa"/>
            <w:vAlign w:val="bottom"/>
          </w:tcPr>
          <w:p>
            <w:pPr>
              <w:spacing w:after="0"/>
              <w:rPr>
                <w:sz w:val="17"/>
                <w:szCs w:val="17"/>
                <w:color w:val="auto"/>
              </w:rPr>
            </w:pPr>
          </w:p>
        </w:tc>
        <w:tc>
          <w:tcPr>
            <w:tcW w:w="36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8"/>
              </w:rPr>
              <w:t>23.88</w:t>
            </w:r>
          </w:p>
        </w:tc>
      </w:tr>
      <w:tr>
        <w:trPr>
          <w:trHeight w:val="216"/>
        </w:trPr>
        <w:tc>
          <w:tcPr>
            <w:tcW w:w="3620" w:type="dxa"/>
            <w:vAlign w:val="bottom"/>
            <w:tcBorders>
              <w:bottom w:val="single" w:sz="8" w:color="CCEEFF"/>
            </w:tcBorders>
            <w:shd w:val="clear" w:color="auto" w:fill="CCEEFF"/>
          </w:tcPr>
          <w:p>
            <w:pPr>
              <w:jc w:val="center"/>
              <w:ind w:right="10"/>
              <w:spacing w:after="0"/>
              <w:rPr>
                <w:sz w:val="20"/>
                <w:szCs w:val="20"/>
                <w:color w:val="auto"/>
              </w:rPr>
            </w:pPr>
            <w:r>
              <w:rPr>
                <w:rFonts w:ascii="Times New Roman" w:cs="Times New Roman" w:eastAsia="Times New Roman" w:hAnsi="Times New Roman"/>
                <w:sz w:val="18"/>
                <w:szCs w:val="18"/>
                <w:color w:val="auto"/>
                <w:w w:val="98"/>
              </w:rPr>
              <w:t>1/13/2025</w:t>
            </w:r>
          </w:p>
        </w:tc>
        <w:tc>
          <w:tcPr>
            <w:tcW w:w="220" w:type="dxa"/>
            <w:vAlign w:val="bottom"/>
            <w:shd w:val="clear" w:color="auto" w:fill="CCEEFF"/>
          </w:tcPr>
          <w:p>
            <w:pPr>
              <w:spacing w:after="0"/>
              <w:rPr>
                <w:sz w:val="18"/>
                <w:szCs w:val="18"/>
                <w:color w:val="auto"/>
              </w:rPr>
            </w:pPr>
          </w:p>
        </w:tc>
        <w:tc>
          <w:tcPr>
            <w:tcW w:w="3600" w:type="dxa"/>
            <w:vAlign w:val="bottom"/>
            <w:tcBorders>
              <w:bottom w:val="single" w:sz="8" w:color="CCEEFF"/>
            </w:tcBorders>
            <w:shd w:val="clear" w:color="auto" w:fill="CCEEFF"/>
          </w:tcPr>
          <w:p>
            <w:pPr>
              <w:jc w:val="center"/>
              <w:ind w:right="10"/>
              <w:spacing w:after="0"/>
              <w:rPr>
                <w:sz w:val="20"/>
                <w:szCs w:val="20"/>
                <w:color w:val="auto"/>
              </w:rPr>
            </w:pPr>
            <w:r>
              <w:rPr>
                <w:rFonts w:ascii="Times New Roman" w:cs="Times New Roman" w:eastAsia="Times New Roman" w:hAnsi="Times New Roman"/>
                <w:sz w:val="18"/>
                <w:szCs w:val="18"/>
                <w:color w:val="auto"/>
                <w:w w:val="98"/>
              </w:rPr>
              <w:t>1,000.00</w:t>
            </w:r>
          </w:p>
        </w:tc>
        <w:tc>
          <w:tcPr>
            <w:tcW w:w="200" w:type="dxa"/>
            <w:vAlign w:val="bottom"/>
            <w:shd w:val="clear" w:color="auto" w:fill="CCEEFF"/>
          </w:tcPr>
          <w:p>
            <w:pPr>
              <w:spacing w:after="0"/>
              <w:rPr>
                <w:sz w:val="18"/>
                <w:szCs w:val="18"/>
                <w:color w:val="auto"/>
              </w:rPr>
            </w:pPr>
          </w:p>
        </w:tc>
        <w:tc>
          <w:tcPr>
            <w:tcW w:w="36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23.93</w:t>
            </w:r>
          </w:p>
        </w:tc>
      </w:tr>
      <w:tr>
        <w:trPr>
          <w:trHeight w:val="196"/>
        </w:trPr>
        <w:tc>
          <w:tcPr>
            <w:tcW w:w="3620" w:type="dxa"/>
            <w:vAlign w:val="bottom"/>
          </w:tcPr>
          <w:p>
            <w:pPr>
              <w:jc w:val="center"/>
              <w:ind w:right="10"/>
              <w:spacing w:after="0" w:line="196" w:lineRule="exact"/>
              <w:rPr>
                <w:sz w:val="20"/>
                <w:szCs w:val="20"/>
                <w:color w:val="auto"/>
              </w:rPr>
            </w:pPr>
            <w:r>
              <w:rPr>
                <w:rFonts w:ascii="Times New Roman" w:cs="Times New Roman" w:eastAsia="Times New Roman" w:hAnsi="Times New Roman"/>
                <w:sz w:val="18"/>
                <w:szCs w:val="18"/>
                <w:color w:val="auto"/>
                <w:w w:val="98"/>
              </w:rPr>
              <w:t>1/14/2025</w:t>
            </w:r>
          </w:p>
        </w:tc>
        <w:tc>
          <w:tcPr>
            <w:tcW w:w="220" w:type="dxa"/>
            <w:vAlign w:val="bottom"/>
          </w:tcPr>
          <w:p>
            <w:pPr>
              <w:spacing w:after="0"/>
              <w:rPr>
                <w:sz w:val="17"/>
                <w:szCs w:val="17"/>
                <w:color w:val="auto"/>
              </w:rPr>
            </w:pPr>
          </w:p>
        </w:tc>
        <w:tc>
          <w:tcPr>
            <w:tcW w:w="3600" w:type="dxa"/>
            <w:vAlign w:val="bottom"/>
          </w:tcPr>
          <w:p>
            <w:pPr>
              <w:jc w:val="center"/>
              <w:ind w:right="10"/>
              <w:spacing w:after="0" w:line="196" w:lineRule="exact"/>
              <w:rPr>
                <w:sz w:val="20"/>
                <w:szCs w:val="20"/>
                <w:color w:val="auto"/>
              </w:rPr>
            </w:pPr>
            <w:r>
              <w:rPr>
                <w:rFonts w:ascii="Times New Roman" w:cs="Times New Roman" w:eastAsia="Times New Roman" w:hAnsi="Times New Roman"/>
                <w:sz w:val="18"/>
                <w:szCs w:val="18"/>
                <w:color w:val="auto"/>
                <w:w w:val="98"/>
              </w:rPr>
              <w:t>5,000.00</w:t>
            </w:r>
          </w:p>
        </w:tc>
        <w:tc>
          <w:tcPr>
            <w:tcW w:w="200" w:type="dxa"/>
            <w:vAlign w:val="bottom"/>
          </w:tcPr>
          <w:p>
            <w:pPr>
              <w:spacing w:after="0"/>
              <w:rPr>
                <w:sz w:val="17"/>
                <w:szCs w:val="17"/>
                <w:color w:val="auto"/>
              </w:rPr>
            </w:pPr>
          </w:p>
        </w:tc>
        <w:tc>
          <w:tcPr>
            <w:tcW w:w="36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8"/>
              </w:rPr>
              <w:t>23.70</w:t>
            </w:r>
          </w:p>
        </w:tc>
      </w:tr>
      <w:tr>
        <w:trPr>
          <w:trHeight w:val="216"/>
        </w:trPr>
        <w:tc>
          <w:tcPr>
            <w:tcW w:w="3620" w:type="dxa"/>
            <w:vAlign w:val="bottom"/>
            <w:tcBorders>
              <w:bottom w:val="single" w:sz="8" w:color="CCEEFF"/>
            </w:tcBorders>
            <w:shd w:val="clear" w:color="auto" w:fill="CCEEFF"/>
          </w:tcPr>
          <w:p>
            <w:pPr>
              <w:jc w:val="center"/>
              <w:ind w:right="10"/>
              <w:spacing w:after="0"/>
              <w:rPr>
                <w:sz w:val="20"/>
                <w:szCs w:val="20"/>
                <w:color w:val="auto"/>
              </w:rPr>
            </w:pPr>
            <w:r>
              <w:rPr>
                <w:rFonts w:ascii="Times New Roman" w:cs="Times New Roman" w:eastAsia="Times New Roman" w:hAnsi="Times New Roman"/>
                <w:sz w:val="18"/>
                <w:szCs w:val="18"/>
                <w:color w:val="auto"/>
                <w:w w:val="98"/>
              </w:rPr>
              <w:t>1/15/2025</w:t>
            </w:r>
          </w:p>
        </w:tc>
        <w:tc>
          <w:tcPr>
            <w:tcW w:w="220" w:type="dxa"/>
            <w:vAlign w:val="bottom"/>
            <w:shd w:val="clear" w:color="auto" w:fill="CCEEFF"/>
          </w:tcPr>
          <w:p>
            <w:pPr>
              <w:spacing w:after="0"/>
              <w:rPr>
                <w:sz w:val="18"/>
                <w:szCs w:val="18"/>
                <w:color w:val="auto"/>
              </w:rPr>
            </w:pPr>
          </w:p>
        </w:tc>
        <w:tc>
          <w:tcPr>
            <w:tcW w:w="3600" w:type="dxa"/>
            <w:vAlign w:val="bottom"/>
            <w:tcBorders>
              <w:bottom w:val="single" w:sz="8" w:color="CCEEFF"/>
            </w:tcBorders>
            <w:shd w:val="clear" w:color="auto" w:fill="CCEEFF"/>
          </w:tcPr>
          <w:p>
            <w:pPr>
              <w:jc w:val="center"/>
              <w:ind w:right="10"/>
              <w:spacing w:after="0"/>
              <w:rPr>
                <w:sz w:val="20"/>
                <w:szCs w:val="20"/>
                <w:color w:val="auto"/>
              </w:rPr>
            </w:pPr>
            <w:r>
              <w:rPr>
                <w:rFonts w:ascii="Times New Roman" w:cs="Times New Roman" w:eastAsia="Times New Roman" w:hAnsi="Times New Roman"/>
                <w:sz w:val="18"/>
                <w:szCs w:val="18"/>
                <w:color w:val="auto"/>
                <w:w w:val="98"/>
              </w:rPr>
              <w:t>1,103.00</w:t>
            </w:r>
          </w:p>
        </w:tc>
        <w:tc>
          <w:tcPr>
            <w:tcW w:w="200" w:type="dxa"/>
            <w:vAlign w:val="bottom"/>
            <w:shd w:val="clear" w:color="auto" w:fill="CCEEFF"/>
          </w:tcPr>
          <w:p>
            <w:pPr>
              <w:spacing w:after="0"/>
              <w:rPr>
                <w:sz w:val="18"/>
                <w:szCs w:val="18"/>
                <w:color w:val="auto"/>
              </w:rPr>
            </w:pPr>
          </w:p>
        </w:tc>
        <w:tc>
          <w:tcPr>
            <w:tcW w:w="36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23.85</w:t>
            </w:r>
          </w:p>
        </w:tc>
      </w:tr>
      <w:tr>
        <w:trPr>
          <w:trHeight w:val="196"/>
        </w:trPr>
        <w:tc>
          <w:tcPr>
            <w:tcW w:w="3620" w:type="dxa"/>
            <w:vAlign w:val="bottom"/>
          </w:tcPr>
          <w:p>
            <w:pPr>
              <w:jc w:val="center"/>
              <w:ind w:right="10"/>
              <w:spacing w:after="0" w:line="196" w:lineRule="exact"/>
              <w:rPr>
                <w:sz w:val="20"/>
                <w:szCs w:val="20"/>
                <w:color w:val="auto"/>
              </w:rPr>
            </w:pPr>
            <w:r>
              <w:rPr>
                <w:rFonts w:ascii="Times New Roman" w:cs="Times New Roman" w:eastAsia="Times New Roman" w:hAnsi="Times New Roman"/>
                <w:sz w:val="18"/>
                <w:szCs w:val="18"/>
                <w:color w:val="auto"/>
                <w:w w:val="98"/>
              </w:rPr>
              <w:t>1/16/2025</w:t>
            </w:r>
          </w:p>
        </w:tc>
        <w:tc>
          <w:tcPr>
            <w:tcW w:w="220" w:type="dxa"/>
            <w:vAlign w:val="bottom"/>
          </w:tcPr>
          <w:p>
            <w:pPr>
              <w:spacing w:after="0"/>
              <w:rPr>
                <w:sz w:val="17"/>
                <w:szCs w:val="17"/>
                <w:color w:val="auto"/>
              </w:rPr>
            </w:pPr>
          </w:p>
        </w:tc>
        <w:tc>
          <w:tcPr>
            <w:tcW w:w="3600" w:type="dxa"/>
            <w:vAlign w:val="bottom"/>
          </w:tcPr>
          <w:p>
            <w:pPr>
              <w:jc w:val="center"/>
              <w:ind w:right="10"/>
              <w:spacing w:after="0" w:line="196" w:lineRule="exact"/>
              <w:rPr>
                <w:sz w:val="20"/>
                <w:szCs w:val="20"/>
                <w:color w:val="auto"/>
              </w:rPr>
            </w:pPr>
            <w:r>
              <w:rPr>
                <w:rFonts w:ascii="Times New Roman" w:cs="Times New Roman" w:eastAsia="Times New Roman" w:hAnsi="Times New Roman"/>
                <w:sz w:val="18"/>
                <w:szCs w:val="18"/>
                <w:color w:val="auto"/>
                <w:w w:val="96"/>
              </w:rPr>
              <w:t>697</w:t>
            </w:r>
          </w:p>
        </w:tc>
        <w:tc>
          <w:tcPr>
            <w:tcW w:w="200" w:type="dxa"/>
            <w:vAlign w:val="bottom"/>
          </w:tcPr>
          <w:p>
            <w:pPr>
              <w:spacing w:after="0"/>
              <w:rPr>
                <w:sz w:val="17"/>
                <w:szCs w:val="17"/>
                <w:color w:val="auto"/>
              </w:rPr>
            </w:pPr>
          </w:p>
        </w:tc>
        <w:tc>
          <w:tcPr>
            <w:tcW w:w="36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8"/>
              </w:rPr>
              <w:t>23.91</w:t>
            </w:r>
          </w:p>
        </w:tc>
      </w:tr>
      <w:tr>
        <w:trPr>
          <w:trHeight w:val="216"/>
        </w:trPr>
        <w:tc>
          <w:tcPr>
            <w:tcW w:w="3620" w:type="dxa"/>
            <w:vAlign w:val="bottom"/>
            <w:tcBorders>
              <w:bottom w:val="single" w:sz="8" w:color="CCEEFF"/>
            </w:tcBorders>
            <w:shd w:val="clear" w:color="auto" w:fill="CCEEFF"/>
          </w:tcPr>
          <w:p>
            <w:pPr>
              <w:jc w:val="center"/>
              <w:ind w:right="10"/>
              <w:spacing w:after="0"/>
              <w:rPr>
                <w:sz w:val="20"/>
                <w:szCs w:val="20"/>
                <w:color w:val="auto"/>
              </w:rPr>
            </w:pPr>
            <w:r>
              <w:rPr>
                <w:rFonts w:ascii="Times New Roman" w:cs="Times New Roman" w:eastAsia="Times New Roman" w:hAnsi="Times New Roman"/>
                <w:sz w:val="18"/>
                <w:szCs w:val="18"/>
                <w:color w:val="auto"/>
                <w:w w:val="98"/>
              </w:rPr>
              <w:t>1/17/2025</w:t>
            </w:r>
          </w:p>
        </w:tc>
        <w:tc>
          <w:tcPr>
            <w:tcW w:w="220" w:type="dxa"/>
            <w:vAlign w:val="bottom"/>
            <w:shd w:val="clear" w:color="auto" w:fill="CCEEFF"/>
          </w:tcPr>
          <w:p>
            <w:pPr>
              <w:spacing w:after="0"/>
              <w:rPr>
                <w:sz w:val="18"/>
                <w:szCs w:val="18"/>
                <w:color w:val="auto"/>
              </w:rPr>
            </w:pPr>
          </w:p>
        </w:tc>
        <w:tc>
          <w:tcPr>
            <w:tcW w:w="3600" w:type="dxa"/>
            <w:vAlign w:val="bottom"/>
            <w:tcBorders>
              <w:bottom w:val="single" w:sz="8" w:color="CCEEFF"/>
            </w:tcBorders>
            <w:shd w:val="clear" w:color="auto" w:fill="CCEEFF"/>
          </w:tcPr>
          <w:p>
            <w:pPr>
              <w:jc w:val="center"/>
              <w:ind w:right="10"/>
              <w:spacing w:after="0"/>
              <w:rPr>
                <w:sz w:val="20"/>
                <w:szCs w:val="20"/>
                <w:color w:val="auto"/>
              </w:rPr>
            </w:pPr>
            <w:r>
              <w:rPr>
                <w:rFonts w:ascii="Times New Roman" w:cs="Times New Roman" w:eastAsia="Times New Roman" w:hAnsi="Times New Roman"/>
                <w:sz w:val="18"/>
                <w:szCs w:val="18"/>
                <w:color w:val="auto"/>
                <w:w w:val="98"/>
              </w:rPr>
              <w:t>3,200.00</w:t>
            </w:r>
          </w:p>
        </w:tc>
        <w:tc>
          <w:tcPr>
            <w:tcW w:w="200" w:type="dxa"/>
            <w:vAlign w:val="bottom"/>
            <w:shd w:val="clear" w:color="auto" w:fill="CCEEFF"/>
          </w:tcPr>
          <w:p>
            <w:pPr>
              <w:spacing w:after="0"/>
              <w:rPr>
                <w:sz w:val="18"/>
                <w:szCs w:val="18"/>
                <w:color w:val="auto"/>
              </w:rPr>
            </w:pPr>
          </w:p>
        </w:tc>
        <w:tc>
          <w:tcPr>
            <w:tcW w:w="36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23.90</w:t>
            </w:r>
          </w:p>
        </w:tc>
      </w:tr>
      <w:tr>
        <w:trPr>
          <w:trHeight w:val="196"/>
        </w:trPr>
        <w:tc>
          <w:tcPr>
            <w:tcW w:w="3620" w:type="dxa"/>
            <w:vAlign w:val="bottom"/>
          </w:tcPr>
          <w:p>
            <w:pPr>
              <w:jc w:val="center"/>
              <w:ind w:right="10"/>
              <w:spacing w:after="0" w:line="196" w:lineRule="exact"/>
              <w:rPr>
                <w:sz w:val="20"/>
                <w:szCs w:val="20"/>
                <w:color w:val="auto"/>
              </w:rPr>
            </w:pPr>
            <w:r>
              <w:rPr>
                <w:rFonts w:ascii="Times New Roman" w:cs="Times New Roman" w:eastAsia="Times New Roman" w:hAnsi="Times New Roman"/>
                <w:sz w:val="18"/>
                <w:szCs w:val="18"/>
                <w:color w:val="auto"/>
                <w:w w:val="98"/>
              </w:rPr>
              <w:t>1/17/2025</w:t>
            </w:r>
          </w:p>
        </w:tc>
        <w:tc>
          <w:tcPr>
            <w:tcW w:w="220" w:type="dxa"/>
            <w:vAlign w:val="bottom"/>
          </w:tcPr>
          <w:p>
            <w:pPr>
              <w:spacing w:after="0"/>
              <w:rPr>
                <w:sz w:val="17"/>
                <w:szCs w:val="17"/>
                <w:color w:val="auto"/>
              </w:rPr>
            </w:pPr>
          </w:p>
        </w:tc>
        <w:tc>
          <w:tcPr>
            <w:tcW w:w="3600" w:type="dxa"/>
            <w:vAlign w:val="bottom"/>
          </w:tcPr>
          <w:p>
            <w:pPr>
              <w:jc w:val="center"/>
              <w:ind w:right="10"/>
              <w:spacing w:after="0" w:line="196" w:lineRule="exact"/>
              <w:rPr>
                <w:sz w:val="20"/>
                <w:szCs w:val="20"/>
                <w:color w:val="auto"/>
              </w:rPr>
            </w:pPr>
            <w:r>
              <w:rPr>
                <w:rFonts w:ascii="Times New Roman" w:cs="Times New Roman" w:eastAsia="Times New Roman" w:hAnsi="Times New Roman"/>
                <w:sz w:val="18"/>
                <w:szCs w:val="18"/>
                <w:color w:val="auto"/>
                <w:w w:val="98"/>
              </w:rPr>
              <w:t>5,000.00</w:t>
            </w:r>
          </w:p>
        </w:tc>
        <w:tc>
          <w:tcPr>
            <w:tcW w:w="200" w:type="dxa"/>
            <w:vAlign w:val="bottom"/>
          </w:tcPr>
          <w:p>
            <w:pPr>
              <w:spacing w:after="0"/>
              <w:rPr>
                <w:sz w:val="17"/>
                <w:szCs w:val="17"/>
                <w:color w:val="auto"/>
              </w:rPr>
            </w:pPr>
          </w:p>
        </w:tc>
        <w:tc>
          <w:tcPr>
            <w:tcW w:w="36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8"/>
              </w:rPr>
              <w:t>23.78</w:t>
            </w:r>
          </w:p>
        </w:tc>
      </w:tr>
      <w:tr>
        <w:trPr>
          <w:trHeight w:val="216"/>
        </w:trPr>
        <w:tc>
          <w:tcPr>
            <w:tcW w:w="3620" w:type="dxa"/>
            <w:vAlign w:val="bottom"/>
            <w:tcBorders>
              <w:bottom w:val="single" w:sz="8" w:color="CCEEFF"/>
            </w:tcBorders>
            <w:shd w:val="clear" w:color="auto" w:fill="CCEEFF"/>
          </w:tcPr>
          <w:p>
            <w:pPr>
              <w:jc w:val="center"/>
              <w:ind w:right="10"/>
              <w:spacing w:after="0"/>
              <w:rPr>
                <w:sz w:val="20"/>
                <w:szCs w:val="20"/>
                <w:color w:val="auto"/>
              </w:rPr>
            </w:pPr>
            <w:r>
              <w:rPr>
                <w:rFonts w:ascii="Times New Roman" w:cs="Times New Roman" w:eastAsia="Times New Roman" w:hAnsi="Times New Roman"/>
                <w:sz w:val="18"/>
                <w:szCs w:val="18"/>
                <w:color w:val="auto"/>
                <w:w w:val="98"/>
              </w:rPr>
              <w:t>1/22/2025</w:t>
            </w:r>
          </w:p>
        </w:tc>
        <w:tc>
          <w:tcPr>
            <w:tcW w:w="220" w:type="dxa"/>
            <w:vAlign w:val="bottom"/>
            <w:shd w:val="clear" w:color="auto" w:fill="CCEEFF"/>
          </w:tcPr>
          <w:p>
            <w:pPr>
              <w:spacing w:after="0"/>
              <w:rPr>
                <w:sz w:val="18"/>
                <w:szCs w:val="18"/>
                <w:color w:val="auto"/>
              </w:rPr>
            </w:pPr>
          </w:p>
        </w:tc>
        <w:tc>
          <w:tcPr>
            <w:tcW w:w="3600" w:type="dxa"/>
            <w:vAlign w:val="bottom"/>
            <w:tcBorders>
              <w:bottom w:val="single" w:sz="8" w:color="CCEEFF"/>
            </w:tcBorders>
            <w:shd w:val="clear" w:color="auto" w:fill="CCEEFF"/>
          </w:tcPr>
          <w:p>
            <w:pPr>
              <w:jc w:val="center"/>
              <w:ind w:right="10"/>
              <w:spacing w:after="0"/>
              <w:rPr>
                <w:sz w:val="20"/>
                <w:szCs w:val="20"/>
                <w:color w:val="auto"/>
              </w:rPr>
            </w:pPr>
            <w:r>
              <w:rPr>
                <w:rFonts w:ascii="Times New Roman" w:cs="Times New Roman" w:eastAsia="Times New Roman" w:hAnsi="Times New Roman"/>
                <w:sz w:val="18"/>
                <w:szCs w:val="18"/>
                <w:color w:val="auto"/>
                <w:w w:val="98"/>
              </w:rPr>
              <w:t>2,000.00</w:t>
            </w:r>
          </w:p>
        </w:tc>
        <w:tc>
          <w:tcPr>
            <w:tcW w:w="200" w:type="dxa"/>
            <w:vAlign w:val="bottom"/>
            <w:shd w:val="clear" w:color="auto" w:fill="CCEEFF"/>
          </w:tcPr>
          <w:p>
            <w:pPr>
              <w:spacing w:after="0"/>
              <w:rPr>
                <w:sz w:val="18"/>
                <w:szCs w:val="18"/>
                <w:color w:val="auto"/>
              </w:rPr>
            </w:pPr>
          </w:p>
        </w:tc>
        <w:tc>
          <w:tcPr>
            <w:tcW w:w="36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24.56</w:t>
            </w:r>
          </w:p>
        </w:tc>
      </w:tr>
      <w:tr>
        <w:trPr>
          <w:trHeight w:val="196"/>
        </w:trPr>
        <w:tc>
          <w:tcPr>
            <w:tcW w:w="3620" w:type="dxa"/>
            <w:vAlign w:val="bottom"/>
          </w:tcPr>
          <w:p>
            <w:pPr>
              <w:jc w:val="center"/>
              <w:ind w:right="10"/>
              <w:spacing w:after="0" w:line="196" w:lineRule="exact"/>
              <w:rPr>
                <w:sz w:val="20"/>
                <w:szCs w:val="20"/>
                <w:color w:val="auto"/>
              </w:rPr>
            </w:pPr>
            <w:r>
              <w:rPr>
                <w:rFonts w:ascii="Times New Roman" w:cs="Times New Roman" w:eastAsia="Times New Roman" w:hAnsi="Times New Roman"/>
                <w:sz w:val="18"/>
                <w:szCs w:val="18"/>
                <w:color w:val="auto"/>
                <w:w w:val="98"/>
              </w:rPr>
              <w:t>1/23/2025</w:t>
            </w:r>
          </w:p>
        </w:tc>
        <w:tc>
          <w:tcPr>
            <w:tcW w:w="220" w:type="dxa"/>
            <w:vAlign w:val="bottom"/>
          </w:tcPr>
          <w:p>
            <w:pPr>
              <w:spacing w:after="0"/>
              <w:rPr>
                <w:sz w:val="17"/>
                <w:szCs w:val="17"/>
                <w:color w:val="auto"/>
              </w:rPr>
            </w:pPr>
          </w:p>
        </w:tc>
        <w:tc>
          <w:tcPr>
            <w:tcW w:w="3600" w:type="dxa"/>
            <w:vAlign w:val="bottom"/>
          </w:tcPr>
          <w:p>
            <w:pPr>
              <w:jc w:val="center"/>
              <w:ind w:right="10"/>
              <w:spacing w:after="0" w:line="196" w:lineRule="exact"/>
              <w:rPr>
                <w:sz w:val="20"/>
                <w:szCs w:val="20"/>
                <w:color w:val="auto"/>
              </w:rPr>
            </w:pPr>
            <w:r>
              <w:rPr>
                <w:rFonts w:ascii="Times New Roman" w:cs="Times New Roman" w:eastAsia="Times New Roman" w:hAnsi="Times New Roman"/>
                <w:sz w:val="18"/>
                <w:szCs w:val="18"/>
                <w:color w:val="auto"/>
                <w:w w:val="98"/>
              </w:rPr>
              <w:t>2,000.00</w:t>
            </w:r>
          </w:p>
        </w:tc>
        <w:tc>
          <w:tcPr>
            <w:tcW w:w="200" w:type="dxa"/>
            <w:vAlign w:val="bottom"/>
          </w:tcPr>
          <w:p>
            <w:pPr>
              <w:spacing w:after="0"/>
              <w:rPr>
                <w:sz w:val="17"/>
                <w:szCs w:val="17"/>
                <w:color w:val="auto"/>
              </w:rPr>
            </w:pPr>
          </w:p>
        </w:tc>
        <w:tc>
          <w:tcPr>
            <w:tcW w:w="36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8"/>
              </w:rPr>
              <w:t>24.25</w:t>
            </w:r>
          </w:p>
        </w:tc>
      </w:tr>
      <w:tr>
        <w:trPr>
          <w:trHeight w:val="216"/>
        </w:trPr>
        <w:tc>
          <w:tcPr>
            <w:tcW w:w="3620" w:type="dxa"/>
            <w:vAlign w:val="bottom"/>
            <w:tcBorders>
              <w:bottom w:val="single" w:sz="8" w:color="CCEEFF"/>
            </w:tcBorders>
            <w:shd w:val="clear" w:color="auto" w:fill="CCEEFF"/>
          </w:tcPr>
          <w:p>
            <w:pPr>
              <w:jc w:val="center"/>
              <w:ind w:right="10"/>
              <w:spacing w:after="0"/>
              <w:rPr>
                <w:sz w:val="20"/>
                <w:szCs w:val="20"/>
                <w:color w:val="auto"/>
              </w:rPr>
            </w:pPr>
            <w:r>
              <w:rPr>
                <w:rFonts w:ascii="Times New Roman" w:cs="Times New Roman" w:eastAsia="Times New Roman" w:hAnsi="Times New Roman"/>
                <w:sz w:val="18"/>
                <w:szCs w:val="18"/>
                <w:color w:val="auto"/>
                <w:w w:val="98"/>
              </w:rPr>
              <w:t>1/23/2025</w:t>
            </w:r>
          </w:p>
        </w:tc>
        <w:tc>
          <w:tcPr>
            <w:tcW w:w="220" w:type="dxa"/>
            <w:vAlign w:val="bottom"/>
            <w:shd w:val="clear" w:color="auto" w:fill="CCEEFF"/>
          </w:tcPr>
          <w:p>
            <w:pPr>
              <w:spacing w:after="0"/>
              <w:rPr>
                <w:sz w:val="18"/>
                <w:szCs w:val="18"/>
                <w:color w:val="auto"/>
              </w:rPr>
            </w:pPr>
          </w:p>
        </w:tc>
        <w:tc>
          <w:tcPr>
            <w:tcW w:w="3600" w:type="dxa"/>
            <w:vAlign w:val="bottom"/>
            <w:tcBorders>
              <w:bottom w:val="single" w:sz="8" w:color="CCEEFF"/>
            </w:tcBorders>
            <w:shd w:val="clear" w:color="auto" w:fill="CCEEFF"/>
          </w:tcPr>
          <w:p>
            <w:pPr>
              <w:jc w:val="center"/>
              <w:ind w:right="10"/>
              <w:spacing w:after="0"/>
              <w:rPr>
                <w:sz w:val="20"/>
                <w:szCs w:val="20"/>
                <w:color w:val="auto"/>
              </w:rPr>
            </w:pPr>
            <w:r>
              <w:rPr>
                <w:rFonts w:ascii="Times New Roman" w:cs="Times New Roman" w:eastAsia="Times New Roman" w:hAnsi="Times New Roman"/>
                <w:sz w:val="18"/>
                <w:szCs w:val="18"/>
                <w:color w:val="auto"/>
                <w:w w:val="98"/>
              </w:rPr>
              <w:t>3,000.00</w:t>
            </w:r>
          </w:p>
        </w:tc>
        <w:tc>
          <w:tcPr>
            <w:tcW w:w="200" w:type="dxa"/>
            <w:vAlign w:val="bottom"/>
            <w:shd w:val="clear" w:color="auto" w:fill="CCEEFF"/>
          </w:tcPr>
          <w:p>
            <w:pPr>
              <w:spacing w:after="0"/>
              <w:rPr>
                <w:sz w:val="18"/>
                <w:szCs w:val="18"/>
                <w:color w:val="auto"/>
              </w:rPr>
            </w:pPr>
          </w:p>
        </w:tc>
        <w:tc>
          <w:tcPr>
            <w:tcW w:w="36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24.32</w:t>
            </w:r>
          </w:p>
        </w:tc>
      </w:tr>
      <w:tr>
        <w:trPr>
          <w:trHeight w:val="196"/>
        </w:trPr>
        <w:tc>
          <w:tcPr>
            <w:tcW w:w="3620" w:type="dxa"/>
            <w:vAlign w:val="bottom"/>
          </w:tcPr>
          <w:p>
            <w:pPr>
              <w:jc w:val="center"/>
              <w:ind w:right="10"/>
              <w:spacing w:after="0" w:line="196" w:lineRule="exact"/>
              <w:rPr>
                <w:sz w:val="20"/>
                <w:szCs w:val="20"/>
                <w:color w:val="auto"/>
              </w:rPr>
            </w:pPr>
            <w:r>
              <w:rPr>
                <w:rFonts w:ascii="Times New Roman" w:cs="Times New Roman" w:eastAsia="Times New Roman" w:hAnsi="Times New Roman"/>
                <w:sz w:val="18"/>
                <w:szCs w:val="18"/>
                <w:color w:val="auto"/>
                <w:w w:val="98"/>
              </w:rPr>
              <w:t>1/24/2025</w:t>
            </w:r>
          </w:p>
        </w:tc>
        <w:tc>
          <w:tcPr>
            <w:tcW w:w="220" w:type="dxa"/>
            <w:vAlign w:val="bottom"/>
          </w:tcPr>
          <w:p>
            <w:pPr>
              <w:spacing w:after="0"/>
              <w:rPr>
                <w:sz w:val="17"/>
                <w:szCs w:val="17"/>
                <w:color w:val="auto"/>
              </w:rPr>
            </w:pPr>
          </w:p>
        </w:tc>
        <w:tc>
          <w:tcPr>
            <w:tcW w:w="3600" w:type="dxa"/>
            <w:vAlign w:val="bottom"/>
          </w:tcPr>
          <w:p>
            <w:pPr>
              <w:jc w:val="center"/>
              <w:ind w:right="10"/>
              <w:spacing w:after="0" w:line="196" w:lineRule="exact"/>
              <w:rPr>
                <w:sz w:val="20"/>
                <w:szCs w:val="20"/>
                <w:color w:val="auto"/>
              </w:rPr>
            </w:pPr>
            <w:r>
              <w:rPr>
                <w:rFonts w:ascii="Times New Roman" w:cs="Times New Roman" w:eastAsia="Times New Roman" w:hAnsi="Times New Roman"/>
                <w:sz w:val="18"/>
                <w:szCs w:val="18"/>
                <w:color w:val="auto"/>
                <w:w w:val="96"/>
              </w:rPr>
              <w:t>763</w:t>
            </w:r>
          </w:p>
        </w:tc>
        <w:tc>
          <w:tcPr>
            <w:tcW w:w="200" w:type="dxa"/>
            <w:vAlign w:val="bottom"/>
          </w:tcPr>
          <w:p>
            <w:pPr>
              <w:spacing w:after="0"/>
              <w:rPr>
                <w:sz w:val="17"/>
                <w:szCs w:val="17"/>
                <w:color w:val="auto"/>
              </w:rPr>
            </w:pPr>
          </w:p>
        </w:tc>
        <w:tc>
          <w:tcPr>
            <w:tcW w:w="36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8"/>
              </w:rPr>
              <w:t>24.31</w:t>
            </w:r>
          </w:p>
        </w:tc>
      </w:tr>
      <w:tr>
        <w:trPr>
          <w:trHeight w:val="216"/>
        </w:trPr>
        <w:tc>
          <w:tcPr>
            <w:tcW w:w="3620" w:type="dxa"/>
            <w:vAlign w:val="bottom"/>
            <w:tcBorders>
              <w:bottom w:val="single" w:sz="8" w:color="CCEEFF"/>
            </w:tcBorders>
            <w:shd w:val="clear" w:color="auto" w:fill="CCEEFF"/>
          </w:tcPr>
          <w:p>
            <w:pPr>
              <w:jc w:val="center"/>
              <w:ind w:right="10"/>
              <w:spacing w:after="0"/>
              <w:rPr>
                <w:sz w:val="20"/>
                <w:szCs w:val="20"/>
                <w:color w:val="auto"/>
              </w:rPr>
            </w:pPr>
            <w:r>
              <w:rPr>
                <w:rFonts w:ascii="Times New Roman" w:cs="Times New Roman" w:eastAsia="Times New Roman" w:hAnsi="Times New Roman"/>
                <w:sz w:val="18"/>
                <w:szCs w:val="18"/>
                <w:color w:val="auto"/>
                <w:w w:val="98"/>
              </w:rPr>
              <w:t>1/27/2025</w:t>
            </w:r>
          </w:p>
        </w:tc>
        <w:tc>
          <w:tcPr>
            <w:tcW w:w="220" w:type="dxa"/>
            <w:vAlign w:val="bottom"/>
            <w:shd w:val="clear" w:color="auto" w:fill="CCEEFF"/>
          </w:tcPr>
          <w:p>
            <w:pPr>
              <w:spacing w:after="0"/>
              <w:rPr>
                <w:sz w:val="18"/>
                <w:szCs w:val="18"/>
                <w:color w:val="auto"/>
              </w:rPr>
            </w:pPr>
          </w:p>
        </w:tc>
        <w:tc>
          <w:tcPr>
            <w:tcW w:w="3600" w:type="dxa"/>
            <w:vAlign w:val="bottom"/>
            <w:tcBorders>
              <w:bottom w:val="single" w:sz="8" w:color="CCEEFF"/>
            </w:tcBorders>
            <w:shd w:val="clear" w:color="auto" w:fill="CCEEFF"/>
          </w:tcPr>
          <w:p>
            <w:pPr>
              <w:jc w:val="center"/>
              <w:ind w:right="10"/>
              <w:spacing w:after="0"/>
              <w:rPr>
                <w:sz w:val="20"/>
                <w:szCs w:val="20"/>
                <w:color w:val="auto"/>
              </w:rPr>
            </w:pPr>
            <w:r>
              <w:rPr>
                <w:rFonts w:ascii="Times New Roman" w:cs="Times New Roman" w:eastAsia="Times New Roman" w:hAnsi="Times New Roman"/>
                <w:sz w:val="18"/>
                <w:szCs w:val="18"/>
                <w:color w:val="auto"/>
                <w:w w:val="96"/>
              </w:rPr>
              <w:t>100</w:t>
            </w:r>
          </w:p>
        </w:tc>
        <w:tc>
          <w:tcPr>
            <w:tcW w:w="200" w:type="dxa"/>
            <w:vAlign w:val="bottom"/>
            <w:shd w:val="clear" w:color="auto" w:fill="CCEEFF"/>
          </w:tcPr>
          <w:p>
            <w:pPr>
              <w:spacing w:after="0"/>
              <w:rPr>
                <w:sz w:val="18"/>
                <w:szCs w:val="18"/>
                <w:color w:val="auto"/>
              </w:rPr>
            </w:pPr>
          </w:p>
        </w:tc>
        <w:tc>
          <w:tcPr>
            <w:tcW w:w="36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24.31</w:t>
            </w:r>
          </w:p>
        </w:tc>
      </w:tr>
      <w:tr>
        <w:trPr>
          <w:trHeight w:val="196"/>
        </w:trPr>
        <w:tc>
          <w:tcPr>
            <w:tcW w:w="3620" w:type="dxa"/>
            <w:vAlign w:val="bottom"/>
          </w:tcPr>
          <w:p>
            <w:pPr>
              <w:jc w:val="center"/>
              <w:ind w:right="10"/>
              <w:spacing w:after="0" w:line="196" w:lineRule="exact"/>
              <w:rPr>
                <w:sz w:val="20"/>
                <w:szCs w:val="20"/>
                <w:color w:val="auto"/>
              </w:rPr>
            </w:pPr>
            <w:r>
              <w:rPr>
                <w:rFonts w:ascii="Times New Roman" w:cs="Times New Roman" w:eastAsia="Times New Roman" w:hAnsi="Times New Roman"/>
                <w:sz w:val="18"/>
                <w:szCs w:val="18"/>
                <w:color w:val="auto"/>
                <w:w w:val="98"/>
              </w:rPr>
              <w:t>1/27/2025</w:t>
            </w:r>
          </w:p>
        </w:tc>
        <w:tc>
          <w:tcPr>
            <w:tcW w:w="220" w:type="dxa"/>
            <w:vAlign w:val="bottom"/>
          </w:tcPr>
          <w:p>
            <w:pPr>
              <w:spacing w:after="0"/>
              <w:rPr>
                <w:sz w:val="17"/>
                <w:szCs w:val="17"/>
                <w:color w:val="auto"/>
              </w:rPr>
            </w:pPr>
          </w:p>
        </w:tc>
        <w:tc>
          <w:tcPr>
            <w:tcW w:w="3600" w:type="dxa"/>
            <w:vAlign w:val="bottom"/>
          </w:tcPr>
          <w:p>
            <w:pPr>
              <w:jc w:val="center"/>
              <w:ind w:right="10"/>
              <w:spacing w:after="0" w:line="196" w:lineRule="exact"/>
              <w:rPr>
                <w:sz w:val="20"/>
                <w:szCs w:val="20"/>
                <w:color w:val="auto"/>
              </w:rPr>
            </w:pPr>
            <w:r>
              <w:rPr>
                <w:rFonts w:ascii="Times New Roman" w:cs="Times New Roman" w:eastAsia="Times New Roman" w:hAnsi="Times New Roman"/>
                <w:sz w:val="18"/>
                <w:szCs w:val="18"/>
                <w:color w:val="auto"/>
                <w:w w:val="98"/>
              </w:rPr>
              <w:t>4,237.00</w:t>
            </w:r>
          </w:p>
        </w:tc>
        <w:tc>
          <w:tcPr>
            <w:tcW w:w="200" w:type="dxa"/>
            <w:vAlign w:val="bottom"/>
          </w:tcPr>
          <w:p>
            <w:pPr>
              <w:spacing w:after="0"/>
              <w:rPr>
                <w:sz w:val="17"/>
                <w:szCs w:val="17"/>
                <w:color w:val="auto"/>
              </w:rPr>
            </w:pPr>
          </w:p>
        </w:tc>
        <w:tc>
          <w:tcPr>
            <w:tcW w:w="36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8"/>
              </w:rPr>
              <w:t>24.30</w:t>
            </w:r>
          </w:p>
        </w:tc>
      </w:tr>
      <w:tr>
        <w:trPr>
          <w:trHeight w:val="216"/>
        </w:trPr>
        <w:tc>
          <w:tcPr>
            <w:tcW w:w="3620" w:type="dxa"/>
            <w:vAlign w:val="bottom"/>
            <w:tcBorders>
              <w:bottom w:val="single" w:sz="8" w:color="CCEEFF"/>
            </w:tcBorders>
            <w:shd w:val="clear" w:color="auto" w:fill="CCEEFF"/>
          </w:tcPr>
          <w:p>
            <w:pPr>
              <w:jc w:val="center"/>
              <w:ind w:right="10"/>
              <w:spacing w:after="0"/>
              <w:rPr>
                <w:sz w:val="20"/>
                <w:szCs w:val="20"/>
                <w:color w:val="auto"/>
              </w:rPr>
            </w:pPr>
            <w:r>
              <w:rPr>
                <w:rFonts w:ascii="Times New Roman" w:cs="Times New Roman" w:eastAsia="Times New Roman" w:hAnsi="Times New Roman"/>
                <w:sz w:val="18"/>
                <w:szCs w:val="18"/>
                <w:color w:val="auto"/>
                <w:w w:val="98"/>
              </w:rPr>
              <w:t>1/28/2025</w:t>
            </w:r>
          </w:p>
        </w:tc>
        <w:tc>
          <w:tcPr>
            <w:tcW w:w="220" w:type="dxa"/>
            <w:vAlign w:val="bottom"/>
            <w:shd w:val="clear" w:color="auto" w:fill="CCEEFF"/>
          </w:tcPr>
          <w:p>
            <w:pPr>
              <w:spacing w:after="0"/>
              <w:rPr>
                <w:sz w:val="18"/>
                <w:szCs w:val="18"/>
                <w:color w:val="auto"/>
              </w:rPr>
            </w:pPr>
          </w:p>
        </w:tc>
        <w:tc>
          <w:tcPr>
            <w:tcW w:w="3600" w:type="dxa"/>
            <w:vAlign w:val="bottom"/>
            <w:tcBorders>
              <w:bottom w:val="single" w:sz="8" w:color="CCEEFF"/>
            </w:tcBorders>
            <w:shd w:val="clear" w:color="auto" w:fill="CCEEFF"/>
          </w:tcPr>
          <w:p>
            <w:pPr>
              <w:jc w:val="center"/>
              <w:ind w:right="10"/>
              <w:spacing w:after="0"/>
              <w:rPr>
                <w:sz w:val="20"/>
                <w:szCs w:val="20"/>
                <w:color w:val="auto"/>
              </w:rPr>
            </w:pPr>
            <w:r>
              <w:rPr>
                <w:rFonts w:ascii="Times New Roman" w:cs="Times New Roman" w:eastAsia="Times New Roman" w:hAnsi="Times New Roman"/>
                <w:sz w:val="18"/>
                <w:szCs w:val="18"/>
                <w:color w:val="auto"/>
                <w:w w:val="98"/>
              </w:rPr>
              <w:t>1,969.00</w:t>
            </w:r>
          </w:p>
        </w:tc>
        <w:tc>
          <w:tcPr>
            <w:tcW w:w="200" w:type="dxa"/>
            <w:vAlign w:val="bottom"/>
            <w:shd w:val="clear" w:color="auto" w:fill="CCEEFF"/>
          </w:tcPr>
          <w:p>
            <w:pPr>
              <w:spacing w:after="0"/>
              <w:rPr>
                <w:sz w:val="18"/>
                <w:szCs w:val="18"/>
                <w:color w:val="auto"/>
              </w:rPr>
            </w:pPr>
          </w:p>
        </w:tc>
        <w:tc>
          <w:tcPr>
            <w:tcW w:w="36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23.71</w:t>
            </w:r>
          </w:p>
        </w:tc>
      </w:tr>
      <w:tr>
        <w:trPr>
          <w:trHeight w:val="196"/>
        </w:trPr>
        <w:tc>
          <w:tcPr>
            <w:tcW w:w="3620" w:type="dxa"/>
            <w:vAlign w:val="bottom"/>
          </w:tcPr>
          <w:p>
            <w:pPr>
              <w:jc w:val="center"/>
              <w:ind w:right="10"/>
              <w:spacing w:after="0" w:line="196" w:lineRule="exact"/>
              <w:rPr>
                <w:sz w:val="20"/>
                <w:szCs w:val="20"/>
                <w:color w:val="auto"/>
              </w:rPr>
            </w:pPr>
            <w:r>
              <w:rPr>
                <w:rFonts w:ascii="Times New Roman" w:cs="Times New Roman" w:eastAsia="Times New Roman" w:hAnsi="Times New Roman"/>
                <w:sz w:val="18"/>
                <w:szCs w:val="18"/>
                <w:color w:val="auto"/>
                <w:w w:val="98"/>
              </w:rPr>
              <w:t>1/28/2025</w:t>
            </w:r>
          </w:p>
        </w:tc>
        <w:tc>
          <w:tcPr>
            <w:tcW w:w="220" w:type="dxa"/>
            <w:vAlign w:val="bottom"/>
          </w:tcPr>
          <w:p>
            <w:pPr>
              <w:spacing w:after="0"/>
              <w:rPr>
                <w:sz w:val="17"/>
                <w:szCs w:val="17"/>
                <w:color w:val="auto"/>
              </w:rPr>
            </w:pPr>
          </w:p>
        </w:tc>
        <w:tc>
          <w:tcPr>
            <w:tcW w:w="3600" w:type="dxa"/>
            <w:vAlign w:val="bottom"/>
          </w:tcPr>
          <w:p>
            <w:pPr>
              <w:jc w:val="center"/>
              <w:ind w:right="10"/>
              <w:spacing w:after="0" w:line="196" w:lineRule="exact"/>
              <w:rPr>
                <w:sz w:val="20"/>
                <w:szCs w:val="20"/>
                <w:color w:val="auto"/>
              </w:rPr>
            </w:pPr>
            <w:r>
              <w:rPr>
                <w:rFonts w:ascii="Times New Roman" w:cs="Times New Roman" w:eastAsia="Times New Roman" w:hAnsi="Times New Roman"/>
                <w:sz w:val="18"/>
                <w:szCs w:val="18"/>
                <w:color w:val="auto"/>
                <w:w w:val="98"/>
              </w:rPr>
              <w:t>5,000.00</w:t>
            </w:r>
          </w:p>
        </w:tc>
        <w:tc>
          <w:tcPr>
            <w:tcW w:w="200" w:type="dxa"/>
            <w:vAlign w:val="bottom"/>
          </w:tcPr>
          <w:p>
            <w:pPr>
              <w:spacing w:after="0"/>
              <w:rPr>
                <w:sz w:val="17"/>
                <w:szCs w:val="17"/>
                <w:color w:val="auto"/>
              </w:rPr>
            </w:pPr>
          </w:p>
        </w:tc>
        <w:tc>
          <w:tcPr>
            <w:tcW w:w="36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8"/>
              </w:rPr>
              <w:t>23.73</w:t>
            </w:r>
          </w:p>
        </w:tc>
      </w:tr>
      <w:tr>
        <w:trPr>
          <w:trHeight w:val="216"/>
        </w:trPr>
        <w:tc>
          <w:tcPr>
            <w:tcW w:w="3620" w:type="dxa"/>
            <w:vAlign w:val="bottom"/>
            <w:tcBorders>
              <w:bottom w:val="single" w:sz="8" w:color="CCEEFF"/>
            </w:tcBorders>
            <w:shd w:val="clear" w:color="auto" w:fill="CCEEFF"/>
          </w:tcPr>
          <w:p>
            <w:pPr>
              <w:jc w:val="center"/>
              <w:ind w:right="10"/>
              <w:spacing w:after="0"/>
              <w:rPr>
                <w:sz w:val="20"/>
                <w:szCs w:val="20"/>
                <w:color w:val="auto"/>
              </w:rPr>
            </w:pPr>
            <w:r>
              <w:rPr>
                <w:rFonts w:ascii="Times New Roman" w:cs="Times New Roman" w:eastAsia="Times New Roman" w:hAnsi="Times New Roman"/>
                <w:sz w:val="18"/>
                <w:szCs w:val="18"/>
                <w:color w:val="auto"/>
                <w:w w:val="98"/>
              </w:rPr>
              <w:t>1/28/2025</w:t>
            </w:r>
          </w:p>
        </w:tc>
        <w:tc>
          <w:tcPr>
            <w:tcW w:w="220" w:type="dxa"/>
            <w:vAlign w:val="bottom"/>
            <w:shd w:val="clear" w:color="auto" w:fill="CCEEFF"/>
          </w:tcPr>
          <w:p>
            <w:pPr>
              <w:spacing w:after="0"/>
              <w:rPr>
                <w:sz w:val="18"/>
                <w:szCs w:val="18"/>
                <w:color w:val="auto"/>
              </w:rPr>
            </w:pPr>
          </w:p>
        </w:tc>
        <w:tc>
          <w:tcPr>
            <w:tcW w:w="3600" w:type="dxa"/>
            <w:vAlign w:val="bottom"/>
            <w:tcBorders>
              <w:bottom w:val="single" w:sz="8" w:color="CCEEFF"/>
            </w:tcBorders>
            <w:shd w:val="clear" w:color="auto" w:fill="CCEEFF"/>
          </w:tcPr>
          <w:p>
            <w:pPr>
              <w:jc w:val="center"/>
              <w:ind w:right="10"/>
              <w:spacing w:after="0"/>
              <w:rPr>
                <w:sz w:val="20"/>
                <w:szCs w:val="20"/>
                <w:color w:val="auto"/>
              </w:rPr>
            </w:pPr>
            <w:r>
              <w:rPr>
                <w:rFonts w:ascii="Times New Roman" w:cs="Times New Roman" w:eastAsia="Times New Roman" w:hAnsi="Times New Roman"/>
                <w:sz w:val="18"/>
                <w:szCs w:val="18"/>
                <w:color w:val="auto"/>
                <w:w w:val="98"/>
              </w:rPr>
              <w:t>5,000.00</w:t>
            </w:r>
          </w:p>
        </w:tc>
        <w:tc>
          <w:tcPr>
            <w:tcW w:w="200" w:type="dxa"/>
            <w:vAlign w:val="bottom"/>
            <w:shd w:val="clear" w:color="auto" w:fill="CCEEFF"/>
          </w:tcPr>
          <w:p>
            <w:pPr>
              <w:spacing w:after="0"/>
              <w:rPr>
                <w:sz w:val="18"/>
                <w:szCs w:val="18"/>
                <w:color w:val="auto"/>
              </w:rPr>
            </w:pPr>
          </w:p>
        </w:tc>
        <w:tc>
          <w:tcPr>
            <w:tcW w:w="36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23.98</w:t>
            </w:r>
          </w:p>
        </w:tc>
      </w:tr>
      <w:tr>
        <w:trPr>
          <w:trHeight w:val="196"/>
        </w:trPr>
        <w:tc>
          <w:tcPr>
            <w:tcW w:w="3620" w:type="dxa"/>
            <w:vAlign w:val="bottom"/>
          </w:tcPr>
          <w:p>
            <w:pPr>
              <w:jc w:val="center"/>
              <w:ind w:right="10"/>
              <w:spacing w:after="0" w:line="196" w:lineRule="exact"/>
              <w:rPr>
                <w:sz w:val="20"/>
                <w:szCs w:val="20"/>
                <w:color w:val="auto"/>
              </w:rPr>
            </w:pPr>
            <w:r>
              <w:rPr>
                <w:rFonts w:ascii="Times New Roman" w:cs="Times New Roman" w:eastAsia="Times New Roman" w:hAnsi="Times New Roman"/>
                <w:sz w:val="18"/>
                <w:szCs w:val="18"/>
                <w:color w:val="auto"/>
                <w:w w:val="98"/>
              </w:rPr>
              <w:t>1/28/2025</w:t>
            </w:r>
          </w:p>
        </w:tc>
        <w:tc>
          <w:tcPr>
            <w:tcW w:w="220" w:type="dxa"/>
            <w:vAlign w:val="bottom"/>
          </w:tcPr>
          <w:p>
            <w:pPr>
              <w:spacing w:after="0"/>
              <w:rPr>
                <w:sz w:val="17"/>
                <w:szCs w:val="17"/>
                <w:color w:val="auto"/>
              </w:rPr>
            </w:pPr>
          </w:p>
        </w:tc>
        <w:tc>
          <w:tcPr>
            <w:tcW w:w="3600" w:type="dxa"/>
            <w:vAlign w:val="bottom"/>
          </w:tcPr>
          <w:p>
            <w:pPr>
              <w:jc w:val="center"/>
              <w:ind w:right="10"/>
              <w:spacing w:after="0" w:line="196" w:lineRule="exact"/>
              <w:rPr>
                <w:sz w:val="20"/>
                <w:szCs w:val="20"/>
                <w:color w:val="auto"/>
              </w:rPr>
            </w:pPr>
            <w:r>
              <w:rPr>
                <w:rFonts w:ascii="Times New Roman" w:cs="Times New Roman" w:eastAsia="Times New Roman" w:hAnsi="Times New Roman"/>
                <w:sz w:val="18"/>
                <w:szCs w:val="18"/>
                <w:color w:val="auto"/>
                <w:w w:val="98"/>
              </w:rPr>
              <w:t>5,000.00</w:t>
            </w:r>
          </w:p>
        </w:tc>
        <w:tc>
          <w:tcPr>
            <w:tcW w:w="200" w:type="dxa"/>
            <w:vAlign w:val="bottom"/>
          </w:tcPr>
          <w:p>
            <w:pPr>
              <w:spacing w:after="0"/>
              <w:rPr>
                <w:sz w:val="17"/>
                <w:szCs w:val="17"/>
                <w:color w:val="auto"/>
              </w:rPr>
            </w:pPr>
          </w:p>
        </w:tc>
        <w:tc>
          <w:tcPr>
            <w:tcW w:w="36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8"/>
              </w:rPr>
              <w:t>24.01</w:t>
            </w:r>
          </w:p>
        </w:tc>
      </w:tr>
      <w:tr>
        <w:trPr>
          <w:trHeight w:val="216"/>
        </w:trPr>
        <w:tc>
          <w:tcPr>
            <w:tcW w:w="3620" w:type="dxa"/>
            <w:vAlign w:val="bottom"/>
            <w:tcBorders>
              <w:bottom w:val="single" w:sz="8" w:color="CCEEFF"/>
            </w:tcBorders>
            <w:shd w:val="clear" w:color="auto" w:fill="CCEEFF"/>
          </w:tcPr>
          <w:p>
            <w:pPr>
              <w:jc w:val="center"/>
              <w:ind w:right="10"/>
              <w:spacing w:after="0"/>
              <w:rPr>
                <w:sz w:val="20"/>
                <w:szCs w:val="20"/>
                <w:color w:val="auto"/>
              </w:rPr>
            </w:pPr>
            <w:r>
              <w:rPr>
                <w:rFonts w:ascii="Times New Roman" w:cs="Times New Roman" w:eastAsia="Times New Roman" w:hAnsi="Times New Roman"/>
                <w:sz w:val="18"/>
                <w:szCs w:val="18"/>
                <w:color w:val="auto"/>
                <w:w w:val="98"/>
              </w:rPr>
              <w:t>1/29/2025</w:t>
            </w:r>
          </w:p>
        </w:tc>
        <w:tc>
          <w:tcPr>
            <w:tcW w:w="220" w:type="dxa"/>
            <w:vAlign w:val="bottom"/>
            <w:shd w:val="clear" w:color="auto" w:fill="CCEEFF"/>
          </w:tcPr>
          <w:p>
            <w:pPr>
              <w:spacing w:after="0"/>
              <w:rPr>
                <w:sz w:val="18"/>
                <w:szCs w:val="18"/>
                <w:color w:val="auto"/>
              </w:rPr>
            </w:pPr>
          </w:p>
        </w:tc>
        <w:tc>
          <w:tcPr>
            <w:tcW w:w="3600" w:type="dxa"/>
            <w:vAlign w:val="bottom"/>
            <w:tcBorders>
              <w:bottom w:val="single" w:sz="8" w:color="CCEEFF"/>
            </w:tcBorders>
            <w:shd w:val="clear" w:color="auto" w:fill="CCEEFF"/>
          </w:tcPr>
          <w:p>
            <w:pPr>
              <w:jc w:val="center"/>
              <w:ind w:right="30"/>
              <w:spacing w:after="0"/>
              <w:rPr>
                <w:sz w:val="20"/>
                <w:szCs w:val="20"/>
                <w:color w:val="auto"/>
              </w:rPr>
            </w:pPr>
            <w:r>
              <w:rPr>
                <w:rFonts w:ascii="Times New Roman" w:cs="Times New Roman" w:eastAsia="Times New Roman" w:hAnsi="Times New Roman"/>
                <w:sz w:val="18"/>
                <w:szCs w:val="18"/>
                <w:color w:val="auto"/>
                <w:w w:val="99"/>
              </w:rPr>
              <w:t>30,737.00</w:t>
            </w:r>
          </w:p>
        </w:tc>
        <w:tc>
          <w:tcPr>
            <w:tcW w:w="200" w:type="dxa"/>
            <w:vAlign w:val="bottom"/>
            <w:shd w:val="clear" w:color="auto" w:fill="CCEEFF"/>
          </w:tcPr>
          <w:p>
            <w:pPr>
              <w:spacing w:after="0"/>
              <w:rPr>
                <w:sz w:val="18"/>
                <w:szCs w:val="18"/>
                <w:color w:val="auto"/>
              </w:rPr>
            </w:pPr>
          </w:p>
        </w:tc>
        <w:tc>
          <w:tcPr>
            <w:tcW w:w="36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23.58</w:t>
            </w:r>
          </w:p>
        </w:tc>
      </w:tr>
      <w:tr>
        <w:trPr>
          <w:trHeight w:val="196"/>
        </w:trPr>
        <w:tc>
          <w:tcPr>
            <w:tcW w:w="3620" w:type="dxa"/>
            <w:vAlign w:val="bottom"/>
          </w:tcPr>
          <w:p>
            <w:pPr>
              <w:jc w:val="center"/>
              <w:ind w:right="10"/>
              <w:spacing w:after="0" w:line="196" w:lineRule="exact"/>
              <w:rPr>
                <w:sz w:val="20"/>
                <w:szCs w:val="20"/>
                <w:color w:val="auto"/>
              </w:rPr>
            </w:pPr>
            <w:r>
              <w:rPr>
                <w:rFonts w:ascii="Times New Roman" w:cs="Times New Roman" w:eastAsia="Times New Roman" w:hAnsi="Times New Roman"/>
                <w:sz w:val="18"/>
                <w:szCs w:val="18"/>
                <w:color w:val="auto"/>
                <w:w w:val="98"/>
              </w:rPr>
              <w:t>1/30/2025</w:t>
            </w:r>
          </w:p>
        </w:tc>
        <w:tc>
          <w:tcPr>
            <w:tcW w:w="220" w:type="dxa"/>
            <w:vAlign w:val="bottom"/>
          </w:tcPr>
          <w:p>
            <w:pPr>
              <w:spacing w:after="0"/>
              <w:rPr>
                <w:sz w:val="17"/>
                <w:szCs w:val="17"/>
                <w:color w:val="auto"/>
              </w:rPr>
            </w:pPr>
          </w:p>
        </w:tc>
        <w:tc>
          <w:tcPr>
            <w:tcW w:w="3600" w:type="dxa"/>
            <w:vAlign w:val="bottom"/>
          </w:tcPr>
          <w:p>
            <w:pPr>
              <w:jc w:val="center"/>
              <w:ind w:right="10"/>
              <w:spacing w:after="0" w:line="196" w:lineRule="exact"/>
              <w:rPr>
                <w:sz w:val="20"/>
                <w:szCs w:val="20"/>
                <w:color w:val="auto"/>
              </w:rPr>
            </w:pPr>
            <w:r>
              <w:rPr>
                <w:rFonts w:ascii="Times New Roman" w:cs="Times New Roman" w:eastAsia="Times New Roman" w:hAnsi="Times New Roman"/>
                <w:sz w:val="18"/>
                <w:szCs w:val="18"/>
                <w:color w:val="auto"/>
                <w:w w:val="96"/>
              </w:rPr>
              <w:t>744</w:t>
            </w:r>
          </w:p>
        </w:tc>
        <w:tc>
          <w:tcPr>
            <w:tcW w:w="200" w:type="dxa"/>
            <w:vAlign w:val="bottom"/>
          </w:tcPr>
          <w:p>
            <w:pPr>
              <w:spacing w:after="0"/>
              <w:rPr>
                <w:sz w:val="17"/>
                <w:szCs w:val="17"/>
                <w:color w:val="auto"/>
              </w:rPr>
            </w:pPr>
          </w:p>
        </w:tc>
        <w:tc>
          <w:tcPr>
            <w:tcW w:w="36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8"/>
              </w:rPr>
              <w:t>23.50</w:t>
            </w:r>
          </w:p>
        </w:tc>
      </w:tr>
      <w:tr>
        <w:trPr>
          <w:trHeight w:val="230"/>
        </w:trPr>
        <w:tc>
          <w:tcPr>
            <w:tcW w:w="3620" w:type="dxa"/>
            <w:vAlign w:val="bottom"/>
            <w:shd w:val="clear" w:color="auto" w:fill="CCEEFF"/>
          </w:tcPr>
          <w:p>
            <w:pPr>
              <w:jc w:val="center"/>
              <w:ind w:right="10"/>
              <w:spacing w:after="0"/>
              <w:rPr>
                <w:sz w:val="20"/>
                <w:szCs w:val="20"/>
                <w:color w:val="auto"/>
              </w:rPr>
            </w:pPr>
            <w:r>
              <w:rPr>
                <w:rFonts w:ascii="Times New Roman" w:cs="Times New Roman" w:eastAsia="Times New Roman" w:hAnsi="Times New Roman"/>
                <w:sz w:val="18"/>
                <w:szCs w:val="18"/>
                <w:color w:val="auto"/>
                <w:w w:val="98"/>
              </w:rPr>
              <w:t>1/31/2025</w:t>
            </w:r>
          </w:p>
        </w:tc>
        <w:tc>
          <w:tcPr>
            <w:tcW w:w="220" w:type="dxa"/>
            <w:vAlign w:val="bottom"/>
            <w:shd w:val="clear" w:color="auto" w:fill="CCEEFF"/>
          </w:tcPr>
          <w:p>
            <w:pPr>
              <w:spacing w:after="0"/>
              <w:rPr>
                <w:sz w:val="19"/>
                <w:szCs w:val="19"/>
                <w:color w:val="auto"/>
              </w:rPr>
            </w:pPr>
          </w:p>
        </w:tc>
        <w:tc>
          <w:tcPr>
            <w:tcW w:w="3600" w:type="dxa"/>
            <w:vAlign w:val="bottom"/>
            <w:shd w:val="clear" w:color="auto" w:fill="CCEEFF"/>
          </w:tcPr>
          <w:p>
            <w:pPr>
              <w:jc w:val="center"/>
              <w:ind w:right="10"/>
              <w:spacing w:after="0"/>
              <w:rPr>
                <w:sz w:val="20"/>
                <w:szCs w:val="20"/>
                <w:color w:val="auto"/>
              </w:rPr>
            </w:pPr>
            <w:r>
              <w:rPr>
                <w:rFonts w:ascii="Times New Roman" w:cs="Times New Roman" w:eastAsia="Times New Roman" w:hAnsi="Times New Roman"/>
                <w:sz w:val="18"/>
                <w:szCs w:val="18"/>
                <w:color w:val="auto"/>
              </w:rPr>
              <w:t>815,650.00</w:t>
            </w:r>
          </w:p>
        </w:tc>
        <w:tc>
          <w:tcPr>
            <w:tcW w:w="200" w:type="dxa"/>
            <w:vAlign w:val="bottom"/>
            <w:shd w:val="clear" w:color="auto" w:fill="CCEEFF"/>
          </w:tcPr>
          <w:p>
            <w:pPr>
              <w:spacing w:after="0"/>
              <w:rPr>
                <w:sz w:val="19"/>
                <w:szCs w:val="19"/>
                <w:color w:val="auto"/>
              </w:rPr>
            </w:pPr>
          </w:p>
        </w:tc>
        <w:tc>
          <w:tcPr>
            <w:tcW w:w="3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23.51</w:t>
            </w:r>
          </w:p>
        </w:tc>
      </w:tr>
      <w:tr>
        <w:trPr>
          <w:trHeight w:val="661"/>
        </w:trPr>
        <w:tc>
          <w:tcPr>
            <w:tcW w:w="36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6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60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240"/>
      </w:cols>
      <w:pgMar w:left="320" w:top="36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38E1F29"/>
    <w:multiLevelType w:val="hybridMultilevel"/>
    <w:lvl w:ilvl="0">
      <w:lvlJc w:val="left"/>
      <w:lvlText w:val="1"/>
      <w:numFmt w:val="bullet"/>
      <w:start w:val="1"/>
    </w:lvl>
  </w:abstractNum>
  <w:abstractNum w:abstractNumId="1">
    <w:nsid w:val="46E87CCD"/>
    <w:multiLevelType w:val="hybridMultilevel"/>
    <w:lvl w:ilvl="0">
      <w:lvlJc w:val="left"/>
      <w:lvlText w:val="2"/>
      <w:numFmt w:val="bullet"/>
      <w:start w:val="1"/>
    </w:lvl>
  </w:abstractNum>
  <w:abstractNum w:abstractNumId="2">
    <w:nsid w:val="3D1B58BA"/>
    <w:multiLevelType w:val="hybridMultilevel"/>
    <w:lvl w:ilvl="0">
      <w:lvlJc w:val="left"/>
      <w:lvlText w:val="3"/>
      <w:numFmt w:val="bullet"/>
      <w:start w:val="1"/>
    </w:lvl>
  </w:abstractNum>
  <w:abstractNum w:abstractNumId="3">
    <w:nsid w:val="507ED7AB"/>
    <w:multiLevelType w:val="hybridMultilevel"/>
    <w:lvl w:ilvl="0">
      <w:lvlJc w:val="left"/>
      <w:lvlText w:val="6"/>
      <w:numFmt w:val="bullet"/>
      <w:start w:val="1"/>
    </w:lvl>
  </w:abstractNum>
  <w:abstractNum w:abstractNumId="4">
    <w:nsid w:val="2EB141F2"/>
    <w:multiLevelType w:val="hybridMultilevel"/>
    <w:lvl w:ilvl="0">
      <w:lvlJc w:val="left"/>
      <w:lvlText w:val="2"/>
      <w:numFmt w:val="bullet"/>
      <w:start w:val="1"/>
    </w:lvl>
  </w:abstractNum>
  <w:abstractNum w:abstractNumId="5">
    <w:nsid w:val="41B71EFB"/>
    <w:multiLevelType w:val="hybridMultilevel"/>
    <w:lvl w:ilvl="0">
      <w:lvlJc w:val="left"/>
      <w:lvlText w:val="3"/>
      <w:numFmt w:val="bullet"/>
      <w:start w:val="1"/>
    </w:lvl>
  </w:abstractNum>
  <w:abstractNum w:abstractNumId="6">
    <w:nsid w:val="79E2A9E3"/>
    <w:multiLevelType w:val="hybridMultilevel"/>
    <w:lvl w:ilvl="0">
      <w:lvlJc w:val="left"/>
      <w:lvlText w:val="(%1)"/>
      <w:numFmt w:val="lowerLetter"/>
      <w:start w:val="1"/>
    </w:lvl>
  </w:abstractNum>
  <w:abstractNum w:abstractNumId="7">
    <w:nsid w:val="7545E146"/>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2025-02-07T15:45:20Z</dcterms:created>
  <dcterms:modified xsi:type="dcterms:W3CDTF">2025-02-07T15:45:20Z</dcterms:modified>
</cp:coreProperties>
</file>