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530860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9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9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97"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5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8-K</w:t>
      </w:r>
    </w:p>
    <w:p>
      <w:pPr>
        <w:spacing w:after="0" w:line="97"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9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Date of Report (Date of earliest event Reported): November 15, 2019</w:t>
      </w:r>
    </w:p>
    <w:p>
      <w:pPr>
        <w:spacing w:after="0" w:line="50"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Civeo Corporation</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40"/>
          </w:cols>
          <w:pgMar w:left="240" w:top="1305" w:right="2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680"/>
        <w:spacing w:after="0"/>
        <w:rPr>
          <w:sz w:val="20"/>
          <w:szCs w:val="20"/>
          <w:color w:val="auto"/>
        </w:rPr>
      </w:pPr>
      <w:r>
        <w:rPr>
          <w:rFonts w:ascii="Arial" w:cs="Arial" w:eastAsia="Arial" w:hAnsi="Arial"/>
          <w:sz w:val="19"/>
          <w:szCs w:val="19"/>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1-36246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98-1253716</w:t>
      </w:r>
    </w:p>
    <w:p>
      <w:pPr>
        <w:spacing w:after="0" w:line="119" w:lineRule="exact"/>
        <w:rPr>
          <w:sz w:val="24"/>
          <w:szCs w:val="24"/>
          <w:color w:val="auto"/>
        </w:rPr>
      </w:pPr>
    </w:p>
    <w:p>
      <w:pPr>
        <w:sectPr>
          <w:pgSz w:w="11900" w:h="16838" w:orient="portrait"/>
          <w:cols w:equalWidth="0" w:num="3">
            <w:col w:w="4780" w:space="720"/>
            <w:col w:w="2980" w:space="720"/>
            <w:col w:w="2240"/>
          </w:cols>
          <w:pgMar w:left="240" w:top="1305" w:right="21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100" w:lineRule="exact"/>
        <w:rPr>
          <w:sz w:val="24"/>
          <w:szCs w:val="24"/>
          <w:color w:val="auto"/>
        </w:rPr>
      </w:pPr>
    </w:p>
    <w:p>
      <w:pPr>
        <w:sectPr>
          <w:pgSz w:w="11900" w:h="16838" w:orient="portrait"/>
          <w:cols w:equalWidth="0" w:num="3">
            <w:col w:w="4140" w:space="720"/>
            <w:col w:w="2680" w:space="720"/>
            <w:col w:w="3180"/>
          </w:cols>
          <w:pgMar w:left="240" w:top="1305" w:right="219" w:bottom="1440" w:gutter="0" w:footer="0" w:header="0"/>
          <w:type w:val="continuous"/>
        </w:sectPr>
      </w:pPr>
    </w:p>
    <w:p>
      <w:pPr>
        <w:jc w:val="center"/>
        <w:ind w:left="360"/>
        <w:spacing w:after="0"/>
        <w:rPr>
          <w:sz w:val="20"/>
          <w:szCs w:val="20"/>
          <w:color w:val="auto"/>
        </w:rPr>
      </w:pPr>
      <w:r>
        <w:rPr>
          <w:rFonts w:ascii="Arial" w:cs="Arial" w:eastAsia="Arial" w:hAnsi="Arial"/>
          <w:sz w:val="22"/>
          <w:szCs w:val="22"/>
          <w:b w:val="1"/>
          <w:bCs w:val="1"/>
          <w:color w:val="auto"/>
        </w:rPr>
        <w:t>Three Allen Center</w:t>
      </w:r>
    </w:p>
    <w:p>
      <w:pPr>
        <w:spacing w:after="0" w:line="4" w:lineRule="exact"/>
        <w:rPr>
          <w:sz w:val="24"/>
          <w:szCs w:val="24"/>
          <w:color w:val="auto"/>
        </w:rPr>
      </w:pPr>
    </w:p>
    <w:p>
      <w:pPr>
        <w:jc w:val="center"/>
        <w:ind w:left="360"/>
        <w:spacing w:after="0"/>
        <w:rPr>
          <w:sz w:val="20"/>
          <w:szCs w:val="20"/>
          <w:color w:val="auto"/>
        </w:rPr>
      </w:pPr>
      <w:r>
        <w:rPr>
          <w:rFonts w:ascii="Arial" w:cs="Arial" w:eastAsia="Arial" w:hAnsi="Arial"/>
          <w:sz w:val="22"/>
          <w:szCs w:val="22"/>
          <w:b w:val="1"/>
          <w:bCs w:val="1"/>
          <w:color w:val="auto"/>
        </w:rPr>
        <w:t>333 Clay Street, Suite 4980</w:t>
      </w:r>
    </w:p>
    <w:p>
      <w:pPr>
        <w:jc w:val="center"/>
        <w:ind w:left="360"/>
        <w:spacing w:after="0" w:line="235" w:lineRule="auto"/>
        <w:rPr>
          <w:sz w:val="20"/>
          <w:szCs w:val="20"/>
          <w:color w:val="auto"/>
        </w:rPr>
      </w:pPr>
      <w:r>
        <w:rPr>
          <w:rFonts w:ascii="Arial" w:cs="Arial" w:eastAsia="Arial" w:hAnsi="Arial"/>
          <w:sz w:val="22"/>
          <w:szCs w:val="22"/>
          <w:b w:val="1"/>
          <w:bCs w:val="1"/>
          <w:color w:val="auto"/>
        </w:rPr>
        <w:t>Houston, Texas 77002</w:t>
      </w:r>
    </w:p>
    <w:p>
      <w:pPr>
        <w:spacing w:after="0" w:line="1"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40"/>
          </w:cols>
          <w:pgMar w:left="240" w:top="1305" w:right="219" w:bottom="1440" w:gutter="0" w:footer="0" w:header="0"/>
          <w:type w:val="continuous"/>
        </w:sectPr>
      </w:pPr>
    </w:p>
    <w:p>
      <w:pPr>
        <w:spacing w:after="0" w:line="66"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(713) 510-2400</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60"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280" w:hanging="96"/>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90" w:lineRule="exact"/>
        <w:rPr>
          <w:rFonts w:ascii="Arial" w:cs="Arial" w:eastAsia="Arial" w:hAnsi="Arial"/>
          <w:sz w:val="18"/>
          <w:szCs w:val="18"/>
          <w:color w:val="auto"/>
        </w:rPr>
      </w:pPr>
    </w:p>
    <w:p>
      <w:pPr>
        <w:ind w:left="280" w:hanging="96"/>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0" w:lineRule="exact"/>
        <w:rPr>
          <w:rFonts w:ascii="Arial" w:cs="Arial" w:eastAsia="Arial" w:hAnsi="Arial"/>
          <w:sz w:val="18"/>
          <w:szCs w:val="18"/>
          <w:color w:val="auto"/>
        </w:rPr>
      </w:pPr>
    </w:p>
    <w:p>
      <w:pPr>
        <w:ind w:left="280" w:hanging="96"/>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0" w:lineRule="exact"/>
        <w:rPr>
          <w:rFonts w:ascii="Arial" w:cs="Arial" w:eastAsia="Arial" w:hAnsi="Arial"/>
          <w:sz w:val="18"/>
          <w:szCs w:val="18"/>
          <w:color w:val="auto"/>
        </w:rPr>
      </w:pPr>
    </w:p>
    <w:p>
      <w:pPr>
        <w:ind w:left="280" w:hanging="96"/>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4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32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7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7"/>
        </w:trPr>
        <w:tc>
          <w:tcPr>
            <w:tcW w:w="346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4780" w:type="dxa"/>
            <w:vAlign w:val="bottom"/>
            <w:tcBorders>
              <w:bottom w:val="single" w:sz="8" w:color="00000A"/>
              <w:right w:val="single" w:sz="8" w:color="00000A"/>
            </w:tcBorders>
          </w:tcPr>
          <w:p>
            <w:pPr>
              <w:spacing w:after="0"/>
              <w:rPr>
                <w:sz w:val="2"/>
                <w:szCs w:val="2"/>
                <w:color w:val="auto"/>
              </w:rPr>
            </w:pPr>
          </w:p>
        </w:tc>
      </w:tr>
      <w:tr>
        <w:trPr>
          <w:trHeight w:val="237"/>
        </w:trPr>
        <w:tc>
          <w:tcPr>
            <w:tcW w:w="34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Common Shares, no par value</w:t>
            </w:r>
          </w:p>
        </w:tc>
        <w:tc>
          <w:tcPr>
            <w:tcW w:w="32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CVEO</w:t>
            </w:r>
          </w:p>
        </w:tc>
        <w:tc>
          <w:tcPr>
            <w:tcW w:w="47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46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4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40"/>
          </w:cols>
          <w:pgMar w:left="240" w:top="1305" w:right="219" w:bottom="1440" w:gutter="0" w:footer="0" w:header="0"/>
          <w:type w:val="continuous"/>
        </w:sectPr>
      </w:pPr>
    </w:p>
    <w:bookmarkStart w:id="1" w:name="page2"/>
    <w:bookmarkEnd w:id="1"/>
    <w:p>
      <w:pPr>
        <w:ind w:right="180"/>
        <w:spacing w:after="0" w:line="32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211"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280"/>
          </w:cols>
          <w:pgMar w:left="240" w:top="652"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462280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Item 5.02 Departure of Directors or Principal Officers; Election of Directors; Appointment of Principal Officers.</w:t>
      </w:r>
    </w:p>
    <w:p>
      <w:pPr>
        <w:spacing w:after="0" w:line="2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On November 15, 2019, the Board of Directors of Civeo Corporation (the </w:t>
      </w:r>
      <w:r>
        <w:rPr>
          <w:rFonts w:ascii="Arial" w:cs="Arial" w:eastAsia="Arial" w:hAnsi="Arial"/>
          <w:sz w:val="18"/>
          <w:szCs w:val="18"/>
          <w:color w:val="auto"/>
        </w:rPr>
        <w:t>“</w:t>
      </w:r>
      <w:r>
        <w:rPr>
          <w:rFonts w:ascii="Arial" w:cs="Arial" w:eastAsia="Arial" w:hAnsi="Arial"/>
          <w:sz w:val="22"/>
          <w:szCs w:val="22"/>
          <w:color w:val="auto"/>
        </w:rPr>
        <w:t>Company</w:t>
      </w:r>
      <w:r>
        <w:rPr>
          <w:rFonts w:ascii="Arial" w:cs="Arial" w:eastAsia="Arial" w:hAnsi="Arial"/>
          <w:sz w:val="18"/>
          <w:szCs w:val="18"/>
          <w:color w:val="auto"/>
        </w:rPr>
        <w:t>”)</w:t>
      </w:r>
      <w:r>
        <w:rPr>
          <w:rFonts w:ascii="Arial" w:cs="Arial" w:eastAsia="Arial" w:hAnsi="Arial"/>
          <w:sz w:val="22"/>
          <w:szCs w:val="22"/>
          <w:color w:val="auto"/>
        </w:rPr>
        <w:t xml:space="preserve"> appointed Carolyn J. Stone to serve as Senior Vice President, Chief Financial Officer and Treasurer of the Company, effective immediately. The Company’s current Chief Financial Officer, Frank C. Steininger, will continue to serve as the Company’s Executive Vice President, Strategic Initiatives, principally responsible for global operational efficiency and other financial and strategic initiatives until his planned retirement in March 2020.</w:t>
      </w:r>
    </w:p>
    <w:p>
      <w:pPr>
        <w:spacing w:after="0" w:line="19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Ms. Stone, 47, joined the Company in May 2014 as Vice President, Controller and Corporate Secretary. Ms. Stone was not selected to the office described above pursuant to any arrangements or understandings with the Company or with any other person. There is no family relationship between Ms. Stone and any director or executive officer of the Company, and there are no related party transactions between Ms. Stone and the Company that would require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54" w:lineRule="exact"/>
        <w:rPr>
          <w:sz w:val="20"/>
          <w:szCs w:val="20"/>
          <w:color w:val="auto"/>
        </w:rPr>
      </w:pPr>
    </w:p>
    <w:p>
      <w:pPr>
        <w:ind w:right="200"/>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5080" w:val="left"/>
          <w:tab w:leader="none" w:pos="5720" w:val="left"/>
        </w:tabs>
        <w:rPr>
          <w:sz w:val="20"/>
          <w:szCs w:val="20"/>
          <w:color w:val="auto"/>
        </w:rPr>
      </w:pPr>
      <w:r>
        <w:rPr>
          <w:rFonts w:ascii="Arial" w:cs="Arial" w:eastAsia="Arial" w:hAnsi="Arial"/>
          <w:sz w:val="18"/>
          <w:szCs w:val="18"/>
          <w:color w:val="auto"/>
        </w:rPr>
        <w:t>Date: November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Bradley J. Dobson</w:t>
      </w:r>
    </w:p>
    <w:p>
      <w:pPr>
        <w:spacing w:after="0" w:line="9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Bradley J. Dobson</w:t>
      </w:r>
    </w:p>
    <w:p>
      <w:pPr>
        <w:spacing w:after="0" w:line="9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President &amp; Chief Executive Officer</w:t>
      </w:r>
    </w:p>
    <w:sectPr>
      <w:pgSz w:w="11900" w:h="16838" w:orient="portrait"/>
      <w:cols w:equalWidth="0" w:num="1">
        <w:col w:w="11420"/>
      </w:cols>
      <w:pgMar w:left="240" w:top="11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2019-11-28T04:01:26Z</dcterms:created>
  <dcterms:modified xsi:type="dcterms:W3CDTF">2019-11-28T04:01:26Z</dcterms:modified>
</cp:coreProperties>
</file>