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As filed with the Securities and Exchange Commission on July 27, 2018</w:t>
      </w:r>
    </w:p>
    <w:p>
      <w:pPr>
        <w:spacing w:after="0" w:line="27" w:lineRule="exact"/>
        <w:rPr>
          <w:sz w:val="24"/>
          <w:szCs w:val="24"/>
          <w:color w:val="auto"/>
        </w:rPr>
      </w:pPr>
    </w:p>
    <w:p>
      <w:pPr>
        <w:ind w:left="92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133350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87"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S-8</w:t>
      </w:r>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THE SECURITIES ACT OF 1933</w:t>
      </w:r>
    </w:p>
    <w:p>
      <w:pPr>
        <w:spacing w:after="0" w:line="193"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CIVEO CORPORATION</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660" w:type="dxa"/>
        <w:tblCellMar>
          <w:top w:w="0" w:type="dxa"/>
          <w:left w:w="0" w:type="dxa"/>
          <w:bottom w:w="0" w:type="dxa"/>
          <w:right w:w="0" w:type="dxa"/>
        </w:tblCellMar>
      </w:tblPr>
      <w:tr>
        <w:trPr>
          <w:trHeight w:val="220"/>
        </w:trPr>
        <w:tc>
          <w:tcPr>
            <w:tcW w:w="4320" w:type="dxa"/>
            <w:vAlign w:val="bottom"/>
          </w:tcPr>
          <w:p>
            <w:pPr>
              <w:jc w:val="center"/>
              <w:ind w:right="1810"/>
              <w:spacing w:after="0"/>
              <w:rPr>
                <w:sz w:val="20"/>
                <w:szCs w:val="20"/>
                <w:color w:val="auto"/>
              </w:rPr>
            </w:pPr>
            <w:r>
              <w:rPr>
                <w:rFonts w:ascii="Arial" w:cs="Arial" w:eastAsia="Arial" w:hAnsi="Arial"/>
                <w:sz w:val="18"/>
                <w:szCs w:val="18"/>
                <w:b w:val="1"/>
                <w:bCs w:val="1"/>
                <w:color w:val="auto"/>
                <w:w w:val="92"/>
              </w:rPr>
              <w:t>British Columbia, Canada</w:t>
            </w:r>
          </w:p>
        </w:tc>
        <w:tc>
          <w:tcPr>
            <w:tcW w:w="3260" w:type="dxa"/>
            <w:vAlign w:val="bottom"/>
          </w:tcPr>
          <w:p>
            <w:pPr>
              <w:jc w:val="center"/>
              <w:ind w:left="1830"/>
              <w:spacing w:after="0"/>
              <w:rPr>
                <w:sz w:val="20"/>
                <w:szCs w:val="20"/>
                <w:color w:val="auto"/>
              </w:rPr>
            </w:pPr>
            <w:r>
              <w:rPr>
                <w:rFonts w:ascii="Arial" w:cs="Arial" w:eastAsia="Arial" w:hAnsi="Arial"/>
                <w:sz w:val="18"/>
                <w:szCs w:val="18"/>
                <w:b w:val="1"/>
                <w:bCs w:val="1"/>
                <w:color w:val="auto"/>
                <w:w w:val="89"/>
              </w:rPr>
              <w:t>98-1253716</w:t>
            </w:r>
          </w:p>
        </w:tc>
      </w:tr>
      <w:tr>
        <w:trPr>
          <w:trHeight w:val="216"/>
        </w:trPr>
        <w:tc>
          <w:tcPr>
            <w:tcW w:w="4320" w:type="dxa"/>
            <w:vAlign w:val="bottom"/>
          </w:tcPr>
          <w:p>
            <w:pPr>
              <w:jc w:val="center"/>
              <w:ind w:right="1830"/>
              <w:spacing w:after="0"/>
              <w:rPr>
                <w:sz w:val="20"/>
                <w:szCs w:val="20"/>
                <w:color w:val="auto"/>
              </w:rPr>
            </w:pPr>
            <w:r>
              <w:rPr>
                <w:rFonts w:ascii="Arial" w:cs="Arial" w:eastAsia="Arial" w:hAnsi="Arial"/>
                <w:sz w:val="18"/>
                <w:szCs w:val="18"/>
                <w:color w:val="auto"/>
                <w:w w:val="91"/>
              </w:rPr>
              <w:t>(State or Other Jurisdiction</w:t>
            </w:r>
          </w:p>
        </w:tc>
        <w:tc>
          <w:tcPr>
            <w:tcW w:w="3260" w:type="dxa"/>
            <w:vAlign w:val="bottom"/>
          </w:tcPr>
          <w:p>
            <w:pPr>
              <w:jc w:val="center"/>
              <w:ind w:left="1830"/>
              <w:spacing w:after="0"/>
              <w:rPr>
                <w:sz w:val="20"/>
                <w:szCs w:val="20"/>
                <w:color w:val="auto"/>
              </w:rPr>
            </w:pPr>
            <w:r>
              <w:rPr>
                <w:rFonts w:ascii="Arial" w:cs="Arial" w:eastAsia="Arial" w:hAnsi="Arial"/>
                <w:sz w:val="18"/>
                <w:szCs w:val="18"/>
                <w:color w:val="auto"/>
                <w:w w:val="92"/>
              </w:rPr>
              <w:t>(I.R.S. Employer</w:t>
            </w:r>
          </w:p>
        </w:tc>
      </w:tr>
      <w:tr>
        <w:trPr>
          <w:trHeight w:val="230"/>
        </w:trPr>
        <w:tc>
          <w:tcPr>
            <w:tcW w:w="4320" w:type="dxa"/>
            <w:vAlign w:val="bottom"/>
          </w:tcPr>
          <w:p>
            <w:pPr>
              <w:jc w:val="center"/>
              <w:ind w:right="1830"/>
              <w:spacing w:after="0"/>
              <w:rPr>
                <w:sz w:val="20"/>
                <w:szCs w:val="20"/>
                <w:color w:val="auto"/>
              </w:rPr>
            </w:pPr>
            <w:r>
              <w:rPr>
                <w:rFonts w:ascii="Arial" w:cs="Arial" w:eastAsia="Arial" w:hAnsi="Arial"/>
                <w:sz w:val="18"/>
                <w:szCs w:val="18"/>
                <w:color w:val="auto"/>
                <w:w w:val="92"/>
              </w:rPr>
              <w:t>of Incorporation or Organization)</w:t>
            </w:r>
          </w:p>
        </w:tc>
        <w:tc>
          <w:tcPr>
            <w:tcW w:w="3260" w:type="dxa"/>
            <w:vAlign w:val="bottom"/>
          </w:tcPr>
          <w:p>
            <w:pPr>
              <w:jc w:val="center"/>
              <w:ind w:left="1830"/>
              <w:spacing w:after="0"/>
              <w:rPr>
                <w:sz w:val="20"/>
                <w:szCs w:val="20"/>
                <w:color w:val="auto"/>
              </w:rPr>
            </w:pPr>
            <w:r>
              <w:rPr>
                <w:rFonts w:ascii="Arial" w:cs="Arial" w:eastAsia="Arial" w:hAnsi="Arial"/>
                <w:sz w:val="18"/>
                <w:szCs w:val="18"/>
                <w:color w:val="auto"/>
                <w:w w:val="95"/>
              </w:rPr>
              <w:t>Identification No.)</w:t>
            </w:r>
          </w:p>
        </w:tc>
      </w:tr>
    </w:tbl>
    <w:p>
      <w:pPr>
        <w:jc w:val="center"/>
        <w:ind w:right="-79"/>
        <w:spacing w:after="0"/>
        <w:rPr>
          <w:sz w:val="20"/>
          <w:szCs w:val="20"/>
          <w:color w:val="auto"/>
        </w:rPr>
      </w:pPr>
      <w:r>
        <w:rPr>
          <w:rFonts w:ascii="Arial" w:cs="Arial" w:eastAsia="Arial" w:hAnsi="Arial"/>
          <w:sz w:val="18"/>
          <w:szCs w:val="18"/>
          <w:b w:val="1"/>
          <w:bCs w:val="1"/>
          <w:color w:val="auto"/>
        </w:rPr>
        <w:t>Three Allen Center</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(713) 510-2400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Amended and Restated 2014 Equity Participation Plan of Civeo Corporation</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(Full title of the Plan)</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Bradley J. Dodson</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(713) 510-2400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including zip code, and telephone number, including area code, of agent for service)</w:t>
      </w:r>
    </w:p>
    <w:p>
      <w:pPr>
        <w:spacing w:after="0" w:line="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___________________________________________</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Copy to:</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Tull R. Florey</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Gibson, Dunn &amp; Crutcher LLP</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811 Main Street, Suite 3000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Houston, TX 77002-6117</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(346) 718-6600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______________________________________________</w:t>
      </w:r>
    </w:p>
    <w:p>
      <w:pPr>
        <w:spacing w:after="0" w:line="225"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7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420"/>
              <w:spacing w:after="0"/>
              <w:rPr>
                <w:sz w:val="20"/>
                <w:szCs w:val="20"/>
                <w:color w:val="auto"/>
              </w:rPr>
            </w:pPr>
            <w:r>
              <w:rPr>
                <w:rFonts w:ascii="Arial" w:cs="Arial" w:eastAsia="Arial" w:hAnsi="Arial"/>
                <w:sz w:val="18"/>
                <w:szCs w:val="18"/>
                <w:color w:val="auto"/>
              </w:rPr>
              <w:t>Accelerated filer</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4720" w:type="dxa"/>
            <w:vAlign w:val="bottom"/>
          </w:tcPr>
          <w:p>
            <w:pPr>
              <w:ind w:left="6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280" w:type="dxa"/>
            <w:vAlign w:val="bottom"/>
          </w:tcPr>
          <w:p>
            <w:pPr>
              <w:ind w:left="420"/>
              <w:spacing w:after="0"/>
              <w:rPr>
                <w:sz w:val="20"/>
                <w:szCs w:val="20"/>
                <w:color w:val="auto"/>
              </w:rPr>
            </w:pPr>
            <w:r>
              <w:rPr>
                <w:rFonts w:ascii="Arial" w:cs="Arial" w:eastAsia="Arial" w:hAnsi="Arial"/>
                <w:sz w:val="18"/>
                <w:szCs w:val="18"/>
                <w:color w:val="auto"/>
              </w:rPr>
              <w:t>Smaller reporting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280" w:type="dxa"/>
            <w:vAlign w:val="bottom"/>
          </w:tcPr>
          <w:p>
            <w:pPr>
              <w:ind w:left="420"/>
              <w:spacing w:after="0"/>
              <w:rPr>
                <w:sz w:val="20"/>
                <w:szCs w:val="20"/>
                <w:color w:val="auto"/>
              </w:rPr>
            </w:pPr>
            <w:r>
              <w:rPr>
                <w:rFonts w:ascii="Arial" w:cs="Arial" w:eastAsia="Arial" w:hAnsi="Arial"/>
                <w:sz w:val="18"/>
                <w:szCs w:val="18"/>
                <w:color w:val="auto"/>
              </w:rPr>
              <w:t>Emerging growth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229"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300" w:type="dxa"/>
            <w:vAlign w:val="bottom"/>
            <w:tcBorders>
              <w:top w:val="single" w:sz="8" w:color="auto"/>
              <w:bottom w:val="single" w:sz="8" w:color="auto"/>
            </w:tcBorders>
          </w:tcPr>
          <w:p>
            <w:pPr>
              <w:spacing w:after="0"/>
              <w:rPr>
                <w:sz w:val="3"/>
                <w:szCs w:val="3"/>
                <w:color w:val="auto"/>
              </w:rPr>
            </w:pPr>
          </w:p>
        </w:tc>
        <w:tc>
          <w:tcPr>
            <w:tcW w:w="19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r>
      <w:tr>
        <w:trPr>
          <w:trHeight w:val="178"/>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4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86"/>
              </w:rPr>
              <w:t>Proposed</w:t>
            </w:r>
          </w:p>
        </w:tc>
        <w:tc>
          <w:tcPr>
            <w:tcW w:w="180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86"/>
              </w:rPr>
              <w:t>Proposed</w:t>
            </w:r>
          </w:p>
        </w:tc>
        <w:tc>
          <w:tcPr>
            <w:tcW w:w="172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940" w:type="dxa"/>
            <w:vAlign w:val="bottom"/>
          </w:tcPr>
          <w:p>
            <w:pPr>
              <w:jc w:val="center"/>
              <w:ind w:left="290"/>
              <w:spacing w:after="0"/>
              <w:rPr>
                <w:sz w:val="20"/>
                <w:szCs w:val="20"/>
                <w:color w:val="auto"/>
              </w:rPr>
            </w:pPr>
            <w:r>
              <w:rPr>
                <w:rFonts w:ascii="Arial" w:cs="Arial" w:eastAsia="Arial" w:hAnsi="Arial"/>
                <w:sz w:val="18"/>
                <w:szCs w:val="18"/>
                <w:b w:val="1"/>
                <w:bCs w:val="1"/>
                <w:color w:val="auto"/>
                <w:w w:val="94"/>
              </w:rPr>
              <w:t>Amount</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72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940" w:type="dxa"/>
            <w:vAlign w:val="bottom"/>
          </w:tcPr>
          <w:p>
            <w:pPr>
              <w:jc w:val="center"/>
              <w:ind w:left="310"/>
              <w:spacing w:after="0"/>
              <w:rPr>
                <w:sz w:val="20"/>
                <w:szCs w:val="20"/>
                <w:color w:val="auto"/>
              </w:rPr>
            </w:pPr>
            <w:r>
              <w:rPr>
                <w:rFonts w:ascii="Arial" w:cs="Arial" w:eastAsia="Arial" w:hAnsi="Arial"/>
                <w:sz w:val="18"/>
                <w:szCs w:val="18"/>
                <w:b w:val="1"/>
                <w:bCs w:val="1"/>
                <w:color w:val="auto"/>
                <w:w w:val="88"/>
              </w:rPr>
              <w:t>to be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w:t>
            </w:r>
          </w:p>
        </w:tc>
      </w:tr>
      <w:tr>
        <w:trPr>
          <w:trHeight w:val="270"/>
        </w:trPr>
        <w:tc>
          <w:tcPr>
            <w:tcW w:w="20" w:type="dxa"/>
            <w:vAlign w:val="bottom"/>
          </w:tcPr>
          <w:p>
            <w:pPr>
              <w:spacing w:after="0"/>
              <w:rPr>
                <w:sz w:val="23"/>
                <w:szCs w:val="23"/>
                <w:color w:val="auto"/>
              </w:rPr>
            </w:pPr>
          </w:p>
        </w:tc>
        <w:tc>
          <w:tcPr>
            <w:tcW w:w="430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Title of Securities to be Registered</w:t>
            </w:r>
          </w:p>
        </w:tc>
        <w:tc>
          <w:tcPr>
            <w:tcW w:w="1940" w:type="dxa"/>
            <w:vAlign w:val="bottom"/>
            <w:tcBorders>
              <w:bottom w:val="single" w:sz="8" w:color="auto"/>
            </w:tcBorders>
          </w:tcPr>
          <w:p>
            <w:pPr>
              <w:jc w:val="center"/>
              <w:ind w:left="290"/>
              <w:spacing w:after="0" w:line="269" w:lineRule="exact"/>
              <w:rPr>
                <w:sz w:val="20"/>
                <w:szCs w:val="20"/>
                <w:color w:val="auto"/>
              </w:rPr>
            </w:pPr>
            <w:r>
              <w:rPr>
                <w:rFonts w:ascii="Arial" w:cs="Arial" w:eastAsia="Arial" w:hAnsi="Arial"/>
                <w:sz w:val="18"/>
                <w:szCs w:val="18"/>
                <w:b w:val="1"/>
                <w:bCs w:val="1"/>
                <w:color w:val="auto"/>
                <w:w w:val="85"/>
              </w:rPr>
              <w:t>Registered</w:t>
            </w:r>
            <w:r>
              <w:rPr>
                <w:rFonts w:ascii="Arial" w:cs="Arial" w:eastAsia="Arial" w:hAnsi="Arial"/>
                <w:sz w:val="30"/>
                <w:szCs w:val="30"/>
                <w:b w:val="1"/>
                <w:bCs w:val="1"/>
                <w:color w:val="auto"/>
                <w:w w:val="85"/>
                <w:vertAlign w:val="superscript"/>
              </w:rPr>
              <w:t>(1)</w:t>
            </w:r>
          </w:p>
        </w:tc>
        <w:tc>
          <w:tcPr>
            <w:tcW w:w="164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6"/>
              </w:rPr>
              <w:t>Per Share</w:t>
            </w:r>
            <w:r>
              <w:rPr>
                <w:rFonts w:ascii="Arial" w:cs="Arial" w:eastAsia="Arial" w:hAnsi="Arial"/>
                <w:sz w:val="30"/>
                <w:szCs w:val="30"/>
                <w:b w:val="1"/>
                <w:bCs w:val="1"/>
                <w:color w:val="auto"/>
                <w:w w:val="86"/>
                <w:vertAlign w:val="superscript"/>
              </w:rPr>
              <w:t>(2)</w:t>
            </w:r>
          </w:p>
        </w:tc>
        <w:tc>
          <w:tcPr>
            <w:tcW w:w="1800" w:type="dxa"/>
            <w:vAlign w:val="bottom"/>
            <w:tcBorders>
              <w:bottom w:val="single" w:sz="8" w:color="auto"/>
            </w:tcBorders>
          </w:tcPr>
          <w:p>
            <w:pPr>
              <w:jc w:val="center"/>
              <w:spacing w:after="0" w:line="269" w:lineRule="exact"/>
              <w:rPr>
                <w:sz w:val="20"/>
                <w:szCs w:val="20"/>
                <w:color w:val="auto"/>
              </w:rPr>
            </w:pPr>
            <w:r>
              <w:rPr>
                <w:rFonts w:ascii="Arial" w:cs="Arial" w:eastAsia="Arial" w:hAnsi="Arial"/>
                <w:sz w:val="18"/>
                <w:szCs w:val="18"/>
                <w:b w:val="1"/>
                <w:bCs w:val="1"/>
                <w:color w:val="auto"/>
                <w:w w:val="89"/>
              </w:rPr>
              <w:t>Offering Price</w:t>
            </w:r>
            <w:r>
              <w:rPr>
                <w:rFonts w:ascii="Arial" w:cs="Arial" w:eastAsia="Arial" w:hAnsi="Arial"/>
                <w:sz w:val="30"/>
                <w:szCs w:val="30"/>
                <w:b w:val="1"/>
                <w:bCs w:val="1"/>
                <w:color w:val="auto"/>
                <w:w w:val="89"/>
                <w:vertAlign w:val="superscript"/>
              </w:rPr>
              <w:t>(2)</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 Fee</w:t>
            </w:r>
          </w:p>
        </w:tc>
      </w:tr>
      <w:tr>
        <w:trPr>
          <w:trHeight w:val="224"/>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Common Shares, no par value</w:t>
            </w:r>
          </w:p>
        </w:tc>
        <w:tc>
          <w:tcPr>
            <w:tcW w:w="1940" w:type="dxa"/>
            <w:vAlign w:val="bottom"/>
          </w:tcPr>
          <w:p>
            <w:pPr>
              <w:jc w:val="center"/>
              <w:ind w:left="290"/>
              <w:spacing w:after="0"/>
              <w:rPr>
                <w:sz w:val="20"/>
                <w:szCs w:val="20"/>
                <w:color w:val="auto"/>
              </w:rPr>
            </w:pPr>
            <w:r>
              <w:rPr>
                <w:rFonts w:ascii="Arial" w:cs="Arial" w:eastAsia="Arial" w:hAnsi="Arial"/>
                <w:sz w:val="18"/>
                <w:szCs w:val="18"/>
                <w:color w:val="auto"/>
                <w:w w:val="89"/>
              </w:rPr>
              <w:t>4,700,000</w:t>
            </w: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$4.21</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$19,787,000</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$2,463.48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40" w:right="300" w:hanging="432"/>
        <w:spacing w:after="0" w:line="254"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(the “Securities Act”), this registration statement also covers any additional securities that may from time to time be offered or issued in respect of the securities registered by this registration statement to prevent dilution as a result of any stock dividend, stock split, recapitalization or other similar transaction pursuant to the terms of the Amended and Restated 2014 Equity Participation Plan of Civeo Corporation.</w:t>
      </w:r>
    </w:p>
    <w:p>
      <w:pPr>
        <w:spacing w:after="0" w:line="2" w:lineRule="exact"/>
        <w:rPr>
          <w:rFonts w:ascii="Arial" w:cs="Arial" w:eastAsia="Arial" w:hAnsi="Arial"/>
          <w:sz w:val="18"/>
          <w:szCs w:val="18"/>
          <w:color w:val="auto"/>
        </w:rPr>
      </w:pPr>
    </w:p>
    <w:p>
      <w:pPr>
        <w:ind w:left="440" w:right="320" w:hanging="432"/>
        <w:spacing w:after="0" w:line="290" w:lineRule="auto"/>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pursuant to Rule 457(c) and Rule 457(h) under the Securities Act, based upon the average of the high and low prices of common shares of Civeo Corporation on the New York Stock Exchange on July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-856615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REGISTRATION OF ADDITIONAL SECURITIES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This Registration Statement on Form S-8 (this “Registration Statement”) is being filed by Civeo Corporation (the “Company”) pursuant to General Instruction E of Form S-8 under the Securities Act, to register an additional 4,700,000 common shares, no par value, for issuance pursuant to the Amended and Restated 2014 Equity Participation Plan of the Company (the “Plan”). The board of directors of the Company recommended for approval and, on May 10, 2018, the shareholders of the Company approved an amendment to the Plan that increased the number of shares available for issuance under the Plan from 14,000,000 to 18,700,000.</w:t>
      </w:r>
    </w:p>
    <w:p>
      <w:pPr>
        <w:spacing w:after="0" w:line="188"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In accordance with General Instruction E to Form S-8, and except as the same may be modified by the information set forth in this Registration Statement, the Company hereby incorporates by reference the original Registration Statement on Form S-8 filed by the Company with the Securities and Exchange Commission (the “Commission”) on May 27, 2014 (No. 333-196292), as amended by Post-Effective Amendment No. 1 to such Registration Statement, filed with the Commission on July 17, 2015, and the additional Registration Statement on Form S-8 filed by the Company with the Commission on May 16, 2016 (Registration No. 333-211393).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documents, previously filed by the Company with the Commission, are incorporated by reference herein and shall be deemed to be a part hereof:</w:t>
      </w:r>
    </w:p>
    <w:p>
      <w:pPr>
        <w:spacing w:after="0" w:line="170"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Annual Report on Form 10-K for the fiscal year ended December 31, 2017, filed on February 23, 2018;</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Quarterly Reports on Form 10-Q for the fiscal quarter ended March 31, 2018, filed on April 27, 2018, and the fiscal quarter ended on June 30, 2018, filed on July 27, 2018;</w:t>
      </w:r>
    </w:p>
    <w:p>
      <w:pPr>
        <w:spacing w:after="0" w:line="170"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Current Reports on Form 8-K filed on February 21, 2018; March 1, 2018; March 16, 2018; March 22, 2018; April 2, 2018; April 11, 2018 and May 17, 2018; and</w:t>
      </w:r>
    </w:p>
    <w:p>
      <w:pPr>
        <w:spacing w:after="0" w:line="170"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Company’s share capital contained in its current report on Form 8-K filed on July 17, 2015, including any amendments or reports filed for the purpose of updating such description.</w:t>
      </w:r>
    </w:p>
    <w:p>
      <w:pPr>
        <w:spacing w:after="0" w:line="170"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addition, all documents subsequently filed by the Company pursuant to Section 13(a), 13(c), 14 and 15(d) of the Securities Exchange Act of 1934, as amended, excluding any information furnished under Item 2.02 or Item 7.01 of any Current Report on Form 8-K and corresponding information furnished under Item 9.01 or included as an exhibit, prior to the filing of a post-effective amendment to this Registration Statement which indicates that all securities offered have been sold or which deregisters all such securities then remaining unsold, shall be deemed to be incorporated by reference in this Registration Statement and to be a part hereof from the date of filing of such documents. Any statement contained in a document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000" w:type="dxa"/>
            <w:vAlign w:val="bottom"/>
            <w:gridSpan w:val="14"/>
          </w:tcPr>
          <w:p>
            <w:pPr>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130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000" w:type="dxa"/>
            <w:vAlign w:val="bottom"/>
            <w:gridSpan w:val="14"/>
          </w:tcPr>
          <w:p>
            <w:pPr>
              <w:spacing w:after="0"/>
              <w:rPr>
                <w:sz w:val="20"/>
                <w:szCs w:val="20"/>
                <w:color w:val="auto"/>
              </w:rPr>
            </w:pPr>
            <w:r>
              <w:rPr>
                <w:rFonts w:ascii="Arial" w:cs="Arial" w:eastAsia="Arial" w:hAnsi="Arial"/>
                <w:sz w:val="18"/>
                <w:szCs w:val="18"/>
                <w:color w:val="auto"/>
              </w:rPr>
              <w:t>Exhibit Description</w:t>
            </w:r>
          </w:p>
        </w:tc>
      </w:tr>
      <w:tr>
        <w:trPr>
          <w:trHeight w:val="20"/>
        </w:trPr>
        <w:tc>
          <w:tcPr>
            <w:tcW w:w="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4"/>
                <w:szCs w:val="24"/>
                <w:color w:val="auto"/>
              </w:rPr>
            </w:pPr>
          </w:p>
        </w:tc>
        <w:tc>
          <w:tcPr>
            <w:tcW w:w="10000" w:type="dxa"/>
            <w:vAlign w:val="bottom"/>
            <w:tcBorders>
              <w:bottom w:val="single" w:sz="8" w:color="0000EE"/>
            </w:tcBorders>
            <w:gridSpan w:val="14"/>
          </w:tcPr>
          <w:p>
            <w:pPr>
              <w:spacing w:after="0"/>
              <w:rPr>
                <w:rFonts w:ascii="Arial" w:cs="Arial" w:eastAsia="Arial" w:hAnsi="Arial"/>
                <w:sz w:val="18"/>
                <w:szCs w:val="18"/>
                <w:color w:val="0000EE"/>
                <w:w w:val="92"/>
              </w:rPr>
            </w:pPr>
            <w:hyperlink r:id="rId18">
              <w:r>
                <w:rPr>
                  <w:rFonts w:ascii="Arial" w:cs="Arial" w:eastAsia="Arial" w:hAnsi="Arial"/>
                  <w:sz w:val="18"/>
                  <w:szCs w:val="18"/>
                  <w:color w:val="0000EE"/>
                  <w:w w:val="92"/>
                </w:rPr>
                <w:t>Notice of Articles of Civeo Corporation (incorporated herein by reference to Exhibit 3.1 to the Current Report on Form 8-K (File No. 001-</w:t>
              </w:r>
            </w:hyperlink>
          </w:p>
        </w:tc>
      </w:tr>
      <w:tr>
        <w:trPr>
          <w:trHeight w:val="196"/>
        </w:trPr>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2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r:id="rId18">
              <w:r>
                <w:rPr>
                  <w:rFonts w:ascii="Arial" w:cs="Arial" w:eastAsia="Arial" w:hAnsi="Arial"/>
                  <w:sz w:val="18"/>
                  <w:szCs w:val="18"/>
                  <w:color w:val="0000EE"/>
                  <w:w w:val="93"/>
                </w:rPr>
                <w:t>36246) filed with the Commission on April 2, 2018).</w:t>
              </w:r>
            </w:hyperlink>
          </w:p>
        </w:tc>
        <w:tc>
          <w:tcPr>
            <w:tcW w:w="6180" w:type="dxa"/>
            <w:vAlign w:val="bottom"/>
            <w:gridSpan w:val="10"/>
          </w:tcPr>
          <w:p>
            <w:pPr>
              <w:spacing w:after="0"/>
              <w:rPr>
                <w:sz w:val="17"/>
                <w:szCs w:val="17"/>
                <w:color w:val="auto"/>
              </w:rPr>
            </w:pPr>
          </w:p>
        </w:tc>
      </w:tr>
      <w:tr>
        <w:trPr>
          <w:trHeight w:val="412"/>
        </w:trPr>
        <w:tc>
          <w:tcPr>
            <w:tcW w:w="840" w:type="dxa"/>
            <w:vAlign w:val="bottom"/>
          </w:tcPr>
          <w:p>
            <w:pPr>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24"/>
                <w:szCs w:val="24"/>
                <w:color w:val="auto"/>
              </w:rPr>
            </w:pPr>
          </w:p>
        </w:tc>
        <w:tc>
          <w:tcPr>
            <w:tcW w:w="9920" w:type="dxa"/>
            <w:vAlign w:val="bottom"/>
            <w:tcBorders>
              <w:bottom w:val="single" w:sz="8" w:color="0000EE"/>
            </w:tcBorders>
            <w:gridSpan w:val="13"/>
          </w:tcPr>
          <w:p>
            <w:pPr>
              <w:spacing w:after="0"/>
              <w:rPr>
                <w:rFonts w:ascii="Arial" w:cs="Arial" w:eastAsia="Arial" w:hAnsi="Arial"/>
                <w:sz w:val="18"/>
                <w:szCs w:val="18"/>
                <w:color w:val="0000EE"/>
                <w:w w:val="91"/>
              </w:rPr>
            </w:pPr>
            <w:hyperlink r:id="rId19">
              <w:r>
                <w:rPr>
                  <w:rFonts w:ascii="Arial" w:cs="Arial" w:eastAsia="Arial" w:hAnsi="Arial"/>
                  <w:sz w:val="18"/>
                  <w:szCs w:val="18"/>
                  <w:color w:val="0000EE"/>
                  <w:w w:val="91"/>
                </w:rPr>
                <w:t>Amended and Restated Articles of Civeo Corporation (incorporated herein by reference to Exhibit 3.2 to the Current Report on Form 8-K</w:t>
              </w:r>
            </w:hyperlink>
          </w:p>
        </w:tc>
        <w:tc>
          <w:tcPr>
            <w:tcW w:w="8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r:id="rId19">
              <w:r>
                <w:rPr>
                  <w:rFonts w:ascii="Arial" w:cs="Arial" w:eastAsia="Arial" w:hAnsi="Arial"/>
                  <w:sz w:val="18"/>
                  <w:szCs w:val="18"/>
                  <w:color w:val="0000EE"/>
                  <w:w w:val="93"/>
                </w:rPr>
                <w:t>(File No. 001-36246) filed with the Commission on April 2, 2018).</w:t>
              </w:r>
            </w:hyperlink>
          </w:p>
        </w:tc>
        <w:tc>
          <w:tcPr>
            <w:tcW w:w="5160" w:type="dxa"/>
            <w:vAlign w:val="bottom"/>
            <w:gridSpan w:val="8"/>
          </w:tcPr>
          <w:p>
            <w:pPr>
              <w:spacing w:after="0"/>
              <w:rPr>
                <w:sz w:val="17"/>
                <w:szCs w:val="17"/>
                <w:color w:val="auto"/>
              </w:rPr>
            </w:pPr>
          </w:p>
        </w:tc>
      </w:tr>
      <w:tr>
        <w:trPr>
          <w:trHeight w:val="412"/>
        </w:trPr>
        <w:tc>
          <w:tcPr>
            <w:tcW w:w="840" w:type="dxa"/>
            <w:vAlign w:val="bottom"/>
          </w:tcPr>
          <w:p>
            <w:pPr>
              <w:spacing w:after="0"/>
              <w:rPr>
                <w:sz w:val="20"/>
                <w:szCs w:val="20"/>
                <w:color w:val="auto"/>
              </w:rPr>
            </w:pPr>
            <w:r>
              <w:rPr>
                <w:rFonts w:ascii="Arial" w:cs="Arial" w:eastAsia="Arial" w:hAnsi="Arial"/>
                <w:sz w:val="18"/>
                <w:szCs w:val="18"/>
                <w:color w:val="auto"/>
              </w:rPr>
              <w:t>5.1*</w:t>
            </w:r>
          </w:p>
        </w:tc>
        <w:tc>
          <w:tcPr>
            <w:tcW w:w="460" w:type="dxa"/>
            <w:vAlign w:val="bottom"/>
          </w:tcPr>
          <w:p>
            <w:pPr>
              <w:spacing w:after="0"/>
              <w:rPr>
                <w:sz w:val="24"/>
                <w:szCs w:val="24"/>
                <w:color w:val="auto"/>
              </w:rPr>
            </w:pPr>
          </w:p>
        </w:tc>
        <w:tc>
          <w:tcPr>
            <w:tcW w:w="10000" w:type="dxa"/>
            <w:vAlign w:val="bottom"/>
            <w:gridSpan w:val="14"/>
          </w:tcPr>
          <w:p>
            <w:pPr>
              <w:spacing w:after="0"/>
              <w:rPr>
                <w:sz w:val="20"/>
                <w:szCs w:val="20"/>
                <w:color w:val="auto"/>
              </w:rPr>
            </w:pPr>
            <w:r>
              <w:rPr>
                <w:rFonts w:ascii="Arial" w:cs="Arial" w:eastAsia="Arial" w:hAnsi="Arial"/>
                <w:sz w:val="18"/>
                <w:szCs w:val="18"/>
                <w:color w:val="0000EE"/>
              </w:rPr>
              <w:t>Opinion of Dentons Canada LLP.</w:t>
            </w:r>
          </w:p>
        </w:tc>
      </w:tr>
      <w:tr>
        <w:trPr>
          <w:trHeight w:val="412"/>
        </w:trPr>
        <w:tc>
          <w:tcPr>
            <w:tcW w:w="840" w:type="dxa"/>
            <w:vAlign w:val="bottom"/>
          </w:tcPr>
          <w:p>
            <w:pPr>
              <w:spacing w:after="0"/>
              <w:rPr>
                <w:sz w:val="20"/>
                <w:szCs w:val="20"/>
                <w:color w:val="auto"/>
              </w:rPr>
            </w:pPr>
            <w:r>
              <w:rPr>
                <w:rFonts w:ascii="Arial" w:cs="Arial" w:eastAsia="Arial" w:hAnsi="Arial"/>
                <w:sz w:val="18"/>
                <w:szCs w:val="18"/>
                <w:color w:val="auto"/>
              </w:rPr>
              <w:t>23.1*</w:t>
            </w:r>
          </w:p>
        </w:tc>
        <w:tc>
          <w:tcPr>
            <w:tcW w:w="460" w:type="dxa"/>
            <w:vAlign w:val="bottom"/>
          </w:tcPr>
          <w:p>
            <w:pPr>
              <w:spacing w:after="0"/>
              <w:rPr>
                <w:sz w:val="24"/>
                <w:szCs w:val="24"/>
                <w:color w:val="auto"/>
              </w:rPr>
            </w:pPr>
          </w:p>
        </w:tc>
        <w:tc>
          <w:tcPr>
            <w:tcW w:w="24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w w:val="95"/>
              </w:rPr>
              <w:t>Consent of Ernst &amp; Young LLP.</w:t>
            </w:r>
          </w:p>
        </w:tc>
        <w:tc>
          <w:tcPr>
            <w:tcW w:w="7600" w:type="dxa"/>
            <w:vAlign w:val="bottom"/>
            <w:gridSpan w:val="11"/>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Arial" w:cs="Arial" w:eastAsia="Arial" w:hAnsi="Arial"/>
                <w:sz w:val="18"/>
                <w:szCs w:val="18"/>
                <w:color w:val="auto"/>
              </w:rPr>
              <w:t>23.2*</w:t>
            </w:r>
          </w:p>
        </w:tc>
        <w:tc>
          <w:tcPr>
            <w:tcW w:w="460" w:type="dxa"/>
            <w:vAlign w:val="bottom"/>
          </w:tcPr>
          <w:p>
            <w:pPr>
              <w:spacing w:after="0"/>
              <w:rPr>
                <w:sz w:val="24"/>
                <w:szCs w:val="24"/>
                <w:color w:val="auto"/>
              </w:rPr>
            </w:pPr>
          </w:p>
        </w:tc>
        <w:tc>
          <w:tcPr>
            <w:tcW w:w="10000" w:type="dxa"/>
            <w:vAlign w:val="bottom"/>
            <w:gridSpan w:val="14"/>
          </w:tcPr>
          <w:p>
            <w:pPr>
              <w:spacing w:after="0"/>
              <w:rPr>
                <w:sz w:val="20"/>
                <w:szCs w:val="20"/>
                <w:color w:val="auto"/>
              </w:rPr>
            </w:pPr>
            <w:r>
              <w:rPr>
                <w:rFonts w:ascii="Arial" w:cs="Arial" w:eastAsia="Arial" w:hAnsi="Arial"/>
                <w:sz w:val="18"/>
                <w:szCs w:val="18"/>
                <w:color w:val="0000EE"/>
              </w:rPr>
              <w:t>Consent of Dentons Canada LLP (included in Exhibit 5.1).</w:t>
            </w:r>
          </w:p>
        </w:tc>
      </w:tr>
      <w:tr>
        <w:trPr>
          <w:trHeight w:val="20"/>
        </w:trPr>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40" w:type="dxa"/>
            <w:vAlign w:val="bottom"/>
            <w:gridSpan w:val="5"/>
            <w:shd w:val="clear" w:color="auto" w:fill="0000EE"/>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Arial" w:cs="Arial" w:eastAsia="Arial" w:hAnsi="Arial"/>
                <w:sz w:val="18"/>
                <w:szCs w:val="18"/>
                <w:color w:val="auto"/>
              </w:rPr>
              <w:t>24.1*</w:t>
            </w:r>
          </w:p>
        </w:tc>
        <w:tc>
          <w:tcPr>
            <w:tcW w:w="46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Power of Attorney (included on the signature page herein).</w:t>
              </w:r>
            </w:hyperlink>
          </w:p>
        </w:tc>
      </w:tr>
      <w:tr>
        <w:trPr>
          <w:trHeight w:val="20"/>
        </w:trPr>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40" w:type="dxa"/>
            <w:vAlign w:val="bottom"/>
            <w:gridSpan w:val="5"/>
            <w:shd w:val="clear" w:color="auto" w:fill="0000EE"/>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EE"/>
                <w:w w:val="97"/>
              </w:rPr>
            </w:pPr>
            <w:hyperlink r:id="rId20">
              <w:r>
                <w:rPr>
                  <w:rFonts w:ascii="Arial" w:cs="Arial" w:eastAsia="Arial" w:hAnsi="Arial"/>
                  <w:sz w:val="18"/>
                  <w:szCs w:val="18"/>
                  <w:color w:val="0000EE"/>
                  <w:w w:val="97"/>
                </w:rPr>
                <w:t>Amended and Restated 2014 Equity Participation Plan of Civeo Corporation (incorporated herein by reference to Annex B of the</w:t>
              </w:r>
            </w:hyperlink>
          </w:p>
        </w:tc>
      </w:tr>
      <w:tr>
        <w:trPr>
          <w:trHeight w:val="196"/>
        </w:trPr>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3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Company’s definitive proxy statement on Schedule 14A (File No. 001-36246) filed on April 11, 2016).</w:t>
              </w:r>
            </w:hyperlink>
          </w:p>
        </w:tc>
        <w:tc>
          <w:tcPr>
            <w:tcW w:w="700" w:type="dxa"/>
            <w:vAlign w:val="bottom"/>
            <w:gridSpan w:val="5"/>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20" w:type="dxa"/>
            <w:vAlign w:val="bottom"/>
            <w:gridSpan w:val="7"/>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Arial" w:cs="Arial" w:eastAsia="Arial" w:hAnsi="Arial"/>
                <w:sz w:val="18"/>
                <w:szCs w:val="18"/>
                <w:color w:val="auto"/>
              </w:rPr>
              <w:t>99.2</w:t>
            </w:r>
          </w:p>
        </w:tc>
        <w:tc>
          <w:tcPr>
            <w:tcW w:w="460" w:type="dxa"/>
            <w:vAlign w:val="bottom"/>
          </w:tcPr>
          <w:p>
            <w:pPr>
              <w:spacing w:after="0"/>
              <w:rPr>
                <w:sz w:val="24"/>
                <w:szCs w:val="24"/>
                <w:color w:val="auto"/>
              </w:rPr>
            </w:pPr>
          </w:p>
        </w:tc>
        <w:tc>
          <w:tcPr>
            <w:tcW w:w="10000" w:type="dxa"/>
            <w:vAlign w:val="bottom"/>
            <w:gridSpan w:val="14"/>
          </w:tcPr>
          <w:p>
            <w:pPr>
              <w:spacing w:after="0"/>
              <w:rPr>
                <w:rFonts w:ascii="Arial" w:cs="Arial" w:eastAsia="Arial" w:hAnsi="Arial"/>
                <w:sz w:val="18"/>
                <w:szCs w:val="18"/>
                <w:color w:val="0000EE"/>
                <w:w w:val="92"/>
              </w:rPr>
            </w:pPr>
            <w:hyperlink r:id="rId21">
              <w:r>
                <w:rPr>
                  <w:rFonts w:ascii="Arial" w:cs="Arial" w:eastAsia="Arial" w:hAnsi="Arial"/>
                  <w:sz w:val="18"/>
                  <w:szCs w:val="18"/>
                  <w:color w:val="0000EE"/>
                  <w:w w:val="92"/>
                </w:rPr>
                <w:t>Amendment to Amended and Restated 2014 Equity Participation Plan of Civeo Corporation (incorporated herein by reference to Exhibit</w:t>
              </w:r>
            </w:hyperlink>
          </w:p>
        </w:tc>
      </w:tr>
      <w:tr>
        <w:trPr>
          <w:trHeight w:val="196"/>
        </w:trPr>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40" w:type="dxa"/>
            <w:vAlign w:val="bottom"/>
            <w:tcBorders>
              <w:top w:val="single" w:sz="8" w:color="0000EE"/>
            </w:tcBorders>
            <w:gridSpan w:val="12"/>
          </w:tcPr>
          <w:p>
            <w:pPr>
              <w:spacing w:after="0" w:line="196" w:lineRule="exact"/>
              <w:rPr>
                <w:rFonts w:ascii="Arial" w:cs="Arial" w:eastAsia="Arial" w:hAnsi="Arial"/>
                <w:sz w:val="18"/>
                <w:szCs w:val="18"/>
                <w:color w:val="0000EE"/>
                <w:w w:val="94"/>
              </w:rPr>
            </w:pPr>
            <w:hyperlink r:id="rId21">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33</w:t>
              </w:r>
              <w:r>
                <w:rPr>
                  <w:rFonts w:ascii="Arial" w:cs="Arial" w:eastAsia="Arial" w:hAnsi="Arial"/>
                  <w:sz w:val="18"/>
                  <w:szCs w:val="18"/>
                  <w:color w:val="0000EE"/>
                  <w:w w:val="94"/>
                </w:rPr>
                <w:t xml:space="preserve"> to the Annual Report on Form 10-K for the year ended December 31, 2016 (File No. 001-36246) filed on February 23, 2017).</w:t>
              </w:r>
            </w:hyperlink>
          </w:p>
        </w:tc>
        <w:tc>
          <w:tcPr>
            <w:tcW w:w="160" w:type="dxa"/>
            <w:vAlign w:val="bottom"/>
            <w:gridSpan w:val="2"/>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80" w:type="dxa"/>
            <w:vAlign w:val="bottom"/>
            <w:gridSpan w:val="8"/>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Arial" w:cs="Arial" w:eastAsia="Arial" w:hAnsi="Arial"/>
                <w:sz w:val="18"/>
                <w:szCs w:val="18"/>
                <w:color w:val="auto"/>
              </w:rPr>
              <w:t>99.3</w:t>
            </w:r>
          </w:p>
        </w:tc>
        <w:tc>
          <w:tcPr>
            <w:tcW w:w="460" w:type="dxa"/>
            <w:vAlign w:val="bottom"/>
          </w:tcPr>
          <w:p>
            <w:pPr>
              <w:spacing w:after="0"/>
              <w:rPr>
                <w:sz w:val="24"/>
                <w:szCs w:val="24"/>
                <w:color w:val="auto"/>
              </w:rPr>
            </w:pPr>
          </w:p>
        </w:tc>
        <w:tc>
          <w:tcPr>
            <w:tcW w:w="9640" w:type="dxa"/>
            <w:vAlign w:val="bottom"/>
            <w:tcBorders>
              <w:bottom w:val="single" w:sz="8" w:color="0000EE"/>
            </w:tcBorders>
            <w:gridSpan w:val="11"/>
          </w:tcPr>
          <w:p>
            <w:pP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Amendment Number Two to the Amended and Restated 2014 Equity Participation Plan of Civeo Corporation (incorporated herein by</w:t>
              </w:r>
            </w:hyperlink>
          </w:p>
        </w:tc>
        <w:tc>
          <w:tcPr>
            <w:tcW w:w="360" w:type="dxa"/>
            <w:vAlign w:val="bottom"/>
            <w:gridSpan w:val="3"/>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0" w:type="dxa"/>
            <w:vAlign w:val="bottom"/>
            <w:gridSpan w:val="14"/>
          </w:tcPr>
          <w:p>
            <w:pPr>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reference to Exhibit 10.2 to the Quarterly Report of Form 10-Q for the quarter ended June 30, 2018 filed on July 27, 2018).</w:t>
              </w:r>
            </w:hyperlink>
          </w:p>
        </w:tc>
      </w:tr>
      <w:tr>
        <w:trPr>
          <w:trHeight w:val="20"/>
        </w:trPr>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8235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580"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Pursuant to the requirements of the Securities Act, the Company certifies that it has reasonable grounds to believe that it meets all of the requirements for filing on Form S-8 and has duly caused this Registration Statement to be signed on its behalf by the undersigned, thereunto duly authorized, in the City of Houston, State of Texas, on July 27, 2018.</w:t>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Civeo Corporation</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C. Steininger</w:t>
            </w: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Frank C. Steininger</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w w:val="94"/>
              </w:rPr>
              <w:t>Executive Vice President, Chief Financial Officer and Treasurer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Bradley J. Dodson and Frank C. Steininger, as his or her true and lawful attorney-in-fact and agent,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such attorney-in-fact and agent full power and authority to do so and perform each and every act and thing requisite and necessary to be done in and about the premises, as fully to all intents and purposes as he or she might or could do in person, hereby ratifying and confirming all that such attorney-in-fact and agent may lawfully do or cause to be done by virtue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 indicated.</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w w:val="88"/>
              </w:rPr>
              <w:t>Signature</w:t>
            </w:r>
          </w:p>
        </w:tc>
        <w:tc>
          <w:tcPr>
            <w:tcW w:w="3740" w:type="dxa"/>
            <w:vAlign w:val="bottom"/>
            <w:gridSpan w:val="8"/>
          </w:tcPr>
          <w:p>
            <w:pPr>
              <w:spacing w:after="0"/>
              <w:rPr>
                <w:sz w:val="17"/>
                <w:szCs w:val="17"/>
                <w:color w:val="auto"/>
              </w:rPr>
            </w:pPr>
          </w:p>
        </w:tc>
        <w:tc>
          <w:tcPr>
            <w:tcW w:w="340" w:type="dxa"/>
            <w:vAlign w:val="bottom"/>
          </w:tcPr>
          <w:p>
            <w:pPr>
              <w:spacing w:after="0"/>
              <w:rPr>
                <w:sz w:val="20"/>
                <w:szCs w:val="20"/>
                <w:color w:val="auto"/>
              </w:rPr>
            </w:pPr>
            <w:r>
              <w:rPr>
                <w:rFonts w:ascii="Arial" w:cs="Arial" w:eastAsia="Arial" w:hAnsi="Arial"/>
                <w:sz w:val="18"/>
                <w:szCs w:val="18"/>
                <w:color w:val="auto"/>
                <w:w w:val="93"/>
              </w:rPr>
              <w:t>Title</w:t>
            </w:r>
          </w:p>
        </w:tc>
        <w:tc>
          <w:tcPr>
            <w:tcW w:w="370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Date</w:t>
            </w:r>
          </w:p>
        </w:tc>
      </w:tr>
      <w:tr>
        <w:trPr>
          <w:trHeight w:val="20"/>
        </w:trPr>
        <w:tc>
          <w:tcPr>
            <w:tcW w:w="7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15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9"/>
              </w:rPr>
              <w:t>/s/ Bradley J. Dodson</w:t>
            </w:r>
          </w:p>
        </w:tc>
        <w:tc>
          <w:tcPr>
            <w:tcW w:w="2880" w:type="dxa"/>
            <w:vAlign w:val="bottom"/>
            <w:gridSpan w:val="6"/>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Director, President &amp; Chief Executive Officer</w:t>
            </w:r>
          </w:p>
        </w:tc>
        <w:tc>
          <w:tcPr>
            <w:tcW w:w="980" w:type="dxa"/>
            <w:vAlign w:val="bottom"/>
            <w:gridSpan w:val="2"/>
          </w:tcPr>
          <w:p>
            <w:pPr>
              <w:spacing w:after="0"/>
              <w:rPr>
                <w:sz w:val="20"/>
                <w:szCs w:val="20"/>
                <w:color w:val="auto"/>
              </w:rPr>
            </w:pPr>
            <w:r>
              <w:rPr>
                <w:rFonts w:ascii="Arial" w:cs="Arial" w:eastAsia="Arial" w:hAnsi="Arial"/>
                <w:sz w:val="18"/>
                <w:szCs w:val="18"/>
                <w:color w:val="auto"/>
                <w:w w:val="89"/>
              </w:rPr>
              <w:t>July 27, 2018</w:t>
            </w:r>
          </w:p>
        </w:tc>
      </w:tr>
      <w:tr>
        <w:trPr>
          <w:trHeight w:val="237"/>
        </w:trPr>
        <w:tc>
          <w:tcPr>
            <w:tcW w:w="4440" w:type="dxa"/>
            <w:vAlign w:val="bottom"/>
            <w:gridSpan w:val="9"/>
          </w:tcPr>
          <w:p>
            <w:pPr>
              <w:spacing w:after="0"/>
              <w:rPr>
                <w:sz w:val="20"/>
                <w:szCs w:val="20"/>
                <w:color w:val="auto"/>
              </w:rPr>
            </w:pPr>
            <w:r>
              <w:rPr>
                <w:rFonts w:ascii="Arial" w:cs="Arial" w:eastAsia="Arial" w:hAnsi="Arial"/>
                <w:sz w:val="18"/>
                <w:szCs w:val="18"/>
                <w:color w:val="auto"/>
              </w:rPr>
              <w:t>Bradley J. Dodson</w:t>
            </w:r>
          </w:p>
        </w:tc>
        <w:tc>
          <w:tcPr>
            <w:tcW w:w="40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92"/>
        </w:trPr>
        <w:tc>
          <w:tcPr>
            <w:tcW w:w="16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0"/>
              </w:rPr>
              <w:t>/s/ Frank C. Steininger</w:t>
            </w:r>
          </w:p>
        </w:tc>
        <w:tc>
          <w:tcPr>
            <w:tcW w:w="2800" w:type="dxa"/>
            <w:vAlign w:val="bottom"/>
            <w:gridSpan w:val="4"/>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w w:val="95"/>
              </w:rPr>
              <w:t>Executive Vice President, Chief Financial Officer and</w:t>
            </w:r>
          </w:p>
        </w:tc>
        <w:tc>
          <w:tcPr>
            <w:tcW w:w="980" w:type="dxa"/>
            <w:vAlign w:val="bottom"/>
            <w:gridSpan w:val="2"/>
          </w:tcPr>
          <w:p>
            <w:pPr>
              <w:spacing w:after="0"/>
              <w:rPr>
                <w:sz w:val="20"/>
                <w:szCs w:val="20"/>
                <w:color w:val="auto"/>
              </w:rPr>
            </w:pPr>
            <w:r>
              <w:rPr>
                <w:rFonts w:ascii="Arial" w:cs="Arial" w:eastAsia="Arial" w:hAnsi="Arial"/>
                <w:sz w:val="18"/>
                <w:szCs w:val="18"/>
                <w:color w:val="auto"/>
                <w:w w:val="89"/>
              </w:rPr>
              <w:t>July 27, 2018</w:t>
            </w:r>
          </w:p>
        </w:tc>
      </w:tr>
      <w:tr>
        <w:trPr>
          <w:trHeight w:val="222"/>
        </w:trPr>
        <w:tc>
          <w:tcPr>
            <w:tcW w:w="4440" w:type="dxa"/>
            <w:vAlign w:val="bottom"/>
            <w:gridSpan w:val="9"/>
          </w:tcPr>
          <w:p>
            <w:pPr>
              <w:spacing w:after="0"/>
              <w:rPr>
                <w:sz w:val="20"/>
                <w:szCs w:val="20"/>
                <w:color w:val="auto"/>
              </w:rPr>
            </w:pPr>
            <w:r>
              <w:rPr>
                <w:rFonts w:ascii="Arial" w:cs="Arial" w:eastAsia="Arial" w:hAnsi="Arial"/>
                <w:sz w:val="18"/>
                <w:szCs w:val="18"/>
                <w:color w:val="auto"/>
              </w:rPr>
              <w:t>Frank C. Steininger</w:t>
            </w:r>
          </w:p>
        </w:tc>
        <w:tc>
          <w:tcPr>
            <w:tcW w:w="4040" w:type="dxa"/>
            <w:vAlign w:val="bottom"/>
            <w:gridSpan w:val="2"/>
          </w:tcPr>
          <w:p>
            <w:pPr>
              <w:spacing w:after="0"/>
              <w:rPr>
                <w:sz w:val="20"/>
                <w:szCs w:val="20"/>
                <w:color w:val="auto"/>
              </w:rPr>
            </w:pPr>
            <w:r>
              <w:rPr>
                <w:rFonts w:ascii="Arial" w:cs="Arial" w:eastAsia="Arial" w:hAnsi="Arial"/>
                <w:sz w:val="18"/>
                <w:szCs w:val="18"/>
                <w:color w:val="auto"/>
                <w:w w:val="95"/>
              </w:rPr>
              <w:t>Treasurer (</w:t>
            </w:r>
            <w:r>
              <w:rPr>
                <w:rFonts w:ascii="Arial" w:cs="Arial" w:eastAsia="Arial" w:hAnsi="Arial"/>
                <w:sz w:val="18"/>
                <w:szCs w:val="18"/>
                <w:i w:val="1"/>
                <w:iCs w:val="1"/>
                <w:color w:val="auto"/>
                <w:w w:val="95"/>
              </w:rPr>
              <w:t>Principal Financial Officer and Accounting</w:t>
            </w: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Officer)</w:t>
            </w: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92"/>
        </w:trPr>
        <w:tc>
          <w:tcPr>
            <w:tcW w:w="16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1"/>
              </w:rPr>
              <w:t>/s/ Richard A. Navarre</w:t>
            </w:r>
          </w:p>
        </w:tc>
        <w:tc>
          <w:tcPr>
            <w:tcW w:w="2800" w:type="dxa"/>
            <w:vAlign w:val="bottom"/>
            <w:gridSpan w:val="4"/>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980" w:type="dxa"/>
            <w:vAlign w:val="bottom"/>
            <w:gridSpan w:val="2"/>
          </w:tcPr>
          <w:p>
            <w:pPr>
              <w:spacing w:after="0"/>
              <w:rPr>
                <w:sz w:val="20"/>
                <w:szCs w:val="20"/>
                <w:color w:val="auto"/>
              </w:rPr>
            </w:pPr>
            <w:r>
              <w:rPr>
                <w:rFonts w:ascii="Arial" w:cs="Arial" w:eastAsia="Arial" w:hAnsi="Arial"/>
                <w:sz w:val="18"/>
                <w:szCs w:val="18"/>
                <w:color w:val="auto"/>
                <w:w w:val="89"/>
              </w:rPr>
              <w:t>July 27, 2018</w:t>
            </w:r>
          </w:p>
        </w:tc>
      </w:tr>
      <w:tr>
        <w:trPr>
          <w:trHeight w:val="237"/>
        </w:trPr>
        <w:tc>
          <w:tcPr>
            <w:tcW w:w="4440" w:type="dxa"/>
            <w:vAlign w:val="bottom"/>
            <w:gridSpan w:val="9"/>
          </w:tcPr>
          <w:p>
            <w:pPr>
              <w:spacing w:after="0"/>
              <w:rPr>
                <w:sz w:val="20"/>
                <w:szCs w:val="20"/>
                <w:color w:val="auto"/>
              </w:rPr>
            </w:pPr>
            <w:r>
              <w:rPr>
                <w:rFonts w:ascii="Arial" w:cs="Arial" w:eastAsia="Arial" w:hAnsi="Arial"/>
                <w:sz w:val="18"/>
                <w:szCs w:val="18"/>
                <w:color w:val="auto"/>
              </w:rPr>
              <w:t>Richard A. Navarre</w:t>
            </w:r>
          </w:p>
        </w:tc>
        <w:tc>
          <w:tcPr>
            <w:tcW w:w="3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92"/>
        </w:trPr>
        <w:tc>
          <w:tcPr>
            <w:tcW w:w="190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0"/>
              </w:rPr>
              <w:t>/s/ C. Ronald Blankenship</w:t>
            </w:r>
          </w:p>
        </w:tc>
        <w:tc>
          <w:tcPr>
            <w:tcW w:w="2540" w:type="dxa"/>
            <w:vAlign w:val="bottom"/>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980" w:type="dxa"/>
            <w:vAlign w:val="bottom"/>
            <w:gridSpan w:val="2"/>
          </w:tcPr>
          <w:p>
            <w:pPr>
              <w:spacing w:after="0"/>
              <w:rPr>
                <w:sz w:val="20"/>
                <w:szCs w:val="20"/>
                <w:color w:val="auto"/>
              </w:rPr>
            </w:pPr>
            <w:r>
              <w:rPr>
                <w:rFonts w:ascii="Arial" w:cs="Arial" w:eastAsia="Arial" w:hAnsi="Arial"/>
                <w:sz w:val="18"/>
                <w:szCs w:val="18"/>
                <w:color w:val="auto"/>
                <w:w w:val="89"/>
              </w:rPr>
              <w:t>July 27, 2018</w:t>
            </w:r>
          </w:p>
        </w:tc>
      </w:tr>
      <w:tr>
        <w:trPr>
          <w:trHeight w:val="237"/>
        </w:trPr>
        <w:tc>
          <w:tcPr>
            <w:tcW w:w="4440" w:type="dxa"/>
            <w:vAlign w:val="bottom"/>
            <w:gridSpan w:val="9"/>
          </w:tcPr>
          <w:p>
            <w:pPr>
              <w:spacing w:after="0"/>
              <w:rPr>
                <w:sz w:val="20"/>
                <w:szCs w:val="20"/>
                <w:color w:val="auto"/>
              </w:rPr>
            </w:pPr>
            <w:r>
              <w:rPr>
                <w:rFonts w:ascii="Arial" w:cs="Arial" w:eastAsia="Arial" w:hAnsi="Arial"/>
                <w:sz w:val="18"/>
                <w:szCs w:val="18"/>
                <w:color w:val="auto"/>
              </w:rPr>
              <w:t>C. Ronald Blankenship</w:t>
            </w:r>
          </w:p>
        </w:tc>
        <w:tc>
          <w:tcPr>
            <w:tcW w:w="3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92"/>
        </w:trPr>
        <w:tc>
          <w:tcPr>
            <w:tcW w:w="176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2"/>
              </w:rPr>
              <w:t>/s/ Ronald J. Gilbertson</w:t>
            </w:r>
          </w:p>
        </w:tc>
        <w:tc>
          <w:tcPr>
            <w:tcW w:w="2680" w:type="dxa"/>
            <w:vAlign w:val="bottom"/>
            <w:gridSpan w:val="2"/>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980" w:type="dxa"/>
            <w:vAlign w:val="bottom"/>
            <w:gridSpan w:val="2"/>
          </w:tcPr>
          <w:p>
            <w:pPr>
              <w:spacing w:after="0"/>
              <w:rPr>
                <w:sz w:val="20"/>
                <w:szCs w:val="20"/>
                <w:color w:val="auto"/>
              </w:rPr>
            </w:pPr>
            <w:r>
              <w:rPr>
                <w:rFonts w:ascii="Arial" w:cs="Arial" w:eastAsia="Arial" w:hAnsi="Arial"/>
                <w:sz w:val="18"/>
                <w:szCs w:val="18"/>
                <w:color w:val="auto"/>
                <w:w w:val="89"/>
              </w:rPr>
              <w:t>July 27, 2018</w:t>
            </w:r>
          </w:p>
        </w:tc>
      </w:tr>
      <w:tr>
        <w:trPr>
          <w:trHeight w:val="237"/>
        </w:trPr>
        <w:tc>
          <w:tcPr>
            <w:tcW w:w="4440" w:type="dxa"/>
            <w:vAlign w:val="bottom"/>
            <w:gridSpan w:val="9"/>
          </w:tcPr>
          <w:p>
            <w:pPr>
              <w:spacing w:after="0"/>
              <w:rPr>
                <w:sz w:val="20"/>
                <w:szCs w:val="20"/>
                <w:color w:val="auto"/>
              </w:rPr>
            </w:pPr>
            <w:r>
              <w:rPr>
                <w:rFonts w:ascii="Arial" w:cs="Arial" w:eastAsia="Arial" w:hAnsi="Arial"/>
                <w:sz w:val="18"/>
                <w:szCs w:val="18"/>
                <w:color w:val="auto"/>
              </w:rPr>
              <w:t>Ronald J. Gilbertson</w:t>
            </w:r>
          </w:p>
        </w:tc>
        <w:tc>
          <w:tcPr>
            <w:tcW w:w="3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92"/>
        </w:trPr>
        <w:tc>
          <w:tcPr>
            <w:tcW w:w="4440" w:type="dxa"/>
            <w:vAlign w:val="bottom"/>
            <w:gridSpan w:val="9"/>
          </w:tcPr>
          <w:p>
            <w:pPr>
              <w:spacing w:after="0"/>
              <w:rPr>
                <w:sz w:val="20"/>
                <w:szCs w:val="20"/>
                <w:color w:val="auto"/>
              </w:rPr>
            </w:pPr>
            <w:r>
              <w:rPr>
                <w:rFonts w:ascii="Arial" w:cs="Arial" w:eastAsia="Arial" w:hAnsi="Arial"/>
                <w:sz w:val="18"/>
                <w:szCs w:val="18"/>
                <w:color w:val="auto"/>
              </w:rPr>
              <w:t>/s/ Martin A. Lambert</w:t>
            </w:r>
          </w:p>
        </w:tc>
        <w:tc>
          <w:tcPr>
            <w:tcW w:w="40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980" w:type="dxa"/>
            <w:vAlign w:val="bottom"/>
            <w:gridSpan w:val="2"/>
          </w:tcPr>
          <w:p>
            <w:pPr>
              <w:spacing w:after="0"/>
              <w:rPr>
                <w:sz w:val="20"/>
                <w:szCs w:val="20"/>
                <w:color w:val="auto"/>
              </w:rPr>
            </w:pPr>
            <w:r>
              <w:rPr>
                <w:rFonts w:ascii="Arial" w:cs="Arial" w:eastAsia="Arial" w:hAnsi="Arial"/>
                <w:sz w:val="18"/>
                <w:szCs w:val="18"/>
                <w:color w:val="auto"/>
                <w:w w:val="89"/>
              </w:rPr>
              <w:t>July 27, 2018</w:t>
            </w:r>
          </w:p>
        </w:tc>
      </w:tr>
      <w:tr>
        <w:trPr>
          <w:trHeight w:val="237"/>
        </w:trPr>
        <w:tc>
          <w:tcPr>
            <w:tcW w:w="15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Martin A. Lambert</w:t>
            </w:r>
          </w:p>
        </w:tc>
        <w:tc>
          <w:tcPr>
            <w:tcW w:w="2860" w:type="dxa"/>
            <w:vAlign w:val="bottom"/>
            <w:gridSpan w:val="5"/>
          </w:tcPr>
          <w:p>
            <w:pPr>
              <w:spacing w:after="0"/>
              <w:rPr>
                <w:sz w:val="20"/>
                <w:szCs w:val="20"/>
                <w:color w:val="auto"/>
              </w:rPr>
            </w:pPr>
          </w:p>
        </w:tc>
        <w:tc>
          <w:tcPr>
            <w:tcW w:w="3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92"/>
        </w:trPr>
        <w:tc>
          <w:tcPr>
            <w:tcW w:w="4440" w:type="dxa"/>
            <w:vAlign w:val="bottom"/>
            <w:gridSpan w:val="9"/>
          </w:tcPr>
          <w:p>
            <w:pPr>
              <w:spacing w:after="0"/>
              <w:rPr>
                <w:sz w:val="20"/>
                <w:szCs w:val="20"/>
                <w:color w:val="auto"/>
              </w:rPr>
            </w:pPr>
            <w:r>
              <w:rPr>
                <w:rFonts w:ascii="Arial" w:cs="Arial" w:eastAsia="Arial" w:hAnsi="Arial"/>
                <w:sz w:val="18"/>
                <w:szCs w:val="18"/>
                <w:color w:val="auto"/>
              </w:rPr>
              <w:t>/s/ Constance B. Moore</w:t>
            </w:r>
          </w:p>
        </w:tc>
        <w:tc>
          <w:tcPr>
            <w:tcW w:w="40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980" w:type="dxa"/>
            <w:vAlign w:val="bottom"/>
            <w:gridSpan w:val="2"/>
          </w:tcPr>
          <w:p>
            <w:pPr>
              <w:spacing w:after="0"/>
              <w:rPr>
                <w:sz w:val="20"/>
                <w:szCs w:val="20"/>
                <w:color w:val="auto"/>
              </w:rPr>
            </w:pPr>
            <w:r>
              <w:rPr>
                <w:rFonts w:ascii="Arial" w:cs="Arial" w:eastAsia="Arial" w:hAnsi="Arial"/>
                <w:sz w:val="18"/>
                <w:szCs w:val="18"/>
                <w:color w:val="auto"/>
                <w:w w:val="89"/>
              </w:rPr>
              <w:t>July 27, 2018</w:t>
            </w:r>
          </w:p>
        </w:tc>
      </w:tr>
      <w:tr>
        <w:trPr>
          <w:trHeight w:val="237"/>
        </w:trPr>
        <w:tc>
          <w:tcPr>
            <w:tcW w:w="170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Constance B. Moore</w:t>
            </w:r>
          </w:p>
        </w:tc>
        <w:tc>
          <w:tcPr>
            <w:tcW w:w="2740" w:type="dxa"/>
            <w:vAlign w:val="bottom"/>
            <w:gridSpan w:val="3"/>
          </w:tcPr>
          <w:p>
            <w:pPr>
              <w:spacing w:after="0"/>
              <w:rPr>
                <w:sz w:val="20"/>
                <w:szCs w:val="20"/>
                <w:color w:val="auto"/>
              </w:rPr>
            </w:pPr>
          </w:p>
        </w:tc>
        <w:tc>
          <w:tcPr>
            <w:tcW w:w="3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92"/>
        </w:trPr>
        <w:tc>
          <w:tcPr>
            <w:tcW w:w="4440" w:type="dxa"/>
            <w:vAlign w:val="bottom"/>
            <w:gridSpan w:val="9"/>
          </w:tcPr>
          <w:p>
            <w:pPr>
              <w:spacing w:after="0"/>
              <w:rPr>
                <w:sz w:val="20"/>
                <w:szCs w:val="20"/>
                <w:color w:val="auto"/>
              </w:rPr>
            </w:pPr>
            <w:r>
              <w:rPr>
                <w:rFonts w:ascii="Arial" w:cs="Arial" w:eastAsia="Arial" w:hAnsi="Arial"/>
                <w:sz w:val="18"/>
                <w:szCs w:val="18"/>
                <w:color w:val="auto"/>
              </w:rPr>
              <w:t>/s/ Charles Szalkowski</w:t>
            </w:r>
          </w:p>
        </w:tc>
        <w:tc>
          <w:tcPr>
            <w:tcW w:w="40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980" w:type="dxa"/>
            <w:vAlign w:val="bottom"/>
            <w:gridSpan w:val="2"/>
          </w:tcPr>
          <w:p>
            <w:pPr>
              <w:spacing w:after="0"/>
              <w:rPr>
                <w:sz w:val="20"/>
                <w:szCs w:val="20"/>
                <w:color w:val="auto"/>
              </w:rPr>
            </w:pPr>
            <w:r>
              <w:rPr>
                <w:rFonts w:ascii="Arial" w:cs="Arial" w:eastAsia="Arial" w:hAnsi="Arial"/>
                <w:sz w:val="18"/>
                <w:szCs w:val="18"/>
                <w:color w:val="auto"/>
                <w:w w:val="89"/>
              </w:rPr>
              <w:t>July 13, 2018</w:t>
            </w:r>
          </w:p>
        </w:tc>
      </w:tr>
      <w:tr>
        <w:trPr>
          <w:trHeight w:val="237"/>
        </w:trPr>
        <w:tc>
          <w:tcPr>
            <w:tcW w:w="164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Charles Szalkowski</w:t>
            </w:r>
          </w:p>
        </w:tc>
        <w:tc>
          <w:tcPr>
            <w:tcW w:w="2800" w:type="dxa"/>
            <w:vAlign w:val="bottom"/>
            <w:gridSpan w:val="4"/>
          </w:tcPr>
          <w:p>
            <w:pPr>
              <w:spacing w:after="0"/>
              <w:rPr>
                <w:sz w:val="20"/>
                <w:szCs w:val="20"/>
                <w:color w:val="auto"/>
              </w:rPr>
            </w:pPr>
          </w:p>
        </w:tc>
        <w:tc>
          <w:tcPr>
            <w:tcW w:w="3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92"/>
        </w:trPr>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Timothy O. Wall</w:t>
            </w:r>
          </w:p>
        </w:tc>
        <w:tc>
          <w:tcPr>
            <w:tcW w:w="3000" w:type="dxa"/>
            <w:vAlign w:val="bottom"/>
            <w:gridSpan w:val="7"/>
          </w:tcPr>
          <w:p>
            <w:pPr>
              <w:spacing w:after="0"/>
              <w:rPr>
                <w:sz w:val="24"/>
                <w:szCs w:val="24"/>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980" w:type="dxa"/>
            <w:vAlign w:val="bottom"/>
            <w:gridSpan w:val="2"/>
          </w:tcPr>
          <w:p>
            <w:pPr>
              <w:spacing w:after="0"/>
              <w:rPr>
                <w:sz w:val="20"/>
                <w:szCs w:val="20"/>
                <w:color w:val="auto"/>
              </w:rPr>
            </w:pPr>
            <w:r>
              <w:rPr>
                <w:rFonts w:ascii="Arial" w:cs="Arial" w:eastAsia="Arial" w:hAnsi="Arial"/>
                <w:sz w:val="18"/>
                <w:szCs w:val="18"/>
                <w:color w:val="auto"/>
                <w:w w:val="89"/>
              </w:rPr>
              <w:t>July 13, 2018</w:t>
            </w:r>
          </w:p>
        </w:tc>
      </w:tr>
      <w:tr>
        <w:trPr>
          <w:trHeight w:val="237"/>
        </w:trPr>
        <w:tc>
          <w:tcPr>
            <w:tcW w:w="4440" w:type="dxa"/>
            <w:vAlign w:val="bottom"/>
            <w:gridSpan w:val="9"/>
          </w:tcPr>
          <w:p>
            <w:pPr>
              <w:spacing w:after="0"/>
              <w:rPr>
                <w:sz w:val="20"/>
                <w:szCs w:val="20"/>
                <w:color w:val="auto"/>
              </w:rPr>
            </w:pPr>
            <w:r>
              <w:rPr>
                <w:rFonts w:ascii="Arial" w:cs="Arial" w:eastAsia="Arial" w:hAnsi="Arial"/>
                <w:sz w:val="18"/>
                <w:szCs w:val="18"/>
                <w:color w:val="auto"/>
              </w:rPr>
              <w:t>Timothy O. Wall</w:t>
            </w:r>
          </w:p>
        </w:tc>
        <w:tc>
          <w:tcPr>
            <w:tcW w:w="3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r>
    </w:tbl>
    <w:p>
      <w:pPr>
        <w:sectPr>
          <w:pgSz w:w="11900" w:h="16838" w:orient="portrait"/>
          <w:cols w:equalWidth="0" w:num="1">
            <w:col w:w="11300"/>
          </w:cols>
          <w:pgMar w:left="240" w:top="584" w:right="35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5.1</w:t>
      </w:r>
    </w:p>
    <w:p>
      <w:pPr>
        <w:spacing w:after="0" w:line="200" w:lineRule="exact"/>
        <w:rPr>
          <w:sz w:val="20"/>
          <w:szCs w:val="20"/>
          <w:color w:val="auto"/>
        </w:rPr>
      </w:pPr>
    </w:p>
    <w:p>
      <w:pPr>
        <w:spacing w:after="0" w:line="268"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Dentons Canada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58623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586230" cy="308610"/>
                    </a:xfrm>
                    <a:prstGeom prst="rect">
                      <a:avLst/>
                    </a:prstGeom>
                    <a:noFill/>
                  </pic:spPr>
                </pic:pic>
              </a:graphicData>
            </a:graphic>
          </wp:anchor>
        </w:drawing>
      </w:r>
    </w:p>
    <w:p>
      <w:pPr>
        <w:ind w:left="7500"/>
        <w:spacing w:after="0" w:line="195" w:lineRule="auto"/>
        <w:rPr>
          <w:sz w:val="20"/>
          <w:szCs w:val="20"/>
          <w:color w:val="auto"/>
        </w:rPr>
      </w:pPr>
      <w:r>
        <w:rPr>
          <w:rFonts w:ascii="Arial" w:cs="Arial" w:eastAsia="Arial" w:hAnsi="Arial"/>
          <w:sz w:val="18"/>
          <w:szCs w:val="18"/>
          <w:color w:val="auto"/>
        </w:rPr>
        <w:t>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250 Howe Street</w:t>
      </w:r>
    </w:p>
    <w:p>
      <w:pPr>
        <w:spacing w:after="0" w:line="1"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Vancouver, BC, Canada V6C 3R8</w:t>
      </w:r>
    </w:p>
    <w:p>
      <w:pPr>
        <w:spacing w:after="0" w:line="20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dentons.com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July 27,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Three Allen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4980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Re:</w:t>
        <w:tab/>
        <w:t>Civeo Corporation – Registration Statement on Form S-8</w:t>
      </w:r>
    </w:p>
    <w:p>
      <w:pPr>
        <w:spacing w:after="0" w:line="2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We have acted as Canadian legal counsel to Civeo Corporation, a company governed by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(British Columbia)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Registration Statement on Form S-8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to be filed on the date hereof by the Company,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xml:space="preserve">”) under the </w:t>
      </w:r>
      <w:r>
        <w:rPr>
          <w:rFonts w:ascii="Arial" w:cs="Arial" w:eastAsia="Arial" w:hAnsi="Arial"/>
          <w:sz w:val="17"/>
          <w:szCs w:val="17"/>
          <w:i w:val="1"/>
          <w:iCs w:val="1"/>
          <w:color w:val="auto"/>
        </w:rPr>
        <w:t>Securities Act of 1933</w:t>
      </w:r>
      <w:r>
        <w:rPr>
          <w:rFonts w:ascii="Arial" w:cs="Arial" w:eastAsia="Arial" w:hAnsi="Arial"/>
          <w:sz w:val="17"/>
          <w:szCs w:val="17"/>
          <w:color w:val="auto"/>
        </w:rPr>
        <w:t>, as amended (the “</w:t>
      </w:r>
      <w:r>
        <w:rPr>
          <w:rFonts w:ascii="Arial" w:cs="Arial" w:eastAsia="Arial" w:hAnsi="Arial"/>
          <w:sz w:val="17"/>
          <w:szCs w:val="17"/>
          <w:b w:val="1"/>
          <w:bCs w:val="1"/>
          <w:color w:val="auto"/>
        </w:rPr>
        <w:t>Act</w:t>
      </w:r>
      <w:r>
        <w:rPr>
          <w:rFonts w:ascii="Arial" w:cs="Arial" w:eastAsia="Arial" w:hAnsi="Arial"/>
          <w:sz w:val="17"/>
          <w:szCs w:val="17"/>
          <w:color w:val="auto"/>
        </w:rPr>
        <w:t>”), relating to 4,700,000 common shares without par value of the Company (the “</w:t>
      </w:r>
      <w:r>
        <w:rPr>
          <w:rFonts w:ascii="Arial" w:cs="Arial" w:eastAsia="Arial" w:hAnsi="Arial"/>
          <w:sz w:val="17"/>
          <w:szCs w:val="17"/>
          <w:b w:val="1"/>
          <w:bCs w:val="1"/>
          <w:color w:val="auto"/>
        </w:rPr>
        <w:t>Shares</w:t>
      </w:r>
      <w:r>
        <w:rPr>
          <w:rFonts w:ascii="Arial" w:cs="Arial" w:eastAsia="Arial" w:hAnsi="Arial"/>
          <w:sz w:val="17"/>
          <w:szCs w:val="17"/>
          <w:color w:val="auto"/>
        </w:rPr>
        <w:t>”) issuable pursuant to the Amended and Restated 2014 Equity Participation Plan of Civeo Corporation (the “</w:t>
      </w:r>
      <w:r>
        <w:rPr>
          <w:rFonts w:ascii="Arial" w:cs="Arial" w:eastAsia="Arial" w:hAnsi="Arial"/>
          <w:sz w:val="17"/>
          <w:szCs w:val="17"/>
          <w:b w:val="1"/>
          <w:bCs w:val="1"/>
          <w:color w:val="auto"/>
        </w:rPr>
        <w:t>Incentive</w:t>
      </w:r>
      <w:r>
        <w:rPr>
          <w:rFonts w:ascii="Arial" w:cs="Arial" w:eastAsia="Arial" w:hAnsi="Arial"/>
          <w:sz w:val="17"/>
          <w:szCs w:val="17"/>
          <w:color w:val="auto"/>
        </w:rPr>
        <w:t xml:space="preserve"> </w:t>
      </w:r>
      <w:r>
        <w:rPr>
          <w:rFonts w:ascii="Arial" w:cs="Arial" w:eastAsia="Arial" w:hAnsi="Arial"/>
          <w:sz w:val="17"/>
          <w:szCs w:val="17"/>
          <w:b w:val="1"/>
          <w:bCs w:val="1"/>
          <w:color w:val="auto"/>
        </w:rPr>
        <w:t>Plan</w:t>
      </w:r>
      <w:r>
        <w:rPr>
          <w:rFonts w:ascii="Arial" w:cs="Arial" w:eastAsia="Arial" w:hAnsi="Arial"/>
          <w:sz w:val="17"/>
          <w:szCs w:val="17"/>
          <w:color w:val="auto"/>
        </w:rPr>
        <w:t>”). In our capacity as such legal counsel, certain legal matters with respect to the Shares are being passed upon for you by us. At your request, this</w:t>
      </w:r>
      <w:r>
        <w:rPr>
          <w:rFonts w:ascii="Arial" w:cs="Arial" w:eastAsia="Arial" w:hAnsi="Arial"/>
          <w:sz w:val="17"/>
          <w:szCs w:val="17"/>
          <w:b w:val="1"/>
          <w:bCs w:val="1"/>
          <w:color w:val="auto"/>
        </w:rPr>
        <w:t xml:space="preserve"> </w:t>
      </w:r>
      <w:r>
        <w:rPr>
          <w:rFonts w:ascii="Arial" w:cs="Arial" w:eastAsia="Arial" w:hAnsi="Arial"/>
          <w:sz w:val="17"/>
          <w:szCs w:val="17"/>
          <w:color w:val="auto"/>
        </w:rPr>
        <w:t>opinion is being furnished to you for filing as Exhibit 5.1 to the Registration Statement.</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our capacity as your Canadian counsel with regard to the matters referred to above, we have examined originals, or copies certified or otherwise identified, of the draft Registration Statement; the Notice of Articles and Articles of the Company, each as amended to date; the Incentive Plan; corporate records of the Company, including minute books of the Company, as furnished to us by the Company; certificates of public officials and of representatives of the Company; statutes; and other instruments and documents as a basis for the opinions hereinafter expressed.</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giving such opinions, we have relied upon certificates of officers of the Company and of public officials with respect to the accuracy of the material factual matters contained in such certificates. In giving the opinions below, we have assumed the signatures on all documents examined by us are genuine, the legal capacity at all relevant times of all natural persons signing such documents, all documents submitted to us as originals are accurate and complete, all documents submitted to us as copies are true and correct copies of the originals thereof and all information submitted to us was accurate and complete.</w:t>
      </w:r>
    </w:p>
    <w:p>
      <w:pPr>
        <w:spacing w:after="0" w:line="15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the basis of the foregoing, and subject to the assumptions, limitations and qualifications set forth herein, we are of the opinion that, when issued by the Company pursuant to the provisions of the Incentive Plan following due authorization of a particular award thereunder by the Board of Directors of the Company or a duly constituted and acting committee thereof (the “</w:t>
      </w:r>
      <w:r>
        <w:rPr>
          <w:rFonts w:ascii="Arial" w:cs="Arial" w:eastAsia="Arial" w:hAnsi="Arial"/>
          <w:sz w:val="16"/>
          <w:szCs w:val="16"/>
          <w:b w:val="1"/>
          <w:bCs w:val="1"/>
          <w:color w:val="auto"/>
        </w:rPr>
        <w:t>Board</w:t>
      </w:r>
      <w:r>
        <w:rPr>
          <w:rFonts w:ascii="Arial" w:cs="Arial" w:eastAsia="Arial" w:hAnsi="Arial"/>
          <w:sz w:val="16"/>
          <w:szCs w:val="16"/>
          <w:color w:val="auto"/>
        </w:rPr>
        <w:t>”) as provided in and in accordance with the Incentive Plan, the Shares issuable pursuant to such award will have been duly authorized by all necessary corporate action on the part of the Company, and upon issuance and delivery of such Shares from time to time pursuant to the terms of such award for the consideration established pursuant to the terms of the Incentive Plan and otherwise in accordance with the terms and conditions of such award, including, if applicable, the lapse of any restrictions relating thereto, the satisfaction of any performance conditions associated therewith and any requisite determinations by or pursuant to the authority of the Board as provided therein, and, in the case of options, the exercise thereof and payment for such Shares as provided therein, such Shares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jc w:val="both"/>
        <w:ind w:right="20"/>
        <w:spacing w:after="0" w:line="277" w:lineRule="auto"/>
        <w:rPr>
          <w:sz w:val="20"/>
          <w:szCs w:val="20"/>
          <w:color w:val="auto"/>
        </w:rPr>
      </w:pPr>
      <w:r>
        <w:rPr>
          <w:rFonts w:ascii="Arial" w:cs="Arial" w:eastAsia="Arial" w:hAnsi="Arial"/>
          <w:sz w:val="18"/>
          <w:szCs w:val="18"/>
          <w:color w:val="auto"/>
        </w:rPr>
        <w:t>We are qualified to practice law in the Province of British Columbia and this opinion is rendered solely with respect to the laws of the Province of British Columbia and the federal laws of Canada applicable therein.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opinions expressed herein are given as at the date hereof and are based upon laws in effect and facts in existence as at the date hereof. We express no opinion as to the effect of future laws or judicial or regulatory decisions on the subject matter hereof, and we specifically disclaim any obligation and make no undertaking to advise any person of any change in law or fact that may come to our attention after the date hereof.</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hereby consent to the filing of this opinion with the Commission as Exhibit 5.1 to the Registration Statement. In giving such consent, we do not admit that we are within the category of persons whose consent is required under Section 7 of the Act or the rules and regulations of the Commission thereunder.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DENTONS CANADA LLP</w:t>
      </w:r>
    </w:p>
    <w:p>
      <w:pPr>
        <w:sectPr>
          <w:pgSz w:w="11900" w:h="16838" w:orient="portrait"/>
          <w:cols w:equalWidth="0" w:num="1">
            <w:col w:w="11420"/>
          </w:cols>
          <w:pgMar w:left="240" w:top="584" w:right="239" w:bottom="1440" w:gutter="0" w:footer="0" w:header="0"/>
        </w:sectPr>
      </w:pPr>
    </w:p>
    <w:bookmarkStart w:id="8" w:name="page9"/>
    <w:bookmarkEnd w:id="8"/>
    <w:p>
      <w:pPr>
        <w:ind w:left="10540"/>
        <w:spacing w:after="0"/>
        <w:rPr>
          <w:sz w:val="20"/>
          <w:szCs w:val="20"/>
          <w:color w:val="auto"/>
        </w:rPr>
      </w:pPr>
      <w:r>
        <w:rPr>
          <w:rFonts w:ascii="Arial" w:cs="Arial" w:eastAsia="Arial" w:hAnsi="Arial"/>
          <w:sz w:val="16"/>
          <w:szCs w:val="16"/>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on Form S-8 pertaining to the Amended and Restated 2014 Equity Participation Plan of Civeo Corporation of our reports dated February 23, 2018, with respect to the consolidated financial statements of Civeo Corporation and the effectiveness of internal control over financial reporting of Civeo Corporation included in its Annual Report on Form 10-K for the year ended December 31, 2017,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/s/Ernst &amp; Young LLP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27, 2018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jpeg"/><Relationship Id="rId27" Type="http://schemas.openxmlformats.org/officeDocument/2006/relationships/image" Target="media/image15.png"/><Relationship Id="rId18" Type="http://schemas.openxmlformats.org/officeDocument/2006/relationships/hyperlink" Target="http://www.sec.gov/Archives/edgar/data/1590584/000143774918006074/ex_109485.htm" TargetMode="External"/><Relationship Id="rId19" Type="http://schemas.openxmlformats.org/officeDocument/2006/relationships/hyperlink" Target="http://www.sec.gov/Archives/edgar/data/1590584/000143774918006074/ex_109480.htm" TargetMode="External"/><Relationship Id="rId20" Type="http://schemas.openxmlformats.org/officeDocument/2006/relationships/hyperlink" Target="http://www.sec.gov/Archives/edgar/data/1590584/000119312516536013/d171905ddef14a.htm#toc171905_46" TargetMode="External"/><Relationship Id="rId21" Type="http://schemas.openxmlformats.org/officeDocument/2006/relationships/hyperlink" Target="http://www.sec.gov/Archives/edgar/data/1590584/000143774917003062/ex10-33.htm" TargetMode="External"/><Relationship Id="rId22" Type="http://schemas.openxmlformats.org/officeDocument/2006/relationships/hyperlink" Target="http://www.sec.gov/Archives/edgar/data/1590584/000143774918013879/ex_1184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2019-12-08T09:30:38Z</dcterms:created>
  <dcterms:modified xsi:type="dcterms:W3CDTF">2019-12-08T09:30:38Z</dcterms:modified>
</cp:coreProperties>
</file>