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7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90"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71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100"/>
        <w:spacing w:after="0"/>
        <w:rPr>
          <w:sz w:val="20"/>
          <w:szCs w:val="20"/>
          <w:color w:val="auto"/>
        </w:rPr>
      </w:pPr>
      <w:r>
        <w:rPr>
          <w:rFonts w:ascii="Arial" w:cs="Arial" w:eastAsia="Arial" w:hAnsi="Arial"/>
          <w:sz w:val="22"/>
          <w:szCs w:val="22"/>
          <w:b w:val="1"/>
          <w:bCs w:val="1"/>
          <w:color w:val="auto"/>
        </w:rPr>
        <w:t>PURSUANT TO RULE 13d-2(b)</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Civeo Corporation</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Common Shares, no par value per share</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(Title of Class of Securities)</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17878Y207</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(CUSIP Number)</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March 30, 2020</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17878Y207</w:t>
      </w:r>
    </w:p>
    <w:p>
      <w:pPr>
        <w:spacing w:after="0" w:line="252" w:lineRule="exact"/>
        <w:rPr>
          <w:sz w:val="20"/>
          <w:szCs w:val="20"/>
          <w:color w:val="auto"/>
        </w:rPr>
      </w:pPr>
    </w:p>
    <w:p>
      <w:pPr>
        <w:ind w:left="1220" w:hanging="1122"/>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State of Oklahoma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84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spacing w:after="0"/>
              <w:rPr>
                <w:sz w:val="24"/>
                <w:szCs w:val="24"/>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8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vMerge w:val="continue"/>
          </w:tcPr>
          <w:p>
            <w:pPr>
              <w:spacing w:after="0"/>
              <w:rPr>
                <w:sz w:val="9"/>
                <w:szCs w:val="9"/>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76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vMerge w:val="continue"/>
          </w:tcPr>
          <w:p>
            <w:pPr>
              <w:spacing w:after="0"/>
              <w:rPr>
                <w:sz w:val="6"/>
                <w:szCs w:val="6"/>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14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7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1220" w:right="5080" w:hanging="1212"/>
        <w:spacing w:after="0" w:line="38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 (1)**</w:t>
      </w:r>
    </w:p>
    <w:p>
      <w:pPr>
        <w:ind w:left="1220" w:right="7420" w:hanging="1212"/>
        <w:spacing w:after="0" w:line="52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120" w:firstLine="8"/>
        <w:spacing w:after="0" w:line="236" w:lineRule="auto"/>
        <w:tabs>
          <w:tab w:leader="none" w:pos="41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numbers and percentage above reflect the beneficial ownership of the reporting person as of December 31, 2020. The reporting person’s beneficial ownership exceeded 5% of the outstanding Common Shares of Civeo Corporation (the “Issuer”) on March 30, 2020. On such date, the reporting person beneficially owned 710,867 Common Shares of the Issuer, adjusted for the issuer’s 1-for-12 reverse share split.</w:t>
      </w:r>
    </w:p>
    <w:p>
      <w:pPr>
        <w:ind w:right="7460" w:firstLine="8"/>
        <w:spacing w:after="0" w:line="258" w:lineRule="auto"/>
        <w:tabs>
          <w:tab w:leader="none" w:pos="2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17878Y207</w:t>
      </w:r>
    </w:p>
    <w:p>
      <w:pPr>
        <w:spacing w:after="0" w:line="252" w:lineRule="exact"/>
        <w:rPr>
          <w:sz w:val="20"/>
          <w:szCs w:val="20"/>
          <w:color w:val="auto"/>
        </w:rPr>
      </w:pPr>
    </w:p>
    <w:p>
      <w:pPr>
        <w:ind w:left="1220" w:hanging="1122"/>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State of Oklahoma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84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spacing w:after="0"/>
              <w:rPr>
                <w:sz w:val="24"/>
                <w:szCs w:val="24"/>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vMerge w:val="continue"/>
          </w:tcPr>
          <w:p>
            <w:pPr>
              <w:spacing w:after="0"/>
              <w:rPr>
                <w:sz w:val="9"/>
                <w:szCs w:val="9"/>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76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vMerge w:val="continue"/>
          </w:tcPr>
          <w:p>
            <w:pPr>
              <w:spacing w:after="0"/>
              <w:rPr>
                <w:sz w:val="6"/>
                <w:szCs w:val="6"/>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7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060" w:hanging="105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060" w:hanging="1052"/>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0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1060" w:right="5240" w:hanging="1052"/>
        <w:spacing w:after="0" w:line="38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 (1)**</w:t>
      </w:r>
    </w:p>
    <w:p>
      <w:pPr>
        <w:ind w:left="1060" w:right="7580" w:hanging="1052"/>
        <w:spacing w:after="0" w:line="512"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right="240" w:firstLine="8"/>
        <w:spacing w:after="0" w:line="236" w:lineRule="auto"/>
        <w:tabs>
          <w:tab w:leader="none" w:pos="41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numbers and percentage above reflect the beneficial ownership of the reporting person as of December 31, 2020. The reporting person’s beneficial ownership exceeded 5% of the outstanding Common Shares of the Issuer on March 30, 2020. On such date, the reporting person beneficially owned 710,867 Common Shares of the Issuer, adjusted for the issuer’s 1-for-12 reverse share split.</w:t>
      </w:r>
    </w:p>
    <w:p>
      <w:pPr>
        <w:ind w:right="7460" w:firstLine="8"/>
        <w:spacing w:after="0" w:line="258" w:lineRule="auto"/>
        <w:tabs>
          <w:tab w:leader="none" w:pos="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17878Y207</w:t>
      </w:r>
    </w:p>
    <w:p>
      <w:pPr>
        <w:spacing w:after="0" w:line="252" w:lineRule="exact"/>
        <w:rPr>
          <w:sz w:val="20"/>
          <w:szCs w:val="20"/>
          <w:color w:val="auto"/>
        </w:rPr>
      </w:pPr>
    </w:p>
    <w:p>
      <w:pPr>
        <w:ind w:left="1220" w:hanging="1122"/>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State of Oklahoma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84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spacing w:after="0"/>
              <w:rPr>
                <w:sz w:val="24"/>
                <w:szCs w:val="24"/>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vMerge w:val="continue"/>
          </w:tcPr>
          <w:p>
            <w:pPr>
              <w:spacing w:after="0"/>
              <w:rPr>
                <w:sz w:val="9"/>
                <w:szCs w:val="9"/>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76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vMerge w:val="continue"/>
          </w:tcPr>
          <w:p>
            <w:pPr>
              <w:spacing w:after="0"/>
              <w:rPr>
                <w:sz w:val="6"/>
                <w:szCs w:val="6"/>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7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1220" w:right="5080" w:hanging="1212"/>
        <w:spacing w:after="0" w:line="38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 (1)**</w:t>
      </w:r>
    </w:p>
    <w:p>
      <w:pPr>
        <w:ind w:left="1220" w:right="7420" w:hanging="1212"/>
        <w:spacing w:after="0" w:line="52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right="240" w:firstLine="8"/>
        <w:spacing w:after="0" w:line="236" w:lineRule="auto"/>
        <w:tabs>
          <w:tab w:leader="none" w:pos="41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numbers and percentage above reflect the beneficial ownership of the reporting person as of December 31, 2020. The reporting person’s beneficial ownership exceeded 5% of the outstanding Common Shares of the Issuer on March 30, 2020. On such date, the reporting person beneficially owned 710,867 Common Shares of the Issuer, adjusted for the issuer’s 1-for-12 reverse share split.</w:t>
      </w:r>
    </w:p>
    <w:p>
      <w:pPr>
        <w:ind w:right="7460" w:firstLine="8"/>
        <w:spacing w:after="0" w:line="258" w:lineRule="auto"/>
        <w:tabs>
          <w:tab w:leader="none" w:pos="2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17878Y207</w:t>
      </w:r>
    </w:p>
    <w:p>
      <w:pPr>
        <w:spacing w:after="0" w:line="252" w:lineRule="exact"/>
        <w:rPr>
          <w:sz w:val="20"/>
          <w:szCs w:val="20"/>
          <w:color w:val="auto"/>
        </w:rPr>
      </w:pPr>
    </w:p>
    <w:p>
      <w:pPr>
        <w:ind w:left="1220" w:hanging="1122"/>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State of Oklahoma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84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spacing w:after="0"/>
              <w:rPr>
                <w:sz w:val="24"/>
                <w:szCs w:val="24"/>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vMerge w:val="continue"/>
          </w:tcPr>
          <w:p>
            <w:pPr>
              <w:spacing w:after="0"/>
              <w:rPr>
                <w:sz w:val="9"/>
                <w:szCs w:val="9"/>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76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vMerge w:val="continue"/>
          </w:tcPr>
          <w:p>
            <w:pPr>
              <w:spacing w:after="0"/>
              <w:rPr>
                <w:sz w:val="6"/>
                <w:szCs w:val="6"/>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7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060" w:hanging="1052"/>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060" w:hanging="1052"/>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0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1060" w:right="5240" w:hanging="1052"/>
        <w:spacing w:after="0" w:line="38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 (1)**</w:t>
      </w:r>
    </w:p>
    <w:p>
      <w:pPr>
        <w:ind w:left="1060" w:right="7580" w:hanging="1052"/>
        <w:spacing w:after="0" w:line="512"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right="240" w:firstLine="8"/>
        <w:spacing w:after="0" w:line="236" w:lineRule="auto"/>
        <w:tabs>
          <w:tab w:leader="none" w:pos="414"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numbers and percentage above reflect the beneficial ownership of the reporting person as of December 31, 2020. The reporting person’s beneficial ownership exceeded 5% of the outstanding Common Shares of the Issuer on March 30, 2020. On such date, the reporting person beneficially owned 710,867 Common Shares of the Issuer, adjusted for the issuer’s 1-for-12 reverse share split.</w:t>
      </w:r>
    </w:p>
    <w:p>
      <w:pPr>
        <w:ind w:right="7460" w:firstLine="8"/>
        <w:spacing w:after="0" w:line="258" w:lineRule="auto"/>
        <w:tabs>
          <w:tab w:leader="none" w:pos="2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17878Y207</w:t>
      </w:r>
    </w:p>
    <w:p>
      <w:pPr>
        <w:spacing w:after="0" w:line="252" w:lineRule="exact"/>
        <w:rPr>
          <w:sz w:val="20"/>
          <w:szCs w:val="20"/>
          <w:color w:val="auto"/>
        </w:rPr>
      </w:pPr>
    </w:p>
    <w:p>
      <w:pPr>
        <w:ind w:left="1220" w:hanging="1122"/>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U.S. Citizen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84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spacing w:after="0"/>
              <w:rPr>
                <w:sz w:val="24"/>
                <w:szCs w:val="24"/>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89"/>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vMerge w:val="continue"/>
          </w:tcPr>
          <w:p>
            <w:pPr>
              <w:spacing w:after="0"/>
              <w:rPr>
                <w:sz w:val="9"/>
                <w:szCs w:val="9"/>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76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vMerge w:val="continue"/>
          </w:tcPr>
          <w:p>
            <w:pPr>
              <w:spacing w:after="0"/>
              <w:rPr>
                <w:sz w:val="6"/>
                <w:szCs w:val="6"/>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760" w:type="dxa"/>
            <w:vAlign w:val="bottom"/>
          </w:tcPr>
          <w:p>
            <w:pPr>
              <w:spacing w:after="0"/>
              <w:rPr>
                <w:sz w:val="18"/>
                <w:szCs w:val="18"/>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844,722 (1)</w:t>
            </w:r>
          </w:p>
        </w:tc>
        <w:tc>
          <w:tcPr>
            <w:tcW w:w="0" w:type="dxa"/>
            <w:vAlign w:val="bottom"/>
          </w:tcPr>
          <w:p>
            <w:pPr>
              <w:spacing w:after="0"/>
              <w:rPr>
                <w:sz w:val="1"/>
                <w:szCs w:val="1"/>
                <w:color w:val="auto"/>
              </w:rPr>
            </w:pPr>
          </w:p>
        </w:tc>
      </w:tr>
      <w:tr>
        <w:trPr>
          <w:trHeight w:val="143"/>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7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844,722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1220" w:right="5080" w:hanging="1212"/>
        <w:spacing w:after="0" w:line="38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 (1)**</w:t>
      </w:r>
    </w:p>
    <w:p>
      <w:pPr>
        <w:ind w:left="1220" w:right="7420" w:hanging="1212"/>
        <w:spacing w:after="0" w:line="52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right="240" w:firstLine="8"/>
        <w:spacing w:after="0" w:line="236" w:lineRule="auto"/>
        <w:tabs>
          <w:tab w:leader="none" w:pos="4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numbers and percentage above reflect the beneficial ownership of the reporting person as of December 31, 2020. The reporting person’s beneficial ownership exceeded 5% of the outstanding Common Shares of the Issuer on March 30, 2020. On such date, the reporting person beneficially owned 710,867 Common Shares of the Issuer, adjusted for the issuer’s 1-for-12 reverse share split.</w:t>
      </w:r>
    </w:p>
    <w:p>
      <w:pPr>
        <w:ind w:right="7460" w:firstLine="8"/>
        <w:spacing w:after="0" w:line="258" w:lineRule="auto"/>
        <w:tabs>
          <w:tab w:leader="none" w:pos="2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u w:val="single" w:color="auto"/>
          <w:color w:val="auto"/>
        </w:rPr>
        <w:t>SCHEDULE 13G</w:t>
      </w:r>
    </w:p>
    <w:p>
      <w:pPr>
        <w:spacing w:after="0" w:line="213"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This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the Common Shares, no par value per share (the “Common Shares”), of Civeo Corporation, a corporation organized under the laws of British Columbia, Canada (the “Issuer”).</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Schedule 13G relates to Common Shares of the Issuer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the 844,722 Common Shares held by the Master Fund as of December 31, 2020 (710,867 Common Shares as of March 30, 2020, adjusted for the issuer’s 1-for-12 reverse share split). As the principal of Prescott Capital, Mr. Frohlich may direct the vote and disposition of the 844,722 Common Shares held by the Master Fund as of December 31, 2020 (710,867 Common Shares as of March 30, 2020, adjusted for the issuer’s 1-for-12 reverse share split).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amends and restates the Schedule 13G as follows.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Civeo Corporation (the “Issuer”)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1(b)Address of Issuer’s Principal Executive Offices.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Three Allen Center</w:t>
      </w:r>
    </w:p>
    <w:p>
      <w:pPr>
        <w:spacing w:after="0" w:line="238" w:lineRule="auto"/>
        <w:rPr>
          <w:sz w:val="20"/>
          <w:szCs w:val="20"/>
          <w:color w:val="auto"/>
        </w:rPr>
      </w:pPr>
      <w:r>
        <w:rPr>
          <w:rFonts w:ascii="Arial" w:cs="Arial" w:eastAsia="Arial" w:hAnsi="Arial"/>
          <w:sz w:val="22"/>
          <w:szCs w:val="22"/>
          <w:color w:val="auto"/>
        </w:rPr>
        <w:t>333 Clay Street, Suite 4980</w:t>
      </w:r>
    </w:p>
    <w:p>
      <w:pPr>
        <w:spacing w:after="0"/>
        <w:rPr>
          <w:sz w:val="20"/>
          <w:szCs w:val="20"/>
          <w:color w:val="auto"/>
        </w:rPr>
      </w:pPr>
      <w:r>
        <w:rPr>
          <w:rFonts w:ascii="Arial" w:cs="Arial" w:eastAsia="Arial" w:hAnsi="Arial"/>
          <w:sz w:val="22"/>
          <w:szCs w:val="22"/>
          <w:color w:val="auto"/>
        </w:rPr>
        <w:t>Houston, Texas 77002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14"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2(b)Address of Principal Business Office, or, if none, Residence.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1924 South Utica, Suite 1120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Tulsa, Oklahoma 74104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2(c)Citizenship or Place of Organization.</w:t>
      </w:r>
    </w:p>
    <w:p>
      <w:pPr>
        <w:spacing w:after="0" w:line="249"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2(d)Title of Class of Securities.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Common Shares, no par value per share (the “Common Shares”).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2(e)CUSIP Number.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17878Y207</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this statement is filed pursuant to Rule 13d-1(b), or 13d-2(b), check whether the person filing is a:</w:t>
      </w:r>
    </w:p>
    <w:p>
      <w:pPr>
        <w:spacing w:after="0" w:line="186" w:lineRule="exact"/>
        <w:rPr>
          <w:sz w:val="20"/>
          <w:szCs w:val="20"/>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000" w:hanging="358"/>
        <w:spacing w:after="0" w:line="207" w:lineRule="exact"/>
        <w:tabs>
          <w:tab w:leader="none" w:pos="1000" w:val="left"/>
        </w:tabs>
        <w:numPr>
          <w:ilvl w:val="0"/>
          <w:numId w:val="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ectPr>
          <w:pgSz w:w="11900" w:h="16838" w:orient="portrait"/>
          <w:cols w:equalWidth="0" w:num="1">
            <w:col w:w="11240"/>
          </w:cols>
          <w:pgMar w:left="320" w:top="111" w:right="339" w:bottom="0" w:gutter="0" w:footer="0" w:header="0"/>
        </w:sectPr>
      </w:pPr>
    </w:p>
    <w:bookmarkStart w:id="7" w:name="page8"/>
    <w:bookmarkEnd w:id="7"/>
    <w:p>
      <w:pPr>
        <w:ind w:left="358" w:hanging="358"/>
        <w:spacing w:after="0" w:line="207" w:lineRule="exact"/>
        <w:tabs>
          <w:tab w:leader="none" w:pos="358"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638" w:hanging="638"/>
        <w:spacing w:after="0" w:line="239" w:lineRule="exact"/>
        <w:tabs>
          <w:tab w:leader="none" w:pos="368"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358" w:hanging="358"/>
        <w:spacing w:after="0" w:line="207" w:lineRule="exact"/>
        <w:tabs>
          <w:tab w:leader="none" w:pos="358"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638" w:right="20" w:hanging="638"/>
        <w:spacing w:after="0" w:line="239" w:lineRule="exact"/>
        <w:tabs>
          <w:tab w:leader="none" w:pos="368"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558165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98"/>
          </w:cols>
          <w:pgMar w:left="962" w:top="309" w:right="5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4</w:t>
      </w:r>
    </w:p>
    <w:p>
      <w:pPr>
        <w:spacing w:after="0" w:line="256" w:lineRule="exact"/>
        <w:rPr>
          <w:sz w:val="20"/>
          <w:szCs w:val="20"/>
          <w:color w:val="auto"/>
        </w:rPr>
      </w:pPr>
    </w:p>
    <w:p>
      <w:pPr>
        <w:ind w:left="680" w:right="20" w:hanging="348"/>
        <w:spacing w:after="0" w:line="308"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of Prescott Capital, the Small Cap Funds, the Master Fund and Mr. Phil Frohlich are the beneficial owners of 844,722 Common Shares as of December 31, 2020 (710,867 Common Shares as of March 30, 2020, adjusted for the issuer’s 1-for-12 reverse share split).</w:t>
      </w:r>
    </w:p>
    <w:p>
      <w:pPr>
        <w:spacing w:after="0" w:line="173" w:lineRule="exact"/>
        <w:rPr>
          <w:rFonts w:ascii="Arial" w:cs="Arial" w:eastAsia="Arial" w:hAnsi="Arial"/>
          <w:sz w:val="17"/>
          <w:szCs w:val="17"/>
          <w:color w:val="auto"/>
        </w:rPr>
      </w:pPr>
    </w:p>
    <w:p>
      <w:pPr>
        <w:ind w:left="680" w:right="20" w:hanging="348"/>
        <w:spacing w:after="0" w:line="286"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of Prescott Capital, the Small Cap Funds, the Master Fund and Mr. Phil Frohlich are the beneficial owners of 5.9% of the outstanding shares of Common Stock. This percentage is determined by dividing 844,722 by 14,215,169, the number of Common Shares outstanding as of November 19, 2020, as reported in the Issuer’s Form 8-K filed with the Securities and Exchange Commission on November 20, 2020.</w:t>
      </w:r>
    </w:p>
    <w:p>
      <w:pPr>
        <w:spacing w:after="0" w:line="192" w:lineRule="exact"/>
        <w:rPr>
          <w:rFonts w:ascii="Arial" w:cs="Arial" w:eastAsia="Arial" w:hAnsi="Arial"/>
          <w:sz w:val="17"/>
          <w:szCs w:val="17"/>
          <w:color w:val="auto"/>
        </w:rPr>
      </w:pPr>
    </w:p>
    <w:p>
      <w:pPr>
        <w:ind w:left="680" w:right="60" w:hanging="348"/>
        <w:spacing w:after="0" w:line="275"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Prescott Capital, as the general partner and investment manager of the Small Cap Funds, the general partners of the Master Fund, may direct the Small Cap Funds to direct the voting and disposition of the 844,722 Common Shares held by the Master Fund as of December 31, 2020 (710,867 Common Shares as of March 30, 2020, adjusted for the issuer’s 1-for-12 reverse share split). As the principal of Prescott Capital, Mr. Phil Frohlich may direct the voting and disposition of the 844,722 Common Shares held by the Master Fund as of December 31, 2020 (710,867 Common Shares as of March 30, 2020, adjusted for the issuer’s 1-for-12 reverse share split).</w:t>
      </w:r>
    </w:p>
    <w:p>
      <w:pPr>
        <w:spacing w:after="0" w:line="3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22"/>
          <w:szCs w:val="22"/>
          <w:b w:val="1"/>
          <w:bCs w:val="1"/>
          <w:u w:val="single" w:color="auto"/>
          <w:color w:val="auto"/>
        </w:rPr>
        <w:t>SIGNATURE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January 21, 2021</w:t>
      </w: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Prescott Group Capital Management, L.L.C.</w:t>
      </w:r>
    </w:p>
    <w:p>
      <w:pPr>
        <w:spacing w:after="0" w:line="208"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40" w:type="dxa"/>
            <w:vAlign w:val="bottom"/>
            <w:gridSpan w:val="4"/>
          </w:tcPr>
          <w:p>
            <w:pPr>
              <w:spacing w:after="0"/>
              <w:rPr>
                <w:sz w:val="20"/>
                <w:szCs w:val="20"/>
                <w:color w:val="auto"/>
              </w:rPr>
            </w:pPr>
            <w:r>
              <w:rPr>
                <w:rFonts w:ascii="Arial" w:cs="Arial" w:eastAsia="Arial" w:hAnsi="Arial"/>
                <w:sz w:val="18"/>
                <w:szCs w:val="18"/>
                <w:color w:val="auto"/>
              </w:rPr>
              <w:t>Prescott Group Aggressive Small Cap,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w w:val="89"/>
              </w:rPr>
              <w:t>Prescott Group Capital Management, L.L.C., its general partner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40" w:type="dxa"/>
            <w:vAlign w:val="bottom"/>
            <w:gridSpan w:val="4"/>
          </w:tcPr>
          <w:p>
            <w:pPr>
              <w:spacing w:after="0"/>
              <w:rPr>
                <w:sz w:val="20"/>
                <w:szCs w:val="20"/>
                <w:color w:val="auto"/>
              </w:rPr>
            </w:pPr>
            <w:r>
              <w:rPr>
                <w:rFonts w:ascii="Arial" w:cs="Arial" w:eastAsia="Arial" w:hAnsi="Arial"/>
                <w:sz w:val="18"/>
                <w:szCs w:val="18"/>
                <w:color w:val="auto"/>
              </w:rPr>
              <w:t>Prescott Group Aggressive Small Cap II,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w w:val="89"/>
              </w:rPr>
              <w:t>Prescott Group Capital Management, L.L.C., its 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40" w:type="dxa"/>
            <w:vAlign w:val="bottom"/>
            <w:gridSpan w:val="4"/>
          </w:tcPr>
          <w:p>
            <w:pPr>
              <w:spacing w:after="0"/>
              <w:rPr>
                <w:sz w:val="20"/>
                <w:szCs w:val="20"/>
                <w:color w:val="auto"/>
              </w:rPr>
            </w:pPr>
            <w:r>
              <w:rPr>
                <w:rFonts w:ascii="Arial" w:cs="Arial" w:eastAsia="Arial" w:hAnsi="Arial"/>
                <w:sz w:val="18"/>
                <w:szCs w:val="18"/>
                <w:color w:val="auto"/>
              </w:rPr>
              <w:t>Prescott Group Aggressive Small Cap Master Fund, G.P.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w w:val="95"/>
              </w:rPr>
              <w:t>Prescott Group Aggressive Small Cap, L.P.,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w w:val="92"/>
              </w:rPr>
              <w:t>Prescott Group Aggressive Small Cap II, L.P.,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w w:val="94"/>
              </w:rPr>
              <w:t>Prescott Group Capital Management, L.L.C., general partner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/s/ Phil Frohlich</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1" w:right="67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36" w:lineRule="exact"/>
        <w:rPr>
          <w:sz w:val="20"/>
          <w:szCs w:val="20"/>
          <w:color w:val="auto"/>
        </w:rPr>
      </w:pPr>
    </w:p>
    <w:p>
      <w:pPr>
        <w:ind w:left="580" w:hanging="566"/>
        <w:spacing w:after="0" w:line="342" w:lineRule="auto"/>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as of January 21, 2021, by and among Prescott Group Capital Management, L.L.C., Prescott Group Aggressive Small Cap, L.P., Prescott Group Aggressive Small Cap II, L.P., Prescott Group Aggressive Small Cap Master Fund, G.P. and Mr.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In accordance with Rule 13d-1(k)(1) under the Securities Exchange Act of 1934, as amended, the persons named below agree to the joint filing on behalf of each of them of this Schedule 13G (including additional amendments thereto) with respect to the Common Shares, no par value per share, of Civeo Corporation.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January 21, 2021</w:t>
      </w:r>
    </w:p>
    <w:p>
      <w:pPr>
        <w:spacing w:after="0" w:line="200" w:lineRule="exact"/>
        <w:rPr>
          <w:sz w:val="20"/>
          <w:szCs w:val="20"/>
          <w:color w:val="auto"/>
        </w:rPr>
      </w:pP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Prescott Group Capital Management, L.L.C.</w:t>
      </w:r>
    </w:p>
    <w:p>
      <w:pPr>
        <w:spacing w:after="0" w:line="208"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60" w:type="dxa"/>
            <w:vAlign w:val="bottom"/>
            <w:gridSpan w:val="4"/>
          </w:tcPr>
          <w:p>
            <w:pPr>
              <w:spacing w:after="0"/>
              <w:rPr>
                <w:sz w:val="20"/>
                <w:szCs w:val="20"/>
                <w:color w:val="auto"/>
              </w:rPr>
            </w:pPr>
            <w:r>
              <w:rPr>
                <w:rFonts w:ascii="Arial" w:cs="Arial" w:eastAsia="Arial" w:hAnsi="Arial"/>
                <w:sz w:val="18"/>
                <w:szCs w:val="18"/>
                <w:color w:val="auto"/>
              </w:rPr>
              <w:t>Prescott Group Aggressive Small Cap,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Prescott Group Capital Management, L.L.C., its general partner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60" w:type="dxa"/>
            <w:vAlign w:val="bottom"/>
            <w:gridSpan w:val="4"/>
          </w:tcPr>
          <w:p>
            <w:pPr>
              <w:spacing w:after="0"/>
              <w:rPr>
                <w:sz w:val="20"/>
                <w:szCs w:val="20"/>
                <w:color w:val="auto"/>
              </w:rPr>
            </w:pPr>
            <w:r>
              <w:rPr>
                <w:rFonts w:ascii="Arial" w:cs="Arial" w:eastAsia="Arial" w:hAnsi="Arial"/>
                <w:sz w:val="18"/>
                <w:szCs w:val="18"/>
                <w:color w:val="auto"/>
              </w:rPr>
              <w:t>Prescott Group Aggressive Small Cap II,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Prescott Group Capital Management, L.L.C., its general partner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5160" w:type="dxa"/>
            <w:vAlign w:val="bottom"/>
            <w:gridSpan w:val="4"/>
          </w:tcPr>
          <w:p>
            <w:pPr>
              <w:spacing w:after="0"/>
              <w:rPr>
                <w:sz w:val="20"/>
                <w:szCs w:val="20"/>
                <w:color w:val="auto"/>
              </w:rPr>
            </w:pPr>
            <w:r>
              <w:rPr>
                <w:rFonts w:ascii="Arial" w:cs="Arial" w:eastAsia="Arial" w:hAnsi="Arial"/>
                <w:sz w:val="18"/>
                <w:szCs w:val="18"/>
                <w:color w:val="auto"/>
              </w:rPr>
              <w:t>Prescott Group Aggressive Small Cap Master Fund, G.P.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Prescott Group Aggressive Small Cap, L.P.,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w w:val="92"/>
              </w:rPr>
              <w:t>Prescott Group Aggressive Small Cap II, L.P.,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Prescott Group Capital Management, L.L.C., general partner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5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bl>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/s/ Phil Frohlich</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Phil Frohlich</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bullet"/>
      <w:start w:val="1"/>
    </w:lvl>
  </w:abstractNum>
  <w:abstractNum w:abstractNumId="3">
    <w:nsid w:val="8EDBDAB"/>
    <w:multiLevelType w:val="hybridMultilevel"/>
    <w:lvl w:ilvl="0">
      <w:lvlJc w:val="left"/>
      <w:lvlText w:val="2"/>
      <w:numFmt w:val="bullet"/>
      <w:start w:val="1"/>
    </w:lvl>
  </w:abstractNum>
  <w:abstractNum w:abstractNumId="4">
    <w:nsid w:val="79838CB2"/>
    <w:multiLevelType w:val="hybridMultilevel"/>
    <w:lvl w:ilvl="0">
      <w:lvlJc w:val="left"/>
      <w:lvlText w:val="3"/>
      <w:numFmt w:val="bullet"/>
      <w:start w:val="1"/>
    </w:lvl>
  </w:abstractNum>
  <w:abstractNum w:abstractNumId="5">
    <w:nsid w:val="4353D0CD"/>
    <w:multiLevelType w:val="hybridMultilevel"/>
    <w:lvl w:ilvl="0">
      <w:lvlJc w:val="left"/>
      <w:lvlText w:val="4"/>
      <w:numFmt w:val="bullet"/>
      <w:start w:val="1"/>
    </w:lvl>
  </w:abstractNum>
  <w:abstractNum w:abstractNumId="6">
    <w:nsid w:val="B03E0C6"/>
    <w:multiLevelType w:val="hybridMultilevel"/>
    <w:lvl w:ilvl="0">
      <w:lvlJc w:val="left"/>
      <w:lvlText w:val="9"/>
      <w:numFmt w:val="bullet"/>
      <w:start w:val="1"/>
    </w:lvl>
  </w:abstractNum>
  <w:abstractNum w:abstractNumId="7">
    <w:nsid w:val="189A769B"/>
    <w:multiLevelType w:val="hybridMultilevel"/>
    <w:lvl w:ilvl="0">
      <w:lvlJc w:val="left"/>
      <w:lvlText w:val="%1"/>
      <w:numFmt w:val="decimal"/>
      <w:start w:val="10"/>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bullet"/>
      <w:start w:val="1"/>
    </w:lvl>
  </w:abstractNum>
  <w:abstractNum w:abstractNumId="11">
    <w:nsid w:val="836C40E"/>
    <w:multiLevelType w:val="hybridMultilevel"/>
    <w:lvl w:ilvl="0">
      <w:lvlJc w:val="left"/>
      <w:lvlText w:val="2"/>
      <w:numFmt w:val="bullet"/>
      <w:start w:val="1"/>
    </w:lvl>
  </w:abstractNum>
  <w:abstractNum w:abstractNumId="12">
    <w:nsid w:val="2901D82"/>
    <w:multiLevelType w:val="hybridMultilevel"/>
    <w:lvl w:ilvl="0">
      <w:lvlJc w:val="left"/>
      <w:lvlText w:val="3"/>
      <w:numFmt w:val="bullet"/>
      <w:start w:val="1"/>
    </w:lvl>
  </w:abstractNum>
  <w:abstractNum w:abstractNumId="13">
    <w:nsid w:val="3A95F874"/>
    <w:multiLevelType w:val="hybridMultilevel"/>
    <w:lvl w:ilvl="0">
      <w:lvlJc w:val="left"/>
      <w:lvlText w:val="4"/>
      <w:numFmt w:val="bullet"/>
      <w:start w:val="1"/>
    </w:lvl>
  </w:abstractNum>
  <w:abstractNum w:abstractNumId="14">
    <w:nsid w:val="8138641"/>
    <w:multiLevelType w:val="hybridMultilevel"/>
    <w:lvl w:ilvl="0">
      <w:lvlJc w:val="left"/>
      <w:lvlText w:val="9"/>
      <w:numFmt w:val="bullet"/>
      <w:start w:val="1"/>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bullet"/>
      <w:start w:val="1"/>
    </w:lvl>
  </w:abstractNum>
  <w:abstractNum w:abstractNumId="19">
    <w:nsid w:val="22221A70"/>
    <w:multiLevelType w:val="hybridMultilevel"/>
    <w:lvl w:ilvl="0">
      <w:lvlJc w:val="left"/>
      <w:lvlText w:val="2"/>
      <w:numFmt w:val="bullet"/>
      <w:start w:val="1"/>
    </w:lvl>
  </w:abstractNum>
  <w:abstractNum w:abstractNumId="20">
    <w:nsid w:val="4516DDE9"/>
    <w:multiLevelType w:val="hybridMultilevel"/>
    <w:lvl w:ilvl="0">
      <w:lvlJc w:val="left"/>
      <w:lvlText w:val="3"/>
      <w:numFmt w:val="bullet"/>
      <w:start w:val="1"/>
    </w:lvl>
  </w:abstractNum>
  <w:abstractNum w:abstractNumId="21">
    <w:nsid w:val="3006C83E"/>
    <w:multiLevelType w:val="hybridMultilevel"/>
    <w:lvl w:ilvl="0">
      <w:lvlJc w:val="left"/>
      <w:lvlText w:val="4"/>
      <w:numFmt w:val="bullet"/>
      <w:start w:val="1"/>
    </w:lvl>
  </w:abstractNum>
  <w:abstractNum w:abstractNumId="22">
    <w:nsid w:val="614FD4A1"/>
    <w:multiLevelType w:val="hybridMultilevel"/>
    <w:lvl w:ilvl="0">
      <w:lvlJc w:val="left"/>
      <w:lvlText w:val="9"/>
      <w:numFmt w:val="bullet"/>
      <w:start w:val="1"/>
    </w:lvl>
  </w:abstractNum>
  <w:abstractNum w:abstractNumId="23">
    <w:nsid w:val="419AC241"/>
    <w:multiLevelType w:val="hybridMultilevel"/>
    <w:lvl w:ilvl="0">
      <w:lvlJc w:val="left"/>
      <w:lvlText w:val="%1"/>
      <w:numFmt w:val="decimal"/>
      <w:start w:val="10"/>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bullet"/>
      <w:start w:val="1"/>
    </w:lvl>
  </w:abstractNum>
  <w:abstractNum w:abstractNumId="27">
    <w:nsid w:val="3804823E"/>
    <w:multiLevelType w:val="hybridMultilevel"/>
    <w:lvl w:ilvl="0">
      <w:lvlJc w:val="left"/>
      <w:lvlText w:val="2"/>
      <w:numFmt w:val="bullet"/>
      <w:start w:val="1"/>
    </w:lvl>
  </w:abstractNum>
  <w:abstractNum w:abstractNumId="28">
    <w:nsid w:val="77465F01"/>
    <w:multiLevelType w:val="hybridMultilevel"/>
    <w:lvl w:ilvl="0">
      <w:lvlJc w:val="left"/>
      <w:lvlText w:val="3"/>
      <w:numFmt w:val="bullet"/>
      <w:start w:val="1"/>
    </w:lvl>
  </w:abstractNum>
  <w:abstractNum w:abstractNumId="29">
    <w:nsid w:val="7724C67E"/>
    <w:multiLevelType w:val="hybridMultilevel"/>
    <w:lvl w:ilvl="0">
      <w:lvlJc w:val="left"/>
      <w:lvlText w:val="4"/>
      <w:numFmt w:val="bullet"/>
      <w:start w:val="1"/>
    </w:lvl>
  </w:abstractNum>
  <w:abstractNum w:abstractNumId="30">
    <w:nsid w:val="5C482A97"/>
    <w:multiLevelType w:val="hybridMultilevel"/>
    <w:lvl w:ilvl="0">
      <w:lvlJc w:val="left"/>
      <w:lvlText w:val="9"/>
      <w:numFmt w:val="bullet"/>
      <w:start w:val="1"/>
    </w:lvl>
  </w:abstractNum>
  <w:abstractNum w:abstractNumId="31">
    <w:nsid w:val="2463B9EA"/>
    <w:multiLevelType w:val="hybridMultilevel"/>
    <w:lvl w:ilvl="0">
      <w:lvlJc w:val="left"/>
      <w:lvlText w:val="%1"/>
      <w:numFmt w:val="decimal"/>
      <w:start w:val="10"/>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bullet"/>
      <w:start w:val="1"/>
    </w:lvl>
  </w:abstractNum>
  <w:abstractNum w:abstractNumId="35">
    <w:nsid w:val="580BD78F"/>
    <w:multiLevelType w:val="hybridMultilevel"/>
    <w:lvl w:ilvl="0">
      <w:lvlJc w:val="left"/>
      <w:lvlText w:val="2"/>
      <w:numFmt w:val="bullet"/>
      <w:start w:val="1"/>
    </w:lvl>
  </w:abstractNum>
  <w:abstractNum w:abstractNumId="36">
    <w:nsid w:val="153EA438"/>
    <w:multiLevelType w:val="hybridMultilevel"/>
    <w:lvl w:ilvl="0">
      <w:lvlJc w:val="left"/>
      <w:lvlText w:val="3"/>
      <w:numFmt w:val="bullet"/>
      <w:start w:val="1"/>
    </w:lvl>
  </w:abstractNum>
  <w:abstractNum w:abstractNumId="37">
    <w:nsid w:val="3855585C"/>
    <w:multiLevelType w:val="hybridMultilevel"/>
    <w:lvl w:ilvl="0">
      <w:lvlJc w:val="left"/>
      <w:lvlText w:val="4"/>
      <w:numFmt w:val="bullet"/>
      <w:start w:val="1"/>
    </w:lvl>
  </w:abstractNum>
  <w:abstractNum w:abstractNumId="38">
    <w:nsid w:val="70A64E2A"/>
    <w:multiLevelType w:val="hybridMultilevel"/>
    <w:lvl w:ilvl="0">
      <w:lvlJc w:val="left"/>
      <w:lvlText w:val="9"/>
      <w:numFmt w:val="bullet"/>
      <w:start w:val="1"/>
    </w:lvl>
  </w:abstractNum>
  <w:abstractNum w:abstractNumId="39">
    <w:nsid w:val="6A2342EC"/>
    <w:multiLevelType w:val="hybridMultilevel"/>
    <w:lvl w:ilvl="0">
      <w:lvlJc w:val="left"/>
      <w:lvlText w:val="%1"/>
      <w:numFmt w:val="decimal"/>
      <w:start w:val="10"/>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8"/>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2021-01-22T08:56:51Z</dcterms:created>
  <dcterms:modified xsi:type="dcterms:W3CDTF">2021-01-22T08:56:51Z</dcterms:modified>
</cp:coreProperties>
</file>