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1,063,230.00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1,063,230.00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1,063,230.00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106,813.00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106,813.00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109,013.00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109,013.00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109,013.00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1,279,056.00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1,279,056.00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1,170,043.00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1,170,043.00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1,170,043.00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109,013.00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109,013.00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109,013.00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1,279,056.00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1,279,056.00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1 to the Schedule 13D filed by the undersigned ("Amendment No. 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1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as follows: The Shares purchased by each of Engine Capital, Engine Jet and Engine Lift were purchased with working capital (which may, at any given time, include margin loans made by brokerage firms in the ordinary course of business). The aggregate purchase price of the 1,063,230 Shares beneficially owned by Engine Capital is approximately $25,212,641, including brokerage commissions. The aggregate purchase price of the 106,813 Shares beneficially owned by Engine Jet is approximately $2,533,959, including brokerage commissions. The aggregate purchase price of the 109,013 Shares beneficially owned by Engine Lift is approximately $2,586,601, including brokerage commissions.</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13,653,647 Shares outstanding as of February 21, 2025, which is the total number of Shares outstanding as reported in the Issuer's Quarterly Report on Form 10-K filed with the Securities and Exchange Commission on February 27, 2025. A. Engine Capital As of the date hereof, Engine Capital directly owned 1,063,230 Shares. Percentage: Approximately 7.8% B. Engine Jet As of the date hereof, Engine Jet directly owned 106,813 Shares. Percentage: 0.8% C. Engine Lift As of the date hereof, Engine Lift directly owned 109,013 Shares. Percentage: 0.8% D. Engine Management Engine Management, as the investment manager of each of Engine Capital, Engine Jet and Engine Lift, may be deemed to beneficially own the 1,279,056 Shares owned in the aggregate by Engine Capital, Engine Jet and Engine Lift. Percentage: Approximately 9.4% E. Engine GP Engine GP, as the general partner of Engine Management, may be deemed to beneficially own the 1,279,056 Shares owned in the aggregate by</w:t>
      </w:r>
    </w:p>
    <w:p>
      <w:pPr>
        <w:spacing w:after="0" w:line="9" w:lineRule="exact"/>
        <w:rPr>
          <w:sz w:val="20"/>
          <w:szCs w:val="20"/>
          <w:color w:val="auto"/>
        </w:rPr>
      </w:pPr>
    </w:p>
    <w:p>
      <w:pPr>
        <w:ind w:left="920" w:right="120" w:hanging="912"/>
        <w:spacing w:after="0" w:line="21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Engine Capital, Engine Jet and Engine Lift. Percentage: Approximately 9.4% F. Engine Investments Engine Investments, as the general partner of each of Engine Capital and Engine Jet, may be deemed to beneficially own the 1,170,043 Shares owned in the aggregate by Engine Capital and Engine Jet. Percentage: Approximately 8.6% G. Engine Investments II Engine Investments II, as the general partner of Engine Lift, may be deemed to beneficially own the 109,013 Shares owned by Engine Lift. Percentage: 0.8% H. Arnaud Ajdler Mr. Ajdler, as the managing partner of Engine Management and the managing member of each of Engine GP, Engine Investments and Engine Investments II, may be deemed to beneficially own the 1,279,056 Shares owned in the aggregate by Engine Capital, Engine Jet and Engine Lift. Percentage: Approximately 9.4%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as follows: A. Engine Capital 1. Sole power to vote or direct vote:</w:t>
      </w:r>
    </w:p>
    <w:p>
      <w:pPr>
        <w:spacing w:after="0" w:line="14" w:lineRule="exact"/>
        <w:rPr>
          <w:rFonts w:ascii="Times New Roman" w:cs="Times New Roman" w:eastAsia="Times New Roman" w:hAnsi="Times New Roman"/>
          <w:sz w:val="22"/>
          <w:szCs w:val="22"/>
          <w:color w:val="auto"/>
        </w:rPr>
      </w:pP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1,063,230 2. Shared power to vote or direct vote: 0 3. Sole power to dispose or direct the disposition: 1,063,230 4.</w:t>
      </w: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direct the disposition: 0 B. Engine Jet 1. Sole power to vote or direct vote: 106,813 2.</w:t>
      </w: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direct vote: 0 3. Sole power to dispose or direct the disposition: 106,813 4. Shared power to</w:t>
      </w: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 or direct the disposition: 0 C. Engine Lift 1. Sole power to vote or direct vote: 109,013 2. Shared power to</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vote or direct vote: 0 3. Sole power to dispose or direct the disposition: 109,013 4. Shared power to dispose or direct</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0 D. Engine Management 1. Sole power to vote or direct vote: 1,279,056 2. Shared power to vote or</w:t>
      </w:r>
    </w:p>
    <w:p>
      <w:pPr>
        <w:sectPr>
          <w:pgSz w:w="11900" w:h="16857" w:orient="portrait"/>
          <w:cols w:equalWidth="0" w:num="1">
            <w:col w:w="11160"/>
          </w:cols>
          <w:pgMar w:left="360" w:top="612" w:right="379" w:bottom="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22"/>
          <w:szCs w:val="22"/>
          <w:color w:val="auto"/>
        </w:rPr>
        <w:t>direct vote: 0 3. Sole power to dispose or direct the disposition: 1,279,056 4. Shared power to dispose or direct the</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disposition: 0 E. Engine GP 1. Sole power to vote or direct vote: 1,279,056 2. Shared power to vote or direct vote: 0</w:t>
      </w:r>
    </w:p>
    <w:p>
      <w:pPr>
        <w:ind w:left="920" w:right="40" w:firstLine="6"/>
        <w:spacing w:after="0" w:line="232" w:lineRule="auto"/>
        <w:tabs>
          <w:tab w:leader="none" w:pos="11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direct the disposition: 1,279,056 4. Shared power to dispose or direct the disposition: 0 F. Engine Investments 1. Sole power to vote or direct vote: 1,170,043 2. Shared power to vote or direct vote: 0 3. Sole power to dispose or direct the disposition: 1,170,043 4. Shared power to dispose or direct the disposition: 0 G. Engine Investments II 1. Sole power to vote or direct vote: 109,013 2. Shared power to vote or direct vote: 0 3. Sole power to dispose or direct the disposition: 109,013 4. Shared power to dispose or direct the disposition: 0 H. Arnaud Ajdler 1. Sole power to vote or direct vote: 1,279,056 2. Shared power to vote or direct vote: 0 3. Sole power to dispose or direct the disposition: 1,279,056 4. Shared power to dispose or direct the disposition: 0</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5(c) is hereby amended and restated as follows: The transactions in the Shares by certain of the Reporting</w:t>
      </w:r>
    </w:p>
    <w:p>
      <w:pPr>
        <w:spacing w:after="0" w:line="14" w:lineRule="exact"/>
        <w:rPr>
          <w:sz w:val="20"/>
          <w:szCs w:val="20"/>
          <w:color w:val="auto"/>
        </w:rPr>
      </w:pPr>
    </w:p>
    <w:p>
      <w:pPr>
        <w:ind w:left="920" w:right="220" w:hanging="912"/>
        <w:spacing w:after="0" w:line="237"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since the date of the Schedule 13D are set forth on Exhibit 1 attached hereto and are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the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ectPr>
          <w:pgSz w:w="11900" w:h="16838" w:orient="portrait"/>
          <w:cols w:equalWidth="0" w:num="1">
            <w:col w:w="11140"/>
          </w:cols>
          <w:pgMar w:left="360" w:top="111" w:right="399" w:bottom="0" w:gutter="0" w:footer="0" w:header="0"/>
        </w:sectPr>
      </w:pPr>
    </w:p>
    <w:bookmarkStart w:id="9" w:name="page10"/>
    <w:bookmarkEnd w:id="9"/>
    <w:p>
      <w:pPr>
        <w:ind w:left="1700"/>
        <w:spacing w:after="0"/>
        <w:rPr>
          <w:sz w:val="20"/>
          <w:szCs w:val="20"/>
          <w:color w:val="auto"/>
        </w:rPr>
      </w:pPr>
      <w:r>
        <w:rPr>
          <w:rFonts w:ascii="Times New Roman" w:cs="Times New Roman" w:eastAsia="Times New Roman" w:hAnsi="Times New Roman"/>
          <w:sz w:val="21"/>
          <w:szCs w:val="21"/>
          <w:color w:val="auto"/>
        </w:rPr>
        <w:t>Name/Title: Arnaud Ajdler</w:t>
      </w:r>
    </w:p>
    <w:p>
      <w:pPr>
        <w:spacing w:after="0" w:line="56"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p>
      <w:pPr>
        <w:sectPr>
          <w:pgSz w:w="11900" w:h="16838" w:orient="portrait"/>
          <w:cols w:equalWidth="0" w:num="1">
            <w:col w:w="9019"/>
          </w:cols>
          <w:pgMar w:left="1440" w:top="111"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Shares of the Issuer Since the Date of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8"/>
              </w:rPr>
              <w:t>Amount of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Transaction</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520" w:type="dxa"/>
            <w:vAlign w:val="bottom"/>
          </w:tcPr>
          <w:p>
            <w:pPr>
              <w:spacing w:after="0"/>
              <w:rPr>
                <w:sz w:val="16"/>
                <w:szCs w:val="16"/>
                <w:color w:val="auto"/>
              </w:rPr>
            </w:pPr>
          </w:p>
        </w:tc>
        <w:tc>
          <w:tcPr>
            <w:tcW w:w="2020" w:type="dxa"/>
            <w:vAlign w:val="bottom"/>
            <w:gridSpan w:val="5"/>
          </w:tcPr>
          <w:p>
            <w:pPr>
              <w:jc w:val="center"/>
              <w:ind w:right="680"/>
              <w:spacing w:after="0" w:line="194" w:lineRule="exact"/>
              <w:rPr>
                <w:sz w:val="20"/>
                <w:szCs w:val="20"/>
                <w:color w:val="auto"/>
              </w:rPr>
            </w:pPr>
            <w:r>
              <w:rPr>
                <w:rFonts w:ascii="Times New Roman" w:cs="Times New Roman" w:eastAsia="Times New Roman" w:hAnsi="Times New Roman"/>
                <w:sz w:val="18"/>
                <w:szCs w:val="18"/>
                <w:color w:val="auto"/>
                <w:w w:val="98"/>
              </w:rPr>
              <w:t xml:space="preserve">Price per Share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Date of Purchase/Sale</w:t>
            </w:r>
          </w:p>
        </w:tc>
      </w:tr>
      <w:tr>
        <w:trPr>
          <w:trHeight w:val="20"/>
        </w:trPr>
        <w:tc>
          <w:tcPr>
            <w:tcW w:w="6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ENGINE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2,599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22.3085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6"/>
              </w:rPr>
              <w:t>62,653</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22.3085</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02/27/2025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21,271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21.4304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02/28/2025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6"/>
              </w:rPr>
              <w:t>16,622</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21.4746</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03/03/2025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46,729</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21.6594</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03/04/2025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1,337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21.1992</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03/05/2025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6"/>
              </w:rPr>
              <w:t>21,259</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21.1992</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03/05/2025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8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6"/>
              </w:rPr>
              <w:t>12,502</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21.1824</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03/06/2025</w:t>
            </w:r>
          </w:p>
        </w:tc>
        <w:tc>
          <w:tcPr>
            <w:tcW w:w="6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20" w:type="dxa"/>
            <w:vAlign w:val="bottom"/>
            <w:gridSpan w:val="8"/>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ENGINE JET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6,302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22.3085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2,140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21.4304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02/28/2025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1,672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21.4746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03/03/2025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4,700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21.6594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03/04/2025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2,136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21.1992</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03/05/2025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1,256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21.1824</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03/06/2025</w:t>
            </w:r>
          </w:p>
        </w:tc>
        <w:tc>
          <w:tcPr>
            <w:tcW w:w="600" w:type="dxa"/>
            <w:vAlign w:val="bottom"/>
          </w:tcPr>
          <w:p>
            <w:pPr>
              <w:spacing w:after="0"/>
              <w:rPr>
                <w:sz w:val="20"/>
                <w:szCs w:val="20"/>
                <w:color w:val="auto"/>
              </w:rPr>
            </w:pPr>
          </w:p>
        </w:tc>
      </w:tr>
      <w:tr>
        <w:trPr>
          <w:trHeight w:val="373"/>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gridSpan w:val="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ENGINE LIFT CAPITAL, LP</w:t>
            </w: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6,432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22.3085</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02/27/2025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2,184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21.4304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02/28/2025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1,706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21.4746</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03/03/2025</w:t>
            </w:r>
          </w:p>
        </w:tc>
        <w:tc>
          <w:tcPr>
            <w:tcW w:w="600" w:type="dxa"/>
            <w:vAlign w:val="bottom"/>
            <w:shd w:val="clear" w:color="auto" w:fill="CCEEFF"/>
          </w:tcPr>
          <w:p>
            <w:pPr>
              <w:spacing w:after="0"/>
              <w:rPr>
                <w:sz w:val="18"/>
                <w:szCs w:val="18"/>
                <w:color w:val="auto"/>
              </w:rPr>
            </w:pPr>
          </w:p>
        </w:tc>
      </w:tr>
      <w:tr>
        <w:trPr>
          <w:trHeight w:val="216"/>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4,797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21.6594</w:t>
            </w:r>
          </w:p>
        </w:tc>
        <w:tc>
          <w:tcPr>
            <w:tcW w:w="680" w:type="dxa"/>
            <w:vAlign w:val="bottom"/>
          </w:tcPr>
          <w:p>
            <w:pPr>
              <w:spacing w:after="0"/>
              <w:rPr>
                <w:sz w:val="18"/>
                <w:szCs w:val="18"/>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03/04/2025</w:t>
            </w:r>
          </w:p>
        </w:tc>
        <w:tc>
          <w:tcPr>
            <w:tcW w:w="60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8"/>
              </w:rPr>
              <w:t>2,180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21.1992</w:t>
            </w:r>
          </w:p>
        </w:tc>
        <w:tc>
          <w:tcPr>
            <w:tcW w:w="6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03/05/2025</w:t>
            </w:r>
          </w:p>
        </w:tc>
        <w:tc>
          <w:tcPr>
            <w:tcW w:w="600" w:type="dxa"/>
            <w:vAlign w:val="bottom"/>
            <w:shd w:val="clear" w:color="auto" w:fill="CCEEFF"/>
          </w:tcPr>
          <w:p>
            <w:pPr>
              <w:spacing w:after="0"/>
              <w:rPr>
                <w:sz w:val="18"/>
                <w:szCs w:val="18"/>
                <w:color w:val="auto"/>
              </w:rPr>
            </w:pPr>
          </w:p>
        </w:tc>
      </w:tr>
      <w:tr>
        <w:trPr>
          <w:trHeight w:val="234"/>
        </w:trPr>
        <w:tc>
          <w:tcPr>
            <w:tcW w:w="2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4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8"/>
              </w:rPr>
              <w:t>1,282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21.1824</w:t>
            </w:r>
          </w:p>
        </w:tc>
        <w:tc>
          <w:tcPr>
            <w:tcW w:w="680" w:type="dxa"/>
            <w:vAlign w:val="bottom"/>
          </w:tcPr>
          <w:p>
            <w:pPr>
              <w:spacing w:after="0"/>
              <w:rPr>
                <w:sz w:val="20"/>
                <w:szCs w:val="20"/>
                <w:color w:val="auto"/>
              </w:rPr>
            </w:pP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03/06/2025</w:t>
            </w:r>
          </w:p>
        </w:tc>
        <w:tc>
          <w:tcPr>
            <w:tcW w:w="6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2025-03-06T16:58:49Z</dcterms:created>
  <dcterms:modified xsi:type="dcterms:W3CDTF">2025-03-06T16:58:49Z</dcterms:modified>
</cp:coreProperties>
</file>