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DATE OF REPORT (DATE OF EARLIEST EVENT REPORTED): February 26, 2021</w:t>
      </w:r>
    </w:p>
    <w:p>
      <w:pPr>
        <w:spacing w:after="0" w:line="39"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320" w:top="1390" w:right="359" w:bottom="1440" w:gutter="0" w:footer="0" w:header="0"/>
        </w:sectPr>
      </w:pPr>
    </w:p>
    <w:p>
      <w:pPr>
        <w:spacing w:after="0" w:line="358"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1-36246</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98-1253716</w:t>
      </w:r>
    </w:p>
    <w:p>
      <w:pPr>
        <w:spacing w:after="0" w:line="49" w:lineRule="exact"/>
        <w:rPr>
          <w:sz w:val="24"/>
          <w:szCs w:val="24"/>
          <w:color w:val="auto"/>
        </w:rPr>
      </w:pPr>
    </w:p>
    <w:p>
      <w:pPr>
        <w:sectPr>
          <w:pgSz w:w="11900" w:h="16838" w:orient="portrait"/>
          <w:cols w:equalWidth="0" w:num="3">
            <w:col w:w="4500" w:space="720"/>
            <w:col w:w="2580" w:space="720"/>
            <w:col w:w="2700"/>
          </w:cols>
          <w:pgMar w:left="320" w:top="1390" w:right="359" w:bottom="1440" w:gutter="0" w:footer="0" w:header="0"/>
          <w:type w:val="continuous"/>
        </w:sectPr>
      </w:pPr>
    </w:p>
    <w:p>
      <w:pPr>
        <w:jc w:val="center"/>
        <w:ind w:left="120"/>
        <w:spacing w:after="0"/>
        <w:rPr>
          <w:sz w:val="20"/>
          <w:szCs w:val="20"/>
          <w:color w:val="auto"/>
        </w:rPr>
      </w:pPr>
      <w:r>
        <w:rPr>
          <w:rFonts w:ascii="Arial" w:cs="Arial" w:eastAsia="Arial" w:hAnsi="Arial"/>
          <w:sz w:val="18"/>
          <w:szCs w:val="18"/>
          <w:color w:val="auto"/>
        </w:rPr>
        <w:t>(State or other jurisdiction</w:t>
      </w:r>
    </w:p>
    <w:p>
      <w:pPr>
        <w:jc w:val="center"/>
        <w:ind w:left="12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6"/>
          <w:szCs w:val="16"/>
          <w:color w:val="auto"/>
        </w:rPr>
        <w:t>(Commission File</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53" w:lineRule="exact"/>
        <w:rPr>
          <w:sz w:val="24"/>
          <w:szCs w:val="24"/>
          <w:color w:val="auto"/>
        </w:rPr>
      </w:pPr>
    </w:p>
    <w:p>
      <w:pPr>
        <w:sectPr>
          <w:pgSz w:w="11900" w:h="16838" w:orient="portrait"/>
          <w:cols w:equalWidth="0" w:num="3">
            <w:col w:w="4200" w:space="720"/>
            <w:col w:w="2540" w:space="720"/>
            <w:col w:w="3040"/>
          </w:cols>
          <w:pgMar w:left="320" w:top="1390" w:right="359" w:bottom="1440" w:gutter="0" w:footer="0" w:header="0"/>
          <w:type w:val="continuous"/>
        </w:sectPr>
      </w:pPr>
    </w:p>
    <w:p>
      <w:pPr>
        <w:ind w:left="4680"/>
        <w:spacing w:after="0"/>
        <w:rPr>
          <w:sz w:val="20"/>
          <w:szCs w:val="20"/>
          <w:color w:val="auto"/>
        </w:rPr>
      </w:pPr>
      <w:r>
        <w:rPr>
          <w:rFonts w:ascii="Arial" w:cs="Arial" w:eastAsia="Arial" w:hAnsi="Arial"/>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Arial" w:cs="Arial" w:eastAsia="Arial" w:hAnsi="Arial"/>
          <w:sz w:val="19"/>
          <w:szCs w:val="19"/>
          <w:b w:val="1"/>
          <w:bCs w:val="1"/>
          <w:color w:val="auto"/>
        </w:rPr>
        <w:t>333 Clay Street, Suite 4980</w:t>
      </w:r>
    </w:p>
    <w:p>
      <w:pPr>
        <w:sectPr>
          <w:pgSz w:w="11900" w:h="16838" w:orient="portrait"/>
          <w:cols w:equalWidth="0" w:num="1">
            <w:col w:w="11220"/>
          </w:cols>
          <w:pgMar w:left="320" w:top="1390" w:right="359" w:bottom="1440" w:gutter="0" w:footer="0" w:header="0"/>
          <w:type w:val="continuous"/>
        </w:sectPr>
      </w:pPr>
    </w:p>
    <w:p>
      <w:pPr>
        <w:spacing w:after="0" w:line="18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77002</w:t>
      </w:r>
    </w:p>
    <w:p>
      <w:pPr>
        <w:spacing w:after="0" w:line="65" w:lineRule="exact"/>
        <w:rPr>
          <w:sz w:val="24"/>
          <w:szCs w:val="24"/>
          <w:color w:val="auto"/>
        </w:rPr>
      </w:pPr>
    </w:p>
    <w:p>
      <w:pPr>
        <w:sectPr>
          <w:pgSz w:w="11900" w:h="16838" w:orient="portrait"/>
          <w:cols w:equalWidth="0" w:num="2">
            <w:col w:w="6080" w:space="360"/>
            <w:col w:w="4780"/>
          </w:cols>
          <w:pgMar w:left="320" w:top="1390"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220"/>
          </w:cols>
          <w:pgMar w:left="320" w:top="1390" w:right="359" w:bottom="1440" w:gutter="0" w:footer="0" w:header="0"/>
          <w:type w:val="continuous"/>
        </w:sect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70"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r>
        <w:trPr>
          <w:trHeight w:val="224"/>
        </w:trPr>
        <w:tc>
          <w:tcPr>
            <w:tcW w:w="37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CVEO</w:t>
            </w:r>
          </w:p>
        </w:tc>
        <w:tc>
          <w:tcPr>
            <w:tcW w:w="4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jc w:val="both"/>
        <w:ind w:firstLine="285"/>
        <w:spacing w:after="0" w:line="253" w:lineRule="auto"/>
        <w:rPr>
          <w:sz w:val="20"/>
          <w:szCs w:val="20"/>
          <w:color w:val="auto"/>
        </w:rPr>
      </w:pPr>
      <w:r>
        <w:rPr>
          <w:rFonts w:ascii="Arial" w:cs="Arial" w:eastAsia="Arial" w:hAnsi="Arial"/>
          <w:sz w:val="22"/>
          <w:szCs w:val="22"/>
          <w:color w:val="auto"/>
        </w:rPr>
        <w:t>On February 26, 2021, Civeo Corporation (“Civeo”) issued a press release announcing its financial condition and results of operations as of and for the quarter and year ended December 31, 2020. A copy of the press release is furnished as Exhibit 99.1 to this report on Form 8-K, and is incorporated herein by reference.</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53" w:lineRule="exact"/>
        <w:rPr>
          <w:sz w:val="20"/>
          <w:szCs w:val="20"/>
          <w:color w:val="auto"/>
        </w:rPr>
      </w:pPr>
    </w:p>
    <w:p>
      <w:pPr>
        <w:ind w:left="700" w:hanging="476"/>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9980" w:type="dxa"/>
            <w:vAlign w:val="bottom"/>
            <w:gridSpan w:val="5"/>
          </w:tcPr>
          <w:p>
            <w:pPr>
              <w:ind w:left="500"/>
              <w:spacing w:after="0"/>
              <w:rPr>
                <w:sz w:val="20"/>
                <w:szCs w:val="20"/>
                <w:color w:val="auto"/>
              </w:rPr>
            </w:pPr>
            <w:r>
              <w:rPr>
                <w:rFonts w:ascii="Arial" w:cs="Arial" w:eastAsia="Arial" w:hAnsi="Arial"/>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5" w:lineRule="exact"/>
              <w:rPr>
                <w:sz w:val="20"/>
                <w:szCs w:val="20"/>
                <w:color w:val="auto"/>
              </w:rPr>
            </w:pPr>
            <w:r>
              <w:rPr>
                <w:rFonts w:ascii="Arial" w:cs="Arial" w:eastAsia="Arial" w:hAnsi="Arial"/>
                <w:sz w:val="22"/>
                <w:szCs w:val="22"/>
                <w:color w:val="auto"/>
                <w:w w:val="89"/>
              </w:rPr>
              <w:t>Number</w:t>
            </w: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6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99.1</w:t>
            </w:r>
          </w:p>
        </w:tc>
        <w:tc>
          <w:tcPr>
            <w:tcW w:w="520" w:type="dxa"/>
            <w:vAlign w:val="bottom"/>
          </w:tcPr>
          <w:p>
            <w:pPr>
              <w:spacing w:after="0"/>
              <w:rPr>
                <w:sz w:val="24"/>
                <w:szCs w:val="24"/>
                <w:color w:val="auto"/>
              </w:rPr>
            </w:pPr>
          </w:p>
        </w:tc>
        <w:tc>
          <w:tcPr>
            <w:tcW w:w="9980" w:type="dxa"/>
            <w:vAlign w:val="bottom"/>
            <w:gridSpan w:val="5"/>
          </w:tcPr>
          <w:p>
            <w:pPr>
              <w:ind w:left="500"/>
              <w:spacing w:after="0"/>
              <w:rPr>
                <w:rFonts w:ascii="Arial" w:cs="Arial" w:eastAsia="Arial" w:hAnsi="Arial"/>
                <w:sz w:val="22"/>
                <w:szCs w:val="22"/>
                <w:color w:val="0000FF"/>
              </w:rPr>
            </w:pPr>
            <w:hyperlink w:anchor="page5">
              <w:r>
                <w:rPr>
                  <w:rFonts w:ascii="Arial" w:cs="Arial" w:eastAsia="Arial" w:hAnsi="Arial"/>
                  <w:sz w:val="22"/>
                  <w:szCs w:val="22"/>
                  <w:u w:val="single" w:color="auto"/>
                  <w:color w:val="0000FF"/>
                </w:rPr>
                <w:t>Press Release dated February</w:t>
              </w:r>
              <w:r>
                <w:rPr>
                  <w:rFonts w:ascii="Arial" w:cs="Arial" w:eastAsia="Arial" w:hAnsi="Arial"/>
                  <w:sz w:val="22"/>
                  <w:szCs w:val="22"/>
                  <w:color w:val="0000FF"/>
                </w:rPr>
                <w:t xml:space="preserve"> </w:t>
              </w:r>
            </w:hyperlink>
            <w:r>
              <w:rPr>
                <w:rFonts w:ascii="Arial" w:cs="Arial" w:eastAsia="Arial" w:hAnsi="Arial"/>
                <w:sz w:val="22"/>
                <w:szCs w:val="22"/>
                <w:color w:val="0000FF"/>
              </w:rPr>
              <w:t>26</w:t>
            </w:r>
            <w:hyperlink w:anchor="page5">
              <w:r>
                <w:rPr>
                  <w:rFonts w:ascii="Arial" w:cs="Arial" w:eastAsia="Arial" w:hAnsi="Arial"/>
                  <w:sz w:val="22"/>
                  <w:szCs w:val="22"/>
                  <w:color w:val="0000FF"/>
                </w:rPr>
                <w:t xml:space="preserve">, </w:t>
              </w:r>
            </w:hyperlink>
            <w:r>
              <w:rPr>
                <w:rFonts w:ascii="Arial" w:cs="Arial" w:eastAsia="Arial" w:hAnsi="Arial"/>
                <w:sz w:val="22"/>
                <w:szCs w:val="22"/>
                <w:u w:val="single" w:color="auto"/>
                <w:color w:val="0000FF"/>
              </w:rPr>
              <w:t>2021</w:t>
            </w:r>
          </w:p>
        </w:tc>
      </w:tr>
      <w:tr>
        <w:trPr>
          <w:trHeight w:val="20"/>
        </w:trPr>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49"/>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104</w:t>
            </w:r>
          </w:p>
        </w:tc>
        <w:tc>
          <w:tcPr>
            <w:tcW w:w="520" w:type="dxa"/>
            <w:vAlign w:val="bottom"/>
          </w:tcPr>
          <w:p>
            <w:pPr>
              <w:spacing w:after="0"/>
              <w:rPr>
                <w:sz w:val="24"/>
                <w:szCs w:val="24"/>
                <w:color w:val="auto"/>
              </w:rPr>
            </w:pPr>
          </w:p>
        </w:tc>
        <w:tc>
          <w:tcPr>
            <w:tcW w:w="9980" w:type="dxa"/>
            <w:vAlign w:val="bottom"/>
            <w:gridSpan w:val="5"/>
          </w:tcPr>
          <w:p>
            <w:pPr>
              <w:ind w:left="500"/>
              <w:spacing w:after="0"/>
              <w:rPr>
                <w:sz w:val="20"/>
                <w:szCs w:val="20"/>
                <w:color w:val="auto"/>
              </w:rPr>
            </w:pPr>
            <w:r>
              <w:rPr>
                <w:rFonts w:ascii="Arial" w:cs="Arial" w:eastAsia="Arial" w:hAnsi="Arial"/>
                <w:sz w:val="22"/>
                <w:szCs w:val="22"/>
                <w:color w:val="auto"/>
              </w:rPr>
              <w:t>Cover Page Interactive Data File (formatted as Inline XBRL and contained in Exhibit 101)</w:t>
            </w:r>
          </w:p>
        </w:tc>
      </w:tr>
      <w:tr>
        <w:trPr>
          <w:trHeight w:val="2157"/>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-2142490</wp:posOffset>
            </wp:positionV>
            <wp:extent cx="34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26, 2021</w:t>
      </w:r>
    </w:p>
    <w:p>
      <w:pPr>
        <w:spacing w:after="0" w:line="254"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29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By: /s/ Carolyn J. Stone </w:t>
      </w:r>
      <w:r>
        <w:rPr>
          <w:rFonts w:ascii="Arial" w:cs="Arial" w:eastAsia="Arial" w:hAnsi="Arial"/>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-17780</wp:posOffset>
            </wp:positionV>
            <wp:extent cx="1143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 w:lineRule="exact"/>
        <w:rPr>
          <w:sz w:val="20"/>
          <w:szCs w:val="20"/>
          <w:color w:val="auto"/>
        </w:rPr>
      </w:pPr>
    </w:p>
    <w:p>
      <w:pPr>
        <w:ind w:left="1740"/>
        <w:spacing w:after="0"/>
        <w:tabs>
          <w:tab w:leader="none" w:pos="2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Carolyn J. Stone</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Chief Financial Officer and Treasurer</w:t>
      </w:r>
    </w:p>
    <w:p>
      <w:pPr>
        <w:sectPr>
          <w:pgSz w:w="11900" w:h="16838" w:orient="portrait"/>
          <w:cols w:equalWidth="0" w:num="1">
            <w:col w:w="11220"/>
          </w:cols>
          <w:pgMar w:left="320" w:top="130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7"/>
          <w:szCs w:val="27"/>
          <w:b w:val="1"/>
          <w:bCs w:val="1"/>
          <w:color w:val="auto"/>
        </w:rPr>
        <w:t>Civeo Reports Fourth Quarter and Full Year 2020 Results</w:t>
      </w:r>
    </w:p>
    <w:p>
      <w:pPr>
        <w:spacing w:after="0" w:line="200" w:lineRule="exact"/>
        <w:rPr>
          <w:sz w:val="20"/>
          <w:szCs w:val="20"/>
          <w:color w:val="auto"/>
        </w:rPr>
      </w:pPr>
    </w:p>
    <w:p>
      <w:pPr>
        <w:spacing w:after="0" w:line="326"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HOUSTON and CALGARY, February 26, 2021 (BUSINESS WIRE) -- Civeo Corporation (NYSE:CVEO) today reported financial and operating results for the fourth quarter and year ended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Highlights include:</w:t>
      </w:r>
    </w:p>
    <w:p>
      <w:pPr>
        <w:spacing w:after="0" w:line="1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fourth quarter revenues of $133.4 million, a net loss of $2.3 million and operating cash flow of $36.7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fourth quarter Adjusted EBITDA of $23.7 million and free cash flow of $33.2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$117.4 million of operating cash flow and $111.0 million of free cash flow for the full year 2020;</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leverage ratio to 2.11x as of December 31, 2020 from 2.16x as of September 30, 2020; and</w:t>
      </w:r>
    </w:p>
    <w:p>
      <w:pPr>
        <w:spacing w:after="0" w:line="252"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Today announced the renewal of an integrated services contract in Western Australia with expected revenues of A$62 million over a two-year term and the renewal of two contracts to provide accommodations &amp; hospitality services in our Bowen Basin villages, with expected revenues under these contracts totaling A$39 million over approximately two-year terms.</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spite of the pandemic-related headwinds in 2020, Civeo stayed focused on our operational, strategic and financial initiatives: keeping our guests and employees safe, managing the changing economic landscape, driving free cash flow, reducing our leverage and preparing for a post-COVID world. For the full year 2020, we achieved relatively consistent year-over-year revenues and EBITDA while generating 57% and 119% higher operating cash flow and free cash flow, respectively, compared to the full year 2019. During the year, Civeo also extended our existing credit agreement by eighteen-months and renewed several key Australian contracts,” stated Bradley J. Dodson, Civeo's President and Chief Executive Officer.</w:t>
      </w:r>
    </w:p>
    <w:p>
      <w:pPr>
        <w:spacing w:after="0" w:line="2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Mr. Dodson continued, “In the fourth quarter, we realized a significant amount of free cash flow, which allowed us to continue to materially reduce our total debt and our leverage ratio. While our Canadian and U.S. segments are still managing the negative impact of the COVID-19 pandemic and weaker oil prices, our Australian segment continues to grow, experiencing stronger year-over-year occupancy compared to the fourth quarter of 2019.”</w:t>
      </w:r>
    </w:p>
    <w:p>
      <w:pPr>
        <w:spacing w:after="0" w:line="23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Mr. Dodson added, “Looking ahead to 2021, we will continue to focus on operating safely, generating free cash flow to pay down debt and strengthening our balance sheet in an effort to create long-term shareholder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Fourth Quarter 2020 Results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fourth quarter of 2020, Civeo generated revenues of $133.4 million and reported a net loss of $2.3 million, or $0.16 per share. During the fourth quarter of 2020, Civeo produced operating cash flow of $36.7 million, Adjusted EBITDA of $23.7 million and free cash flow of $33.2 million.</w:t>
      </w:r>
    </w:p>
    <w:p>
      <w:pPr>
        <w:spacing w:after="0" w:line="1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(EBITDA is a non-GAAP financial measure that is defined as net income plus interest, taxes, depreciation and amortization, and Adjusted EBITDA is defined as EBITDA adjusted to exclude impairment charges and certain income and costs associated with Civeo's acquisitions of Noralta and Action.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13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By comparison, in the fourth quarter of 2019, Civeo generated revenues of $148.7 million and reported a net loss of $32.1 million, or $2.30 per share. The loss resulted in part from $20.6 million in costs associated with goodwill and asset impairments and $0.2 million in Action transaction costs. During the fourth quarter of 2019, Civeo generated operating cash flow of $41.0 million, Adjusted EBITDA of $29.9 million and free cash flow of $37.1 million.</w:t>
      </w:r>
    </w:p>
    <w:p>
      <w:pPr>
        <w:spacing w:after="0" w:line="12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Overall, the decrease in revenues and Adjusted EBITDA in the fourth quarter of 2020 compared to 2019 was primarily due to decreased billed rooms in our Canadian segment primarily related to the pandemic and lower oil prices.</w:t>
      </w:r>
    </w:p>
    <w:p>
      <w:pPr>
        <w:sectPr>
          <w:pgSz w:w="11900" w:h="16838" w:orient="portrait"/>
          <w:cols w:equalWidth="0" w:num="1">
            <w:col w:w="11240"/>
          </w:cols>
          <w:pgMar w:left="320" w:top="89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Full Year 2020 Results</w:t>
      </w:r>
    </w:p>
    <w:p>
      <w:pPr>
        <w:spacing w:after="0" w:line="15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For the full year 2020, the Company reported revenues of $529.7 million and a net loss of $136.1 million, or $9.64 per share. Adjusted EBITDA for full year 2020 was $108.1 million. The loss resulted in part from $144.1 million in costs associated with goodwill and asset impairments, partially offset by $4.7 million of income associated with the settlement of a representations and warranties claim related to the Noralta acquisition. This compared to revenues of $527.6 million and a net loss of $60.3 million, or $4.33 per share, for the full year 2019. Adjusted EBITDA was $108.4 million in 2019. The 2019 loss resulted in part from $26.1 million in costs associated with goodwill and asset impairments and $0.2 million in Action transaction costs.</w:t>
      </w:r>
    </w:p>
    <w:p>
      <w:pPr>
        <w:spacing w:after="0" w:line="23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consistent level of Adjusted EBITDA in 2020 as compared to 2019 was a result of weaker Canadian and U.S. segment activity related to the pandemic and lower oil prices, almost entirely offset by stronger Australian segment activity and proceeds from the Canadian Emergency Wage Subsidy program ("CEWS").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5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(Unless otherwise noted, the following discussion compares the quarterly results for the fourth quarter of 2020 to the results for the fourth quarter of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fourth quarter of 2020, the Canada segment generated revenues of $65.5 million, operating loss of $4.1 million and Adjusted EBITDA of $13.8 million, compared to revenues of $89.7 million, operating loss of $17.9 million and Adjusted EBITDA of $20.9 million in the fourth quarter of 2019.</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 constant currency basis, the Canadian segment experienced a 28% period-over-period decrease in revenues driven by a 44% year-over-year reduction in billed rooms related to decreased customer activity due to the decline in oil prices and the COVID-19 pandemic coupled with lower turnaround activity in the oil sands region in 2020. Adjusted EBITDA for the Canadian segment decreased 34% year-over-year primarily due to lower billed rooms in the oil sands lodges, partially offset by the CEWS proceeds.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4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During the fourth quarter of 2020, the Australia segment generated revenues of $63.7 million, operating income of $3.6 million and Adjusted EBITDA of $17.2 million, compared to revenues of $48.9 million, operating income of $1.8 million and Adjusted EBITDA of $15.7 million in the fourth quarter of 2019. The fourth quarter of 2019 included a goodwill impairment charge of $19.9 million and an asset impairment charge of $0.7 million.</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Results for the fourth quarter of 2020 reflect the impact of a strengthened Australian dollar relative to the U.S. dollar, which increased revenues by $4.1 million. On a constant currency basis, the Australian segment experienced a 22% period-over-period increase in revenues primarily driven by increased activity from our Action Catering business coupled with increased occupancy at our Bowen Basin villages. Australian village occupancy increased 4% year-over-year largely due to continued improvement in metallurgical coal activity across the Bowen Basin. Adjusted EBITDA from the Australian segment increased 9% year-over-year due to higher village occupancy as well as increased activity from our Action Catering business. Australian revenues in the fourth quarter of 2020 increased more year-over-year than Australian Adjusted EBITDA due to the growth of our Action Catering business, which has inherently lower margins related to the service-only business model.</w:t>
      </w:r>
    </w:p>
    <w:p>
      <w:pPr>
        <w:spacing w:after="0" w:line="23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Civeo today announced the renewal of an integrated services contract in Western Australia with expected revenues of A$62 million over a two-year term and the renewal of two contracts to provide accommodations &amp; hospitality services in our Bowen Basin villages, with expected revenues under these contracts totaling A$39 million over approximately two-year terms.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U.S. segment generated revenues of $4.2 million, operating loss of $ 3.2 million and an Adjusted EBITDA loss of $ 1.4 million in the fourth quarter of 2020, compared to revenues of $10.0 million, operating loss of $6.7 million and an Adjusted EBITDA loss of $0.2 million in the fourth quarter of 2019. The revenue and Adjusted EBITDA decrease was primarily due to lower drilling and completion activity as well as lower occupancy in the U.S. lodges.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ectPr>
          <w:pgSz w:w="11900" w:h="16838" w:orient="portrait"/>
          <w:cols w:equalWidth="0" w:num="1">
            <w:col w:w="11240"/>
          </w:cols>
          <w:pgMar w:left="320" w:top="908" w:right="339" w:bottom="1440" w:gutter="0" w:footer="0" w:header="0"/>
        </w:sectPr>
      </w:pPr>
    </w:p>
    <w:bookmarkStart w:id="6" w:name="page7"/>
    <w:bookmarkEnd w:id="6"/>
    <w:p>
      <w:pPr>
        <w:ind w:right="280"/>
        <w:spacing w:after="0" w:line="261" w:lineRule="auto"/>
        <w:rPr>
          <w:sz w:val="20"/>
          <w:szCs w:val="20"/>
          <w:color w:val="auto"/>
        </w:rPr>
      </w:pPr>
      <w:r>
        <w:rPr>
          <w:rFonts w:ascii="Arial" w:cs="Arial" w:eastAsia="Arial" w:hAnsi="Arial"/>
          <w:sz w:val="18"/>
          <w:szCs w:val="18"/>
          <w:color w:val="auto"/>
        </w:rPr>
        <w:t>As of December 31, 2020, Civeo had total liquidity of approximately $105.4 million, consisting of $99.3 million available under its revolving credit facilities and $6.2 million of cash on hand.</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Civeo’s total debt outstanding on December 31, 2020 was $251.1 million, a $21.5 million decrease since September 30, 2020 and a $108.0 million decrease from December 31, 2019. The fourth quarter decrease consisted of $34.6 million in debt payments from cash flow generated by the business, partially offset by an unfavorable foreign currency translation impact of $13.1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Civeo reduced its leverage ratio to 2.11x as of December 31, 2020 from 2.16x as of September 30, 2020.</w:t>
      </w:r>
    </w:p>
    <w:p>
      <w:pPr>
        <w:spacing w:after="0" w:line="15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2020, Civeo invested $10.1 million in capital expenditures, down from $29.8 million during 2019. This decrease is primarily due to the completion of the Sitka lodge expansion in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2021 Guidance</w:t>
      </w:r>
    </w:p>
    <w:p>
      <w:pPr>
        <w:spacing w:after="0" w:line="14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For the full year of 2021, Civeo expects revenues of $555.0 million to $565.0 million, EBITDA of $90.0 million to $95.0 million and capital expenditures of $20.0 million to $25.0 million.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Civeo will host a conference call to discuss its fourth quarter 2020 financial results today at 11:00 a.m. Eastern time. This call is being webcast and can be accessed at Civeo's website at www.civeo.com. Participants may also join the conference call by dialing (866)-548-4713 in the United States or (323)-794-2093 internationally and using the conference ID 8965290#. A replay will be available after the call by dialing (844) 512-2921 in the United States or (412) 317-6671 internationally and using the conference ID 8965290#.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5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28 lodges and villages in Canada, Australia and the U.S., with an aggregate of approximately 30,000 rooms. Civeo is publicly traded under the symbol CVEO on the New York Stock Exchange. For more information, please visit Civeo's website at www.civeo.com.</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including guidance, current trends and liquidity needs and ability to pay down debt,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global health concerns and pandemics, including the COVID-19 pandemic and the risk that room occupancy may decline if our customers are limited or restricted in the availability of personnel who may become ill or be subjected to quarantine,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the development of new projects, including whether such projects will continue in the future, risks associated with the trading price of the company’s common shares, availability and cost of capital, risks associated with our ability to remain in compliance with our financial covenants in our debt agreements, risks associated with general global economic conditions, global weather conditions, natural disasters and security threats and changes to government and environmental regulations, including climate change, and other factors discussed in the “Management’s Discussion and Analysis of Financial Condition and</w:t>
      </w:r>
    </w:p>
    <w:p>
      <w:pPr>
        <w:sectPr>
          <w:pgSz w:w="11900" w:h="16838" w:orient="portrait"/>
          <w:cols w:equalWidth="0" w:num="1">
            <w:col w:w="11240"/>
          </w:cols>
          <w:pgMar w:left="320" w:top="908" w:right="339" w:bottom="1440" w:gutter="0" w:footer="0" w:header="0"/>
        </w:sectPr>
      </w:pPr>
    </w:p>
    <w:bookmarkStart w:id="7" w:name="page8"/>
    <w:bookmarkEnd w:id="7"/>
    <w:p>
      <w:pPr>
        <w:spacing w:after="0" w:line="254" w:lineRule="auto"/>
        <w:rPr>
          <w:sz w:val="20"/>
          <w:szCs w:val="20"/>
          <w:color w:val="auto"/>
        </w:rPr>
      </w:pPr>
      <w:r>
        <w:rPr>
          <w:rFonts w:ascii="Arial" w:cs="Arial" w:eastAsia="Arial" w:hAnsi="Arial"/>
          <w:sz w:val="18"/>
          <w:szCs w:val="18"/>
          <w:color w:val="auto"/>
        </w:rPr>
        <w:t>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20"/>
          </w:cols>
          <w:pgMar w:left="320" w:top="908"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2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232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5"/>
        </w:trPr>
        <w:tc>
          <w:tcPr>
            <w:tcW w:w="3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21"/>
        </w:trPr>
        <w:tc>
          <w:tcPr>
            <w:tcW w:w="3880" w:type="dxa"/>
            <w:vAlign w:val="bottom"/>
          </w:tcPr>
          <w:p>
            <w:pPr>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133,378</w:t>
            </w:r>
          </w:p>
        </w:tc>
        <w:tc>
          <w:tcPr>
            <w:tcW w:w="2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148,689</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529,729</w:t>
            </w:r>
          </w:p>
        </w:tc>
        <w:tc>
          <w:tcPr>
            <w:tcW w:w="1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527,555</w:t>
            </w:r>
          </w:p>
        </w:tc>
        <w:tc>
          <w:tcPr>
            <w:tcW w:w="0" w:type="dxa"/>
            <w:vAlign w:val="bottom"/>
          </w:tcPr>
          <w:p>
            <w:pPr>
              <w:spacing w:after="0"/>
              <w:rPr>
                <w:sz w:val="1"/>
                <w:szCs w:val="1"/>
                <w:color w:val="auto"/>
              </w:rPr>
            </w:pPr>
          </w:p>
        </w:tc>
      </w:tr>
      <w:tr>
        <w:trPr>
          <w:trHeight w:val="540"/>
        </w:trPr>
        <w:tc>
          <w:tcPr>
            <w:tcW w:w="3880" w:type="dxa"/>
            <w:vAlign w:val="bottom"/>
          </w:tcPr>
          <w:p>
            <w:pPr>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98,208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102,464</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382,088</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366,814</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14,767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16,626</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53,656</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59,586</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24,020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30,794</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96,547</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123,768</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20,602</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144,120</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26,148</w:t>
            </w:r>
          </w:p>
        </w:tc>
        <w:tc>
          <w:tcPr>
            <w:tcW w:w="0" w:type="dxa"/>
            <w:vAlign w:val="bottom"/>
          </w:tcPr>
          <w:p>
            <w:pPr>
              <w:spacing w:after="0"/>
              <w:rPr>
                <w:sz w:val="1"/>
                <w:szCs w:val="1"/>
                <w:color w:val="auto"/>
              </w:rPr>
            </w:pPr>
          </w:p>
        </w:tc>
      </w:tr>
      <w:tr>
        <w:trPr>
          <w:trHeight w:val="268"/>
        </w:trPr>
        <w:tc>
          <w:tcPr>
            <w:tcW w:w="3880" w:type="dxa"/>
            <w:vAlign w:val="bottom"/>
          </w:tcPr>
          <w:p>
            <w:pPr>
              <w:ind w:left="120"/>
              <w:spacing w:after="0"/>
              <w:rPr>
                <w:sz w:val="20"/>
                <w:szCs w:val="20"/>
                <w:color w:val="auto"/>
              </w:rPr>
            </w:pPr>
            <w:r>
              <w:rPr>
                <w:rFonts w:ascii="Arial" w:cs="Arial" w:eastAsia="Arial" w:hAnsi="Arial"/>
                <w:sz w:val="14"/>
                <w:szCs w:val="14"/>
                <w:color w:val="auto"/>
              </w:rPr>
              <w:t>Other operating expense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506</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136,746</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170,667</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676,917</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576,606</w:t>
            </w:r>
          </w:p>
        </w:tc>
        <w:tc>
          <w:tcPr>
            <w:tcW w:w="0" w:type="dxa"/>
            <w:vAlign w:val="bottom"/>
          </w:tcPr>
          <w:p>
            <w:pPr>
              <w:spacing w:after="0"/>
              <w:rPr>
                <w:sz w:val="1"/>
                <w:szCs w:val="1"/>
                <w:color w:val="auto"/>
              </w:rPr>
            </w:pPr>
          </w:p>
        </w:tc>
      </w:tr>
      <w:tr>
        <w:trPr>
          <w:trHeight w:val="252"/>
        </w:trPr>
        <w:tc>
          <w:tcPr>
            <w:tcW w:w="3880" w:type="dxa"/>
            <w:vAlign w:val="bottom"/>
          </w:tcPr>
          <w:p>
            <w:pPr>
              <w:spacing w:after="0"/>
              <w:rPr>
                <w:sz w:val="20"/>
                <w:szCs w:val="20"/>
                <w:color w:val="auto"/>
              </w:rPr>
            </w:pPr>
            <w:r>
              <w:rPr>
                <w:rFonts w:ascii="Arial" w:cs="Arial" w:eastAsia="Arial" w:hAnsi="Arial"/>
                <w:sz w:val="14"/>
                <w:szCs w:val="14"/>
                <w:color w:val="auto"/>
              </w:rPr>
              <w:t>Operating loss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(3,368)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(21,978)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(147,188)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(49,051)</w:t>
            </w:r>
          </w:p>
        </w:tc>
        <w:tc>
          <w:tcPr>
            <w:tcW w:w="0" w:type="dxa"/>
            <w:vAlign w:val="bottom"/>
          </w:tcPr>
          <w:p>
            <w:pPr>
              <w:spacing w:after="0"/>
              <w:rPr>
                <w:sz w:val="1"/>
                <w:szCs w:val="1"/>
                <w:color w:val="auto"/>
              </w:rPr>
            </w:pPr>
          </w:p>
        </w:tc>
      </w:tr>
      <w:tr>
        <w:trPr>
          <w:trHeight w:val="540"/>
        </w:trPr>
        <w:tc>
          <w:tcPr>
            <w:tcW w:w="3880" w:type="dxa"/>
            <w:vAlign w:val="bottom"/>
          </w:tcPr>
          <w:p>
            <w:pPr>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(3,592)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(6,713)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(16,687)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(27,383)</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(383)</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68"/>
        </w:trPr>
        <w:tc>
          <w:tcPr>
            <w:tcW w:w="3880" w:type="dxa"/>
            <w:vAlign w:val="bottom"/>
          </w:tcPr>
          <w:p>
            <w:pPr>
              <w:spacing w:after="0"/>
              <w:rPr>
                <w:sz w:val="20"/>
                <w:szCs w:val="20"/>
                <w:color w:val="auto"/>
              </w:rPr>
            </w:pPr>
            <w:r>
              <w:rPr>
                <w:rFonts w:ascii="Arial" w:cs="Arial" w:eastAsia="Arial" w:hAnsi="Arial"/>
                <w:sz w:val="14"/>
                <w:szCs w:val="14"/>
                <w:color w:val="auto"/>
              </w:rPr>
              <w:t>Other income (expense)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3,614</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399</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20,823</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7,281</w:t>
            </w:r>
          </w:p>
        </w:tc>
        <w:tc>
          <w:tcPr>
            <w:tcW w:w="0" w:type="dxa"/>
            <w:vAlign w:val="bottom"/>
          </w:tcPr>
          <w:p>
            <w:pPr>
              <w:spacing w:after="0"/>
              <w:rPr>
                <w:sz w:val="1"/>
                <w:szCs w:val="1"/>
                <w:color w:val="auto"/>
              </w:rPr>
            </w:pPr>
          </w:p>
        </w:tc>
      </w:tr>
      <w:tr>
        <w:trPr>
          <w:trHeight w:val="252"/>
        </w:trPr>
        <w:tc>
          <w:tcPr>
            <w:tcW w:w="3880" w:type="dxa"/>
            <w:vAlign w:val="bottom"/>
          </w:tcPr>
          <w:p>
            <w:pPr>
              <w:ind w:left="120"/>
              <w:spacing w:after="0"/>
              <w:rPr>
                <w:sz w:val="20"/>
                <w:szCs w:val="20"/>
                <w:color w:val="auto"/>
              </w:rPr>
            </w:pPr>
            <w:r>
              <w:rPr>
                <w:rFonts w:ascii="Arial" w:cs="Arial" w:eastAsia="Arial" w:hAnsi="Arial"/>
                <w:sz w:val="14"/>
                <w:szCs w:val="14"/>
                <w:color w:val="auto"/>
              </w:rPr>
              <w:t>Loss before income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(3,346)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(28,280)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(143,415)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(69,075)</w:t>
            </w:r>
          </w:p>
        </w:tc>
        <w:tc>
          <w:tcPr>
            <w:tcW w:w="0" w:type="dxa"/>
            <w:vAlign w:val="bottom"/>
          </w:tcPr>
          <w:p>
            <w:pPr>
              <w:spacing w:after="0"/>
              <w:rPr>
                <w:sz w:val="1"/>
                <w:szCs w:val="1"/>
                <w:color w:val="auto"/>
              </w:rPr>
            </w:pPr>
          </w:p>
        </w:tc>
      </w:tr>
      <w:tr>
        <w:trPr>
          <w:trHeight w:val="268"/>
        </w:trPr>
        <w:tc>
          <w:tcPr>
            <w:tcW w:w="388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2,126</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(3,222)</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10,635</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10,741</w:t>
            </w:r>
          </w:p>
        </w:tc>
        <w:tc>
          <w:tcPr>
            <w:tcW w:w="0" w:type="dxa"/>
            <w:vAlign w:val="bottom"/>
          </w:tcPr>
          <w:p>
            <w:pPr>
              <w:spacing w:after="0"/>
              <w:rPr>
                <w:sz w:val="1"/>
                <w:szCs w:val="1"/>
                <w:color w:val="auto"/>
              </w:rPr>
            </w:pPr>
          </w:p>
        </w:tc>
      </w:tr>
      <w:tr>
        <w:trPr>
          <w:trHeight w:val="252"/>
        </w:trPr>
        <w:tc>
          <w:tcPr>
            <w:tcW w:w="3880" w:type="dxa"/>
            <w:vAlign w:val="bottom"/>
          </w:tcPr>
          <w:p>
            <w:pPr>
              <w:spacing w:after="0"/>
              <w:rPr>
                <w:sz w:val="20"/>
                <w:szCs w:val="20"/>
                <w:color w:val="auto"/>
              </w:rPr>
            </w:pPr>
            <w:r>
              <w:rPr>
                <w:rFonts w:ascii="Arial" w:cs="Arial" w:eastAsia="Arial" w:hAnsi="Arial"/>
                <w:sz w:val="14"/>
                <w:szCs w:val="14"/>
                <w:color w:val="auto"/>
              </w:rPr>
              <w:t>Net loss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(31,502)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(132,780)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(58,334)</w:t>
            </w:r>
          </w:p>
        </w:tc>
        <w:tc>
          <w:tcPr>
            <w:tcW w:w="0" w:type="dxa"/>
            <w:vAlign w:val="bottom"/>
          </w:tcPr>
          <w:p>
            <w:pPr>
              <w:spacing w:after="0"/>
              <w:rPr>
                <w:sz w:val="1"/>
                <w:szCs w:val="1"/>
                <w:color w:val="auto"/>
              </w:rPr>
            </w:pPr>
          </w:p>
        </w:tc>
      </w:tr>
      <w:tr>
        <w:trPr>
          <w:trHeight w:val="268"/>
        </w:trPr>
        <w:tc>
          <w:tcPr>
            <w:tcW w:w="3880" w:type="dxa"/>
            <w:vAlign w:val="bottom"/>
          </w:tcPr>
          <w:p>
            <w:pPr>
              <w:ind w:left="12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556</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1,470</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52"/>
        </w:trPr>
        <w:tc>
          <w:tcPr>
            <w:tcW w:w="3880" w:type="dxa"/>
            <w:vAlign w:val="bottom"/>
          </w:tcPr>
          <w:p>
            <w:pPr>
              <w:spacing w:after="0"/>
              <w:rPr>
                <w:sz w:val="20"/>
                <w:szCs w:val="20"/>
                <w:color w:val="auto"/>
              </w:rPr>
            </w:pPr>
            <w:r>
              <w:rPr>
                <w:rFonts w:ascii="Arial" w:cs="Arial" w:eastAsia="Arial" w:hAnsi="Arial"/>
                <w:sz w:val="14"/>
                <w:szCs w:val="14"/>
                <w:color w:val="auto"/>
              </w:rPr>
              <w:t>Net loss attributable to Civeo Corporation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(31,599)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(134,250)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(58,491)</w:t>
            </w:r>
          </w:p>
        </w:tc>
        <w:tc>
          <w:tcPr>
            <w:tcW w:w="0" w:type="dxa"/>
            <w:vAlign w:val="bottom"/>
          </w:tcPr>
          <w:p>
            <w:pPr>
              <w:spacing w:after="0"/>
              <w:rPr>
                <w:sz w:val="1"/>
                <w:szCs w:val="1"/>
                <w:color w:val="auto"/>
              </w:rPr>
            </w:pPr>
          </w:p>
        </w:tc>
      </w:tr>
      <w:tr>
        <w:trPr>
          <w:trHeight w:val="152"/>
        </w:trPr>
        <w:tc>
          <w:tcPr>
            <w:tcW w:w="3880" w:type="dxa"/>
            <w:vAlign w:val="bottom"/>
          </w:tcPr>
          <w:p>
            <w:pPr>
              <w:ind w:left="120"/>
              <w:spacing w:after="0" w:line="152" w:lineRule="exact"/>
              <w:rPr>
                <w:sz w:val="20"/>
                <w:szCs w:val="20"/>
                <w:color w:val="auto"/>
              </w:rPr>
            </w:pPr>
            <w:r>
              <w:rPr>
                <w:rFonts w:ascii="Arial" w:cs="Arial" w:eastAsia="Arial" w:hAnsi="Arial"/>
                <w:sz w:val="14"/>
                <w:szCs w:val="14"/>
                <w:color w:val="auto"/>
              </w:rPr>
              <w:t>Less: Dividends attributable to Class A preferred</w:t>
            </w:r>
          </w:p>
        </w:tc>
        <w:tc>
          <w:tcPr>
            <w:tcW w:w="26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476</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465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1,887</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171"/>
        </w:trPr>
        <w:tc>
          <w:tcPr>
            <w:tcW w:w="3880" w:type="dxa"/>
            <w:vAlign w:val="bottom"/>
          </w:tcPr>
          <w:p>
            <w:pPr>
              <w:ind w:left="120"/>
              <w:spacing w:after="0"/>
              <w:rPr>
                <w:sz w:val="20"/>
                <w:szCs w:val="20"/>
                <w:color w:val="auto"/>
              </w:rPr>
            </w:pPr>
            <w:r>
              <w:rPr>
                <w:rFonts w:ascii="Arial" w:cs="Arial" w:eastAsia="Arial" w:hAnsi="Arial"/>
                <w:sz w:val="14"/>
                <w:szCs w:val="14"/>
                <w:color w:val="auto"/>
              </w:rPr>
              <w:t>shares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880" w:type="dxa"/>
            <w:vAlign w:val="bottom"/>
          </w:tcPr>
          <w:p>
            <w:pPr>
              <w:spacing w:after="0"/>
              <w:rPr>
                <w:sz w:val="20"/>
                <w:szCs w:val="20"/>
                <w:color w:val="auto"/>
              </w:rPr>
            </w:pPr>
            <w:r>
              <w:rPr>
                <w:rFonts w:ascii="Arial" w:cs="Arial" w:eastAsia="Arial" w:hAnsi="Arial"/>
                <w:sz w:val="14"/>
                <w:szCs w:val="14"/>
                <w:color w:val="auto"/>
              </w:rPr>
              <w:t>Net loss attributable to Civeo Corporation common</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(2,252)</w:t>
            </w:r>
          </w:p>
        </w:tc>
        <w:tc>
          <w:tcPr>
            <w:tcW w:w="2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(32,064)</w:t>
            </w:r>
          </w:p>
        </w:tc>
        <w:tc>
          <w:tcPr>
            <w:tcW w:w="24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(136,137)</w:t>
            </w:r>
          </w:p>
        </w:tc>
        <w:tc>
          <w:tcPr>
            <w:tcW w:w="18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(60,340)</w:t>
            </w:r>
          </w:p>
        </w:tc>
        <w:tc>
          <w:tcPr>
            <w:tcW w:w="0" w:type="dxa"/>
            <w:vAlign w:val="bottom"/>
          </w:tcPr>
          <w:p>
            <w:pPr>
              <w:spacing w:after="0"/>
              <w:rPr>
                <w:sz w:val="1"/>
                <w:szCs w:val="1"/>
                <w:color w:val="auto"/>
              </w:rPr>
            </w:pPr>
          </w:p>
        </w:tc>
      </w:tr>
      <w:tr>
        <w:trPr>
          <w:trHeight w:val="149"/>
        </w:trPr>
        <w:tc>
          <w:tcPr>
            <w:tcW w:w="3880" w:type="dxa"/>
            <w:vAlign w:val="bottom"/>
          </w:tcPr>
          <w:p>
            <w:pPr>
              <w:spacing w:after="0" w:line="144" w:lineRule="exact"/>
              <w:rPr>
                <w:sz w:val="20"/>
                <w:szCs w:val="20"/>
                <w:color w:val="auto"/>
              </w:rPr>
            </w:pPr>
            <w:r>
              <w:rPr>
                <w:rFonts w:ascii="Arial" w:cs="Arial" w:eastAsia="Arial" w:hAnsi="Arial"/>
                <w:sz w:val="14"/>
                <w:szCs w:val="14"/>
                <w:color w:val="auto"/>
              </w:rPr>
              <w:t>shareholders</w:t>
            </w:r>
          </w:p>
        </w:tc>
        <w:tc>
          <w:tcPr>
            <w:tcW w:w="26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5240" w:type="dxa"/>
            <w:vAlign w:val="bottom"/>
            <w:gridSpan w:val="4"/>
          </w:tcPr>
          <w:p>
            <w:pPr>
              <w:spacing w:after="0"/>
              <w:rPr>
                <w:sz w:val="20"/>
                <w:szCs w:val="20"/>
                <w:color w:val="auto"/>
              </w:rPr>
            </w:pPr>
            <w:r>
              <w:rPr>
                <w:rFonts w:ascii="Arial" w:cs="Arial" w:eastAsia="Arial" w:hAnsi="Arial"/>
                <w:sz w:val="14"/>
                <w:szCs w:val="14"/>
                <w:color w:val="auto"/>
              </w:rPr>
              <w:t>Net loss per share attributable to Civeo Corporation common shareholders: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(0.16)</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(2.30)</w:t>
            </w:r>
          </w:p>
        </w:tc>
        <w:tc>
          <w:tcPr>
            <w:tcW w:w="2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(9.64)</w:t>
            </w:r>
          </w:p>
        </w:tc>
        <w:tc>
          <w:tcPr>
            <w:tcW w:w="18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(0.16)</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(2.30)</w:t>
            </w:r>
          </w:p>
        </w:tc>
        <w:tc>
          <w:tcPr>
            <w:tcW w:w="2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(9.64)</w:t>
            </w:r>
          </w:p>
        </w:tc>
        <w:tc>
          <w:tcPr>
            <w:tcW w:w="18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422"/>
        </w:trPr>
        <w:tc>
          <w:tcPr>
            <w:tcW w:w="3880" w:type="dxa"/>
            <w:vAlign w:val="bottom"/>
          </w:tcPr>
          <w:p>
            <w:pPr>
              <w:spacing w:after="0"/>
              <w:rPr>
                <w:sz w:val="20"/>
                <w:szCs w:val="20"/>
                <w:color w:val="auto"/>
              </w:rPr>
            </w:pPr>
            <w:r>
              <w:rPr>
                <w:rFonts w:ascii="Arial" w:cs="Arial" w:eastAsia="Arial" w:hAnsi="Arial"/>
                <w:sz w:val="14"/>
                <w:szCs w:val="14"/>
                <w:color w:val="auto"/>
              </w:rPr>
              <w:t>Weighted average number of common shares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880" w:type="dxa"/>
            <w:vAlign w:val="bottom"/>
          </w:tcPr>
          <w:p>
            <w:pPr>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14,161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13,971</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14,129</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13,921</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14,161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13,971</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14,129</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13,921</w:t>
            </w:r>
          </w:p>
        </w:tc>
        <w:tc>
          <w:tcPr>
            <w:tcW w:w="0" w:type="dxa"/>
            <w:vAlign w:val="bottom"/>
          </w:tcPr>
          <w:p>
            <w:pPr>
              <w:spacing w:after="0"/>
              <w:rPr>
                <w:sz w:val="1"/>
                <w:szCs w:val="1"/>
                <w:color w:val="auto"/>
              </w:rPr>
            </w:pPr>
          </w:p>
        </w:tc>
      </w:tr>
    </w:tbl>
    <w:p>
      <w:pPr>
        <w:sectPr>
          <w:pgSz w:w="11900" w:h="16838" w:orient="portrait"/>
          <w:cols w:equalWidth="0" w:num="1">
            <w:col w:w="9220"/>
          </w:cols>
          <w:pgMar w:left="1340" w:top="886" w:right="1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325" w:lineRule="exact"/>
        <w:rPr>
          <w:sz w:val="20"/>
          <w:szCs w:val="20"/>
          <w:color w:val="auto"/>
        </w:rPr>
      </w:pPr>
    </w:p>
    <w:tbl>
      <w:tblPr>
        <w:tblLayout w:type="fixed"/>
        <w:tblInd w:w="980" w:type="dxa"/>
        <w:tblCellMar>
          <w:top w:w="0" w:type="dxa"/>
          <w:left w:w="0" w:type="dxa"/>
          <w:bottom w:w="0" w:type="dxa"/>
          <w:right w:w="0" w:type="dxa"/>
        </w:tblCellMar>
      </w:tblPr>
      <w:tr>
        <w:trPr>
          <w:trHeight w:val="218"/>
        </w:trPr>
        <w:tc>
          <w:tcPr>
            <w:tcW w:w="3820" w:type="dxa"/>
            <w:vAlign w:val="bottom"/>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(UNAUDITED)</w:t>
            </w: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6,155</w:t>
            </w:r>
          </w:p>
        </w:tc>
        <w:tc>
          <w:tcPr>
            <w:tcW w:w="18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3,331</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89,782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99,493</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6,181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5,877</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3,910</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7,589</w:t>
            </w:r>
          </w:p>
        </w:tc>
        <w:tc>
          <w:tcPr>
            <w:tcW w:w="0" w:type="dxa"/>
            <w:vAlign w:val="bottom"/>
          </w:tcPr>
          <w:p>
            <w:pPr>
              <w:spacing w:after="0"/>
              <w:rPr>
                <w:sz w:val="1"/>
                <w:szCs w:val="1"/>
                <w:color w:val="auto"/>
              </w:rPr>
            </w:pPr>
          </w:p>
        </w:tc>
      </w:tr>
      <w:tr>
        <w:trPr>
          <w:trHeight w:val="273"/>
        </w:trPr>
        <w:tc>
          <w:tcPr>
            <w:tcW w:w="38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13,185</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15,151</w:t>
            </w:r>
          </w:p>
        </w:tc>
        <w:tc>
          <w:tcPr>
            <w:tcW w:w="0" w:type="dxa"/>
            <w:vAlign w:val="bottom"/>
          </w:tcPr>
          <w:p>
            <w:pPr>
              <w:spacing w:after="0"/>
              <w:rPr>
                <w:sz w:val="1"/>
                <w:szCs w:val="1"/>
                <w:color w:val="auto"/>
              </w:rPr>
            </w:pPr>
          </w:p>
        </w:tc>
      </w:tr>
      <w:tr>
        <w:trPr>
          <w:trHeight w:val="247"/>
        </w:trPr>
        <w:tc>
          <w:tcPr>
            <w:tcW w:w="38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119,213</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131,441</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486,930</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590,309</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8,729</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110,173</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99,749</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111,837</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22,606</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24,876</w:t>
            </w: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3,626</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26"/>
        </w:trPr>
        <w:tc>
          <w:tcPr>
            <w:tcW w:w="38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740,853</w:t>
            </w:r>
          </w:p>
        </w:tc>
        <w:tc>
          <w:tcPr>
            <w:tcW w:w="1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969,912</w:t>
            </w:r>
          </w:p>
        </w:tc>
        <w:tc>
          <w:tcPr>
            <w:tcW w:w="0" w:type="dxa"/>
            <w:vAlign w:val="bottom"/>
          </w:tcPr>
          <w:p>
            <w:pPr>
              <w:spacing w:after="0"/>
              <w:rPr>
                <w:sz w:val="1"/>
                <w:szCs w:val="1"/>
                <w:color w:val="auto"/>
              </w:rPr>
            </w:pPr>
          </w:p>
        </w:tc>
      </w:tr>
      <w:tr>
        <w:trPr>
          <w:trHeight w:val="21"/>
        </w:trPr>
        <w:tc>
          <w:tcPr>
            <w:tcW w:w="38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3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42,056</w:t>
            </w:r>
          </w:p>
        </w:tc>
        <w:tc>
          <w:tcPr>
            <w:tcW w:w="18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36,971</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27,349</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21,755</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34,585</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35,080</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6,812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7,165</w:t>
            </w:r>
          </w:p>
        </w:tc>
        <w:tc>
          <w:tcPr>
            <w:tcW w:w="0" w:type="dxa"/>
            <w:vAlign w:val="bottom"/>
          </w:tcPr>
          <w:p>
            <w:pPr>
              <w:spacing w:after="0"/>
              <w:rPr>
                <w:sz w:val="1"/>
                <w:szCs w:val="1"/>
                <w:color w:val="auto"/>
              </w:rPr>
            </w:pPr>
          </w:p>
        </w:tc>
      </w:tr>
      <w:tr>
        <w:trPr>
          <w:trHeight w:val="273"/>
        </w:trPr>
        <w:tc>
          <w:tcPr>
            <w:tcW w:w="38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5,760</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8,741</w:t>
            </w:r>
          </w:p>
        </w:tc>
        <w:tc>
          <w:tcPr>
            <w:tcW w:w="0" w:type="dxa"/>
            <w:vAlign w:val="bottom"/>
          </w:tcPr>
          <w:p>
            <w:pPr>
              <w:spacing w:after="0"/>
              <w:rPr>
                <w:sz w:val="1"/>
                <w:szCs w:val="1"/>
                <w:color w:val="auto"/>
              </w:rPr>
            </w:pPr>
          </w:p>
        </w:tc>
      </w:tr>
      <w:tr>
        <w:trPr>
          <w:trHeight w:val="247"/>
        </w:trPr>
        <w:tc>
          <w:tcPr>
            <w:tcW w:w="38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116,765</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110,040</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214,000</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321,792</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9,452</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19,834</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21,231</w:t>
            </w: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14,897</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16,592</w:t>
            </w:r>
          </w:p>
        </w:tc>
        <w:tc>
          <w:tcPr>
            <w:tcW w:w="0" w:type="dxa"/>
            <w:vAlign w:val="bottom"/>
          </w:tcPr>
          <w:p>
            <w:pPr>
              <w:spacing w:after="0"/>
              <w:rPr>
                <w:sz w:val="1"/>
                <w:szCs w:val="1"/>
                <w:color w:val="auto"/>
              </w:rPr>
            </w:pPr>
          </w:p>
        </w:tc>
      </w:tr>
      <w:tr>
        <w:trPr>
          <w:trHeight w:val="247"/>
        </w:trPr>
        <w:tc>
          <w:tcPr>
            <w:tcW w:w="38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365,496</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479,107</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Preferred shares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60,016</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58,129</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8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1,578,315</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1,572,249</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(907,727)</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(771,590)</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(6,930)</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(5,472)</w:t>
            </w:r>
          </w:p>
        </w:tc>
        <w:tc>
          <w:tcPr>
            <w:tcW w:w="0" w:type="dxa"/>
            <w:vAlign w:val="bottom"/>
          </w:tcPr>
          <w:p>
            <w:pPr>
              <w:spacing w:after="0"/>
              <w:rPr>
                <w:sz w:val="1"/>
                <w:szCs w:val="1"/>
                <w:color w:val="auto"/>
              </w:rPr>
            </w:pPr>
          </w:p>
        </w:tc>
      </w:tr>
      <w:tr>
        <w:trPr>
          <w:trHeight w:val="273"/>
        </w:trPr>
        <w:tc>
          <w:tcPr>
            <w:tcW w:w="38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(348,989)</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(363,173)</w:t>
            </w:r>
          </w:p>
        </w:tc>
        <w:tc>
          <w:tcPr>
            <w:tcW w:w="0" w:type="dxa"/>
            <w:vAlign w:val="bottom"/>
          </w:tcPr>
          <w:p>
            <w:pPr>
              <w:spacing w:after="0"/>
              <w:rPr>
                <w:sz w:val="1"/>
                <w:szCs w:val="1"/>
                <w:color w:val="auto"/>
              </w:rPr>
            </w:pPr>
          </w:p>
        </w:tc>
      </w:tr>
      <w:tr>
        <w:trPr>
          <w:trHeight w:val="250"/>
        </w:trPr>
        <w:tc>
          <w:tcPr>
            <w:tcW w:w="38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374,685</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490,143</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50"/>
        </w:trPr>
        <w:tc>
          <w:tcPr>
            <w:tcW w:w="38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375,357</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490,805</w:t>
            </w:r>
          </w:p>
        </w:tc>
        <w:tc>
          <w:tcPr>
            <w:tcW w:w="0" w:type="dxa"/>
            <w:vAlign w:val="bottom"/>
          </w:tcPr>
          <w:p>
            <w:pPr>
              <w:spacing w:after="0"/>
              <w:rPr>
                <w:sz w:val="1"/>
                <w:szCs w:val="1"/>
                <w:color w:val="auto"/>
              </w:rPr>
            </w:pPr>
          </w:p>
        </w:tc>
      </w:tr>
      <w:tr>
        <w:trPr>
          <w:trHeight w:val="226"/>
        </w:trPr>
        <w:tc>
          <w:tcPr>
            <w:tcW w:w="38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740,853</w:t>
            </w:r>
          </w:p>
        </w:tc>
        <w:tc>
          <w:tcPr>
            <w:tcW w:w="1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969,912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1" w:right="1440"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w:t>
      </w:r>
    </w:p>
    <w:p>
      <w:pPr>
        <w:spacing w:after="0" w:line="226" w:lineRule="exact"/>
        <w:rPr>
          <w:sz w:val="20"/>
          <w:szCs w:val="20"/>
          <w:color w:val="auto"/>
        </w:rPr>
      </w:pPr>
    </w:p>
    <w:p>
      <w:pPr>
        <w:jc w:val="center"/>
        <w:ind w:left="5940"/>
        <w:spacing w:after="0"/>
        <w:rPr>
          <w:sz w:val="20"/>
          <w:szCs w:val="20"/>
          <w:color w:val="auto"/>
        </w:rPr>
      </w:pPr>
      <w:r>
        <w:rPr>
          <w:rFonts w:ascii="Arial" w:cs="Arial" w:eastAsia="Arial" w:hAnsi="Arial"/>
          <w:sz w:val="16"/>
          <w:szCs w:val="16"/>
          <w:b w:val="1"/>
          <w:bCs w:val="1"/>
          <w:color w:val="auto"/>
        </w:rPr>
        <w:t>TWELVE MONTHS ENDED</w:t>
      </w:r>
    </w:p>
    <w:p>
      <w:pPr>
        <w:jc w:val="center"/>
        <w:ind w:left="5940"/>
        <w:spacing w:after="0"/>
        <w:rPr>
          <w:sz w:val="20"/>
          <w:szCs w:val="20"/>
          <w:color w:val="auto"/>
        </w:rPr>
      </w:pPr>
      <w:r>
        <w:rPr>
          <w:rFonts w:ascii="Arial" w:cs="Arial" w:eastAsia="Arial" w:hAnsi="Arial"/>
          <w:sz w:val="16"/>
          <w:szCs w:val="16"/>
          <w:b w:val="1"/>
          <w:bCs w:val="1"/>
          <w:color w:val="auto"/>
        </w:rPr>
        <w:t>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520"/>
        </w:trPr>
        <w:tc>
          <w:tcPr>
            <w:tcW w:w="594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(132,780)</w:t>
            </w:r>
          </w:p>
        </w:tc>
        <w:tc>
          <w:tcPr>
            <w:tcW w:w="18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(58,334)</w:t>
            </w: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96,547</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123,768</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144,120</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26,148</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Deferred income tax benefit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(11,122)</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(11,713)</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6,066</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10,116</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Gain on disposals of assets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(2,905)</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(3,882)</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Provision for loss on receivables, net of recoveries</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2,659</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94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13,679</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(20,547)</w:t>
            </w:r>
          </w:p>
        </w:tc>
      </w:tr>
      <w:tr>
        <w:trPr>
          <w:trHeight w:val="270"/>
        </w:trPr>
        <w:tc>
          <w:tcPr>
            <w:tcW w:w="594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70"/>
        </w:trPr>
        <w:tc>
          <w:tcPr>
            <w:tcW w:w="594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6,890</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8,473</w:t>
            </w:r>
          </w:p>
        </w:tc>
      </w:tr>
      <w:tr>
        <w:trPr>
          <w:trHeight w:val="270"/>
        </w:trPr>
        <w:tc>
          <w:tcPr>
            <w:tcW w:w="594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73"/>
        </w:trPr>
        <w:tc>
          <w:tcPr>
            <w:tcW w:w="5940" w:type="dxa"/>
            <w:vAlign w:val="bottom"/>
          </w:tcPr>
          <w:p>
            <w:pPr>
              <w:ind w:left="200"/>
              <w:spacing w:after="0"/>
              <w:rPr>
                <w:sz w:val="20"/>
                <w:szCs w:val="20"/>
                <w:color w:val="auto"/>
              </w:rPr>
            </w:pPr>
            <w:r>
              <w:rPr>
                <w:rFonts w:ascii="Arial" w:cs="Arial" w:eastAsia="Arial" w:hAnsi="Arial"/>
                <w:sz w:val="16"/>
                <w:szCs w:val="16"/>
                <w:color w:val="auto"/>
              </w:rPr>
              <w:t>Other current assets and liabilities, net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w:t>
            </w:r>
          </w:p>
        </w:tc>
      </w:tr>
      <w:tr>
        <w:trPr>
          <w:trHeight w:val="247"/>
        </w:trPr>
        <w:tc>
          <w:tcPr>
            <w:tcW w:w="5940" w:type="dxa"/>
            <w:vAlign w:val="bottom"/>
          </w:tcPr>
          <w:p>
            <w:pPr>
              <w:ind w:left="320"/>
              <w:spacing w:after="0"/>
              <w:rPr>
                <w:sz w:val="20"/>
                <w:szCs w:val="20"/>
                <w:color w:val="auto"/>
              </w:rPr>
            </w:pPr>
            <w:r>
              <w:rPr>
                <w:rFonts w:ascii="Arial" w:cs="Arial" w:eastAsia="Arial" w:hAnsi="Arial"/>
                <w:sz w:val="16"/>
                <w:szCs w:val="16"/>
                <w:color w:val="auto"/>
              </w:rPr>
              <w:t>Net cash flows provided by operating activities</w:t>
            </w: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117,361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74,481</w:t>
            </w:r>
          </w:p>
        </w:tc>
      </w:tr>
      <w:tr>
        <w:trPr>
          <w:trHeight w:val="540"/>
        </w:trPr>
        <w:tc>
          <w:tcPr>
            <w:tcW w:w="59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Payments related to acquisitions, net of cash acquired</w:t>
            </w:r>
          </w:p>
        </w:tc>
        <w:tc>
          <w:tcPr>
            <w:tcW w:w="34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(16,434)</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(10,083)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(29,812)</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3,690</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5,906</w:t>
            </w:r>
          </w:p>
        </w:tc>
      </w:tr>
      <w:tr>
        <w:trPr>
          <w:trHeight w:val="273"/>
        </w:trPr>
        <w:tc>
          <w:tcPr>
            <w:tcW w:w="594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4,619</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1,762</w:t>
            </w:r>
          </w:p>
        </w:tc>
      </w:tr>
      <w:tr>
        <w:trPr>
          <w:trHeight w:val="247"/>
        </w:trPr>
        <w:tc>
          <w:tcPr>
            <w:tcW w:w="5940" w:type="dxa"/>
            <w:vAlign w:val="bottom"/>
          </w:tcPr>
          <w:p>
            <w:pPr>
              <w:ind w:left="320"/>
              <w:spacing w:after="0"/>
              <w:rPr>
                <w:sz w:val="20"/>
                <w:szCs w:val="20"/>
                <w:color w:val="auto"/>
              </w:rPr>
            </w:pPr>
            <w:r>
              <w:rPr>
                <w:rFonts w:ascii="Arial" w:cs="Arial" w:eastAsia="Arial" w:hAnsi="Arial"/>
                <w:sz w:val="16"/>
                <w:szCs w:val="16"/>
                <w:color w:val="auto"/>
              </w:rPr>
              <w:t>Net cash flows used in investing activities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(38,578)</w:t>
            </w:r>
          </w:p>
        </w:tc>
      </w:tr>
      <w:tr>
        <w:trPr>
          <w:trHeight w:val="540"/>
        </w:trPr>
        <w:tc>
          <w:tcPr>
            <w:tcW w:w="59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(39,855)</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(34,942)</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(70,310)</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(3,456)</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(1,950)</w:t>
            </w:r>
          </w:p>
        </w:tc>
      </w:tr>
      <w:tr>
        <w:trPr>
          <w:trHeight w:val="273"/>
        </w:trPr>
        <w:tc>
          <w:tcPr>
            <w:tcW w:w="594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(4,283)</w:t>
            </w:r>
          </w:p>
        </w:tc>
      </w:tr>
      <w:tr>
        <w:trPr>
          <w:trHeight w:val="247"/>
        </w:trPr>
        <w:tc>
          <w:tcPr>
            <w:tcW w:w="5940" w:type="dxa"/>
            <w:vAlign w:val="bottom"/>
          </w:tcPr>
          <w:p>
            <w:pPr>
              <w:ind w:left="320"/>
              <w:spacing w:after="0"/>
              <w:rPr>
                <w:sz w:val="20"/>
                <w:szCs w:val="20"/>
                <w:color w:val="auto"/>
              </w:rPr>
            </w:pPr>
            <w:r>
              <w:rPr>
                <w:rFonts w:ascii="Arial" w:cs="Arial" w:eastAsia="Arial" w:hAnsi="Arial"/>
                <w:sz w:val="16"/>
                <w:szCs w:val="16"/>
                <w:color w:val="auto"/>
              </w:rPr>
              <w:t>Net cash flows used in financing activities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(114,206)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(44,631)</w:t>
            </w:r>
          </w:p>
        </w:tc>
      </w:tr>
      <w:tr>
        <w:trPr>
          <w:trHeight w:val="543"/>
        </w:trPr>
        <w:tc>
          <w:tcPr>
            <w:tcW w:w="594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1,443</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r>
      <w:tr>
        <w:trPr>
          <w:trHeight w:val="247"/>
        </w:trPr>
        <w:tc>
          <w:tcPr>
            <w:tcW w:w="594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2,824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(9,041)</w:t>
            </w:r>
          </w:p>
        </w:tc>
      </w:tr>
      <w:tr>
        <w:trPr>
          <w:trHeight w:val="543"/>
        </w:trPr>
        <w:tc>
          <w:tcPr>
            <w:tcW w:w="594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3,331</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12,372</w:t>
            </w:r>
          </w:p>
        </w:tc>
      </w:tr>
      <w:tr>
        <w:trPr>
          <w:trHeight w:val="226"/>
        </w:trPr>
        <w:tc>
          <w:tcPr>
            <w:tcW w:w="594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6,155</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3,331</w:t>
            </w:r>
          </w:p>
        </w:tc>
      </w:tr>
      <w:tr>
        <w:trPr>
          <w:trHeight w:val="20"/>
        </w:trPr>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200"/>
          </w:cols>
          <w:pgMar w:left="1360" w:top="1377" w:right="1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SEGMENT DATA</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86"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6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8"/>
                <w:szCs w:val="18"/>
                <w:color w:val="auto"/>
              </w:rPr>
            </w:pPr>
          </w:p>
        </w:tc>
        <w:tc>
          <w:tcPr>
            <w:tcW w:w="260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5"/>
        </w:trPr>
        <w:tc>
          <w:tcPr>
            <w:tcW w:w="22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228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80" w:type="dxa"/>
            <w:vAlign w:val="bottom"/>
          </w:tcPr>
          <w:p>
            <w:pPr>
              <w:ind w:left="22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65,530</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89,708</w:t>
            </w:r>
          </w:p>
        </w:tc>
        <w:tc>
          <w:tcPr>
            <w:tcW w:w="2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269,649</w:t>
            </w:r>
          </w:p>
        </w:tc>
        <w:tc>
          <w:tcPr>
            <w:tcW w:w="2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325,651</w:t>
            </w:r>
          </w:p>
        </w:tc>
        <w:tc>
          <w:tcPr>
            <w:tcW w:w="0" w:type="dxa"/>
            <w:vAlign w:val="bottom"/>
          </w:tcPr>
          <w:p>
            <w:pPr>
              <w:spacing w:after="0"/>
              <w:rPr>
                <w:sz w:val="1"/>
                <w:szCs w:val="1"/>
                <w:color w:val="auto"/>
              </w:rPr>
            </w:pPr>
          </w:p>
        </w:tc>
      </w:tr>
      <w:tr>
        <w:trPr>
          <w:trHeight w:val="270"/>
        </w:trPr>
        <w:tc>
          <w:tcPr>
            <w:tcW w:w="228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63,673</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48,933</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234,542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156,093</w:t>
            </w:r>
          </w:p>
        </w:tc>
        <w:tc>
          <w:tcPr>
            <w:tcW w:w="0" w:type="dxa"/>
            <w:vAlign w:val="bottom"/>
          </w:tcPr>
          <w:p>
            <w:pPr>
              <w:spacing w:after="0"/>
              <w:rPr>
                <w:sz w:val="1"/>
                <w:szCs w:val="1"/>
                <w:color w:val="auto"/>
              </w:rPr>
            </w:pPr>
          </w:p>
        </w:tc>
      </w:tr>
      <w:tr>
        <w:trPr>
          <w:trHeight w:val="273"/>
        </w:trPr>
        <w:tc>
          <w:tcPr>
            <w:tcW w:w="228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4,175</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10,048</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25,538</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45,811</w:t>
            </w:r>
          </w:p>
        </w:tc>
        <w:tc>
          <w:tcPr>
            <w:tcW w:w="0" w:type="dxa"/>
            <w:vAlign w:val="bottom"/>
          </w:tcPr>
          <w:p>
            <w:pPr>
              <w:spacing w:after="0"/>
              <w:rPr>
                <w:sz w:val="1"/>
                <w:szCs w:val="1"/>
                <w:color w:val="auto"/>
              </w:rPr>
            </w:pPr>
          </w:p>
        </w:tc>
      </w:tr>
      <w:tr>
        <w:trPr>
          <w:trHeight w:val="226"/>
        </w:trPr>
        <w:tc>
          <w:tcPr>
            <w:tcW w:w="228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133,378</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148,689</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529,729</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527,555</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1"/>
        </w:trPr>
        <w:tc>
          <w:tcPr>
            <w:tcW w:w="2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80" w:type="dxa"/>
            <w:vAlign w:val="bottom"/>
          </w:tcPr>
          <w:p>
            <w:pPr>
              <w:ind w:left="22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13,755</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311</w:t>
            </w:r>
          </w:p>
        </w:tc>
        <w:tc>
          <w:tcPr>
            <w:tcW w:w="2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(65,221)</w:t>
            </w:r>
          </w:p>
        </w:tc>
        <w:tc>
          <w:tcPr>
            <w:tcW w:w="2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51,745</w:t>
            </w:r>
          </w:p>
        </w:tc>
        <w:tc>
          <w:tcPr>
            <w:tcW w:w="0" w:type="dxa"/>
            <w:vAlign w:val="bottom"/>
          </w:tcPr>
          <w:p>
            <w:pPr>
              <w:spacing w:after="0"/>
              <w:rPr>
                <w:sz w:val="1"/>
                <w:szCs w:val="1"/>
                <w:color w:val="auto"/>
              </w:rPr>
            </w:pPr>
          </w:p>
        </w:tc>
      </w:tr>
      <w:tr>
        <w:trPr>
          <w:trHeight w:val="270"/>
        </w:trPr>
        <w:tc>
          <w:tcPr>
            <w:tcW w:w="228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17,190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15,563</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73,666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49,871</w:t>
            </w:r>
          </w:p>
        </w:tc>
        <w:tc>
          <w:tcPr>
            <w:tcW w:w="0" w:type="dxa"/>
            <w:vAlign w:val="bottom"/>
          </w:tcPr>
          <w:p>
            <w:pPr>
              <w:spacing w:after="0"/>
              <w:rPr>
                <w:sz w:val="1"/>
                <w:szCs w:val="1"/>
                <w:color w:val="auto"/>
              </w:rPr>
            </w:pPr>
          </w:p>
        </w:tc>
      </w:tr>
      <w:tr>
        <w:trPr>
          <w:trHeight w:val="270"/>
        </w:trPr>
        <w:tc>
          <w:tcPr>
            <w:tcW w:w="228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(16,345)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5,479</w:t>
            </w:r>
          </w:p>
        </w:tc>
        <w:tc>
          <w:tcPr>
            <w:tcW w:w="0" w:type="dxa"/>
            <w:vAlign w:val="bottom"/>
          </w:tcPr>
          <w:p>
            <w:pPr>
              <w:spacing w:after="0"/>
              <w:rPr>
                <w:sz w:val="1"/>
                <w:szCs w:val="1"/>
                <w:color w:val="auto"/>
              </w:rPr>
            </w:pPr>
          </w:p>
        </w:tc>
      </w:tr>
      <w:tr>
        <w:trPr>
          <w:trHeight w:val="183"/>
        </w:trPr>
        <w:tc>
          <w:tcPr>
            <w:tcW w:w="2280" w:type="dxa"/>
            <w:vAlign w:val="bottom"/>
          </w:tcPr>
          <w:p>
            <w:pPr>
              <w:ind w:left="220"/>
              <w:spacing w:after="0"/>
              <w:rPr>
                <w:sz w:val="20"/>
                <w:szCs w:val="20"/>
                <w:color w:val="auto"/>
              </w:rPr>
            </w:pPr>
            <w:r>
              <w:rPr>
                <w:rFonts w:ascii="Arial" w:cs="Arial" w:eastAsia="Arial" w:hAnsi="Arial"/>
                <w:sz w:val="16"/>
                <w:szCs w:val="16"/>
                <w:color w:val="auto"/>
              </w:rPr>
              <w:t>Corporate and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(5,810)</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(6,601)</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(23,388)</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(25,254)</w:t>
            </w:r>
          </w:p>
        </w:tc>
        <w:tc>
          <w:tcPr>
            <w:tcW w:w="0" w:type="dxa"/>
            <w:vAlign w:val="bottom"/>
          </w:tcPr>
          <w:p>
            <w:pPr>
              <w:spacing w:after="0"/>
              <w:rPr>
                <w:sz w:val="1"/>
                <w:szCs w:val="1"/>
                <w:color w:val="auto"/>
              </w:rPr>
            </w:pPr>
          </w:p>
        </w:tc>
      </w:tr>
      <w:tr>
        <w:trPr>
          <w:trHeight w:val="226"/>
        </w:trPr>
        <w:tc>
          <w:tcPr>
            <w:tcW w:w="228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23,710</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9,118</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(31,288)</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81,841</w:t>
            </w:r>
          </w:p>
        </w:tc>
        <w:tc>
          <w:tcPr>
            <w:tcW w:w="0" w:type="dxa"/>
            <w:vAlign w:val="bottom"/>
          </w:tcPr>
          <w:p>
            <w:pPr>
              <w:spacing w:after="0"/>
              <w:rPr>
                <w:sz w:val="1"/>
                <w:szCs w:val="1"/>
                <w:color w:val="auto"/>
              </w:rPr>
            </w:pPr>
          </w:p>
        </w:tc>
      </w:tr>
      <w:tr>
        <w:trPr>
          <w:trHeight w:val="21"/>
        </w:trPr>
        <w:tc>
          <w:tcPr>
            <w:tcW w:w="228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2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80" w:type="dxa"/>
            <w:vAlign w:val="bottom"/>
          </w:tcPr>
          <w:p>
            <w:pPr>
              <w:ind w:left="22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13,755</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20,913</w:t>
            </w:r>
          </w:p>
        </w:tc>
        <w:tc>
          <w:tcPr>
            <w:tcW w:w="2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61,770</w:t>
            </w:r>
          </w:p>
        </w:tc>
        <w:tc>
          <w:tcPr>
            <w:tcW w:w="2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72,347</w:t>
            </w:r>
          </w:p>
        </w:tc>
        <w:tc>
          <w:tcPr>
            <w:tcW w:w="0" w:type="dxa"/>
            <w:vAlign w:val="bottom"/>
          </w:tcPr>
          <w:p>
            <w:pPr>
              <w:spacing w:after="0"/>
              <w:rPr>
                <w:sz w:val="1"/>
                <w:szCs w:val="1"/>
                <w:color w:val="auto"/>
              </w:rPr>
            </w:pPr>
          </w:p>
        </w:tc>
      </w:tr>
      <w:tr>
        <w:trPr>
          <w:trHeight w:val="270"/>
        </w:trPr>
        <w:tc>
          <w:tcPr>
            <w:tcW w:w="228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17,190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15,716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73,666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55,786</w:t>
            </w:r>
          </w:p>
        </w:tc>
        <w:tc>
          <w:tcPr>
            <w:tcW w:w="0" w:type="dxa"/>
            <w:vAlign w:val="bottom"/>
          </w:tcPr>
          <w:p>
            <w:pPr>
              <w:spacing w:after="0"/>
              <w:rPr>
                <w:sz w:val="1"/>
                <w:szCs w:val="1"/>
                <w:color w:val="auto"/>
              </w:rPr>
            </w:pPr>
          </w:p>
        </w:tc>
      </w:tr>
      <w:tr>
        <w:trPr>
          <w:trHeight w:val="270"/>
        </w:trPr>
        <w:tc>
          <w:tcPr>
            <w:tcW w:w="228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(3,906)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5,479</w:t>
            </w:r>
          </w:p>
        </w:tc>
        <w:tc>
          <w:tcPr>
            <w:tcW w:w="0" w:type="dxa"/>
            <w:vAlign w:val="bottom"/>
          </w:tcPr>
          <w:p>
            <w:pPr>
              <w:spacing w:after="0"/>
              <w:rPr>
                <w:sz w:val="1"/>
                <w:szCs w:val="1"/>
                <w:color w:val="auto"/>
              </w:rPr>
            </w:pPr>
          </w:p>
        </w:tc>
      </w:tr>
      <w:tr>
        <w:trPr>
          <w:trHeight w:val="183"/>
        </w:trPr>
        <w:tc>
          <w:tcPr>
            <w:tcW w:w="2280" w:type="dxa"/>
            <w:vAlign w:val="bottom"/>
          </w:tcPr>
          <w:p>
            <w:pPr>
              <w:ind w:left="220"/>
              <w:spacing w:after="0"/>
              <w:rPr>
                <w:sz w:val="20"/>
                <w:szCs w:val="20"/>
                <w:color w:val="auto"/>
              </w:rPr>
            </w:pPr>
            <w:r>
              <w:rPr>
                <w:rFonts w:ascii="Arial" w:cs="Arial" w:eastAsia="Arial" w:hAnsi="Arial"/>
                <w:sz w:val="16"/>
                <w:szCs w:val="16"/>
                <w:color w:val="auto"/>
              </w:rPr>
              <w:t>Corporate and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(5,810)</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(6,601)</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(23,388)</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(25,254)</w:t>
            </w:r>
          </w:p>
        </w:tc>
        <w:tc>
          <w:tcPr>
            <w:tcW w:w="0" w:type="dxa"/>
            <w:vAlign w:val="bottom"/>
          </w:tcPr>
          <w:p>
            <w:pPr>
              <w:spacing w:after="0"/>
              <w:rPr>
                <w:sz w:val="1"/>
                <w:szCs w:val="1"/>
                <w:color w:val="auto"/>
              </w:rPr>
            </w:pPr>
          </w:p>
        </w:tc>
      </w:tr>
      <w:tr>
        <w:trPr>
          <w:trHeight w:val="163"/>
        </w:trPr>
        <w:tc>
          <w:tcPr>
            <w:tcW w:w="2280" w:type="dxa"/>
            <w:vAlign w:val="bottom"/>
          </w:tcPr>
          <w:p>
            <w:pPr>
              <w:ind w:left="440"/>
              <w:spacing w:after="0" w:line="164" w:lineRule="exact"/>
              <w:rPr>
                <w:sz w:val="20"/>
                <w:szCs w:val="20"/>
                <w:color w:val="auto"/>
              </w:rPr>
            </w:pPr>
            <w:r>
              <w:rPr>
                <w:rFonts w:ascii="Arial" w:cs="Arial" w:eastAsia="Arial" w:hAnsi="Arial"/>
                <w:sz w:val="16"/>
                <w:szCs w:val="16"/>
                <w:color w:val="auto"/>
              </w:rPr>
              <w:t>Total adjusted</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23,710</w:t>
            </w:r>
          </w:p>
        </w:tc>
        <w:tc>
          <w:tcPr>
            <w:tcW w:w="2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29,873</w:t>
            </w:r>
          </w:p>
        </w:tc>
        <w:tc>
          <w:tcPr>
            <w:tcW w:w="2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108,142</w:t>
            </w:r>
          </w:p>
        </w:tc>
        <w:tc>
          <w:tcPr>
            <w:tcW w:w="22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108,358</w:t>
            </w:r>
          </w:p>
        </w:tc>
        <w:tc>
          <w:tcPr>
            <w:tcW w:w="0" w:type="dxa"/>
            <w:vAlign w:val="bottom"/>
          </w:tcPr>
          <w:p>
            <w:pPr>
              <w:spacing w:after="0"/>
              <w:rPr>
                <w:sz w:val="1"/>
                <w:szCs w:val="1"/>
                <w:color w:val="auto"/>
              </w:rPr>
            </w:pPr>
          </w:p>
        </w:tc>
      </w:tr>
      <w:tr>
        <w:trPr>
          <w:trHeight w:val="179"/>
        </w:trPr>
        <w:tc>
          <w:tcPr>
            <w:tcW w:w="2280" w:type="dxa"/>
            <w:vAlign w:val="bottom"/>
          </w:tcPr>
          <w:p>
            <w:pPr>
              <w:spacing w:after="0" w:line="174" w:lineRule="exact"/>
              <w:rPr>
                <w:sz w:val="20"/>
                <w:szCs w:val="20"/>
                <w:color w:val="auto"/>
              </w:rPr>
            </w:pPr>
            <w:r>
              <w:rPr>
                <w:rFonts w:ascii="Arial" w:cs="Arial" w:eastAsia="Arial" w:hAnsi="Arial"/>
                <w:sz w:val="16"/>
                <w:szCs w:val="16"/>
                <w:color w:val="auto"/>
              </w:rPr>
              <w:t>EBITDA</w:t>
            </w:r>
          </w:p>
        </w:tc>
        <w:tc>
          <w:tcPr>
            <w:tcW w:w="2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2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80" w:type="dxa"/>
            <w:vAlign w:val="bottom"/>
          </w:tcPr>
          <w:p>
            <w:pPr>
              <w:ind w:left="22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(4,092)</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(17,876)</w:t>
            </w:r>
          </w:p>
        </w:tc>
        <w:tc>
          <w:tcPr>
            <w:tcW w:w="2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(146,435)</w:t>
            </w:r>
          </w:p>
        </w:tc>
        <w:tc>
          <w:tcPr>
            <w:tcW w:w="2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(32,313)</w:t>
            </w:r>
          </w:p>
        </w:tc>
        <w:tc>
          <w:tcPr>
            <w:tcW w:w="0" w:type="dxa"/>
            <w:vAlign w:val="bottom"/>
          </w:tcPr>
          <w:p>
            <w:pPr>
              <w:spacing w:after="0"/>
              <w:rPr>
                <w:sz w:val="1"/>
                <w:szCs w:val="1"/>
                <w:color w:val="auto"/>
              </w:rPr>
            </w:pPr>
          </w:p>
        </w:tc>
      </w:tr>
      <w:tr>
        <w:trPr>
          <w:trHeight w:val="270"/>
        </w:trPr>
        <w:tc>
          <w:tcPr>
            <w:tcW w:w="228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3,559</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1,819</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27,804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70"/>
        </w:trPr>
        <w:tc>
          <w:tcPr>
            <w:tcW w:w="228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(3,197)</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(6,730)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(23,151)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(11,214)</w:t>
            </w:r>
          </w:p>
        </w:tc>
        <w:tc>
          <w:tcPr>
            <w:tcW w:w="0" w:type="dxa"/>
            <w:vAlign w:val="bottom"/>
          </w:tcPr>
          <w:p>
            <w:pPr>
              <w:spacing w:after="0"/>
              <w:rPr>
                <w:sz w:val="1"/>
                <w:szCs w:val="1"/>
                <w:color w:val="auto"/>
              </w:rPr>
            </w:pPr>
          </w:p>
        </w:tc>
      </w:tr>
      <w:tr>
        <w:trPr>
          <w:trHeight w:val="183"/>
        </w:trPr>
        <w:tc>
          <w:tcPr>
            <w:tcW w:w="2280" w:type="dxa"/>
            <w:vAlign w:val="bottom"/>
          </w:tcPr>
          <w:p>
            <w:pPr>
              <w:ind w:left="220"/>
              <w:spacing w:after="0"/>
              <w:rPr>
                <w:sz w:val="20"/>
                <w:szCs w:val="20"/>
                <w:color w:val="auto"/>
              </w:rPr>
            </w:pPr>
            <w:r>
              <w:rPr>
                <w:rFonts w:ascii="Arial" w:cs="Arial" w:eastAsia="Arial" w:hAnsi="Arial"/>
                <w:sz w:val="16"/>
                <w:szCs w:val="16"/>
                <w:color w:val="auto"/>
              </w:rPr>
              <w:t>Corporate and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20"/>
                <w:szCs w:val="20"/>
                <w:color w:val="auto"/>
              </w:rPr>
            </w:pPr>
            <w:r>
              <w:rPr>
                <w:rFonts w:ascii="Arial" w:cs="Arial" w:eastAsia="Arial" w:hAnsi="Arial"/>
                <w:sz w:val="16"/>
                <w:szCs w:val="16"/>
                <w:color w:val="auto"/>
              </w:rPr>
              <w:t>eliminations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(5,406)</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(6,041)</w:t>
            </w:r>
          </w:p>
        </w:tc>
        <w:tc>
          <w:tcPr>
            <w:tcW w:w="0" w:type="dxa"/>
            <w:vAlign w:val="bottom"/>
          </w:tcPr>
          <w:p>
            <w:pPr>
              <w:spacing w:after="0"/>
              <w:rPr>
                <w:sz w:val="1"/>
                <w:szCs w:val="1"/>
                <w:color w:val="auto"/>
              </w:rPr>
            </w:pPr>
          </w:p>
        </w:tc>
      </w:tr>
      <w:tr>
        <w:trPr>
          <w:trHeight w:val="226"/>
        </w:trPr>
        <w:tc>
          <w:tcPr>
            <w:tcW w:w="2280" w:type="dxa"/>
            <w:vAlign w:val="bottom"/>
          </w:tcPr>
          <w:p>
            <w:pPr>
              <w:ind w:left="440"/>
              <w:spacing w:after="0"/>
              <w:rPr>
                <w:sz w:val="20"/>
                <w:szCs w:val="20"/>
                <w:color w:val="auto"/>
              </w:rPr>
            </w:pPr>
            <w:r>
              <w:rPr>
                <w:rFonts w:ascii="Arial" w:cs="Arial" w:eastAsia="Arial" w:hAnsi="Arial"/>
                <w:sz w:val="16"/>
                <w:szCs w:val="16"/>
                <w:color w:val="auto"/>
              </w:rPr>
              <w:t>Total operating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(21,978)</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(147,188)</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(49,051)</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019"/>
          </w:cols>
          <w:pgMar w:left="1440" w:top="891" w:right="1440" w:bottom="1440" w:gutter="0" w:footer="0" w:header="0"/>
        </w:sectPr>
      </w:pPr>
    </w:p>
    <w:bookmarkStart w:id="12" w:name="page13"/>
    <w:bookmarkEnd w:id="12"/>
    <w:p>
      <w:pPr>
        <w:jc w:val="center"/>
        <w:ind w:right="-5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NON-GAAP RECONCILIATIONS</w:t>
      </w:r>
    </w:p>
    <w:p>
      <w:pPr>
        <w:spacing w:after="0" w:line="5"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(unaudited)</w:t>
      </w:r>
    </w:p>
    <w:p>
      <w:pPr>
        <w:spacing w:after="0" w:line="346" w:lineRule="exact"/>
        <w:rPr>
          <w:sz w:val="20"/>
          <w:szCs w:val="20"/>
          <w:color w:val="auto"/>
        </w:rPr>
      </w:pPr>
    </w:p>
    <w:tbl>
      <w:tblPr>
        <w:tblLayout w:type="fixed"/>
        <w:tblInd w:w="2332"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220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DECEMBER 31,</w:t>
            </w:r>
          </w:p>
        </w:tc>
      </w:tr>
      <w:tr>
        <w:trPr>
          <w:trHeight w:val="268"/>
        </w:trPr>
        <w:tc>
          <w:tcPr>
            <w:tcW w:w="18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r>
      <w:tr>
        <w:trPr>
          <w:trHeight w:val="517"/>
        </w:trPr>
        <w:tc>
          <w:tcPr>
            <w:tcW w:w="1800" w:type="dxa"/>
            <w:vAlign w:val="bottom"/>
          </w:tcPr>
          <w:p>
            <w:pPr>
              <w:spacing w:after="0"/>
              <w:rPr>
                <w:sz w:val="20"/>
                <w:szCs w:val="20"/>
                <w:color w:val="auto"/>
              </w:rPr>
            </w:pPr>
            <w:r>
              <w:rPr>
                <w:rFonts w:ascii="Arial" w:cs="Arial" w:eastAsia="Arial" w:hAnsi="Arial"/>
                <w:sz w:val="16"/>
                <w:szCs w:val="16"/>
                <w:color w:val="auto"/>
              </w:rPr>
              <w:t>EBITDA (1)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23,710</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9,118</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300"/>
              <w:spacing w:after="0"/>
              <w:rPr>
                <w:sz w:val="20"/>
                <w:szCs w:val="20"/>
                <w:color w:val="auto"/>
              </w:rPr>
            </w:pPr>
            <w:r>
              <w:rPr>
                <w:rFonts w:ascii="Arial" w:cs="Arial" w:eastAsia="Arial" w:hAnsi="Arial"/>
                <w:sz w:val="16"/>
                <w:szCs w:val="16"/>
                <w:color w:val="auto"/>
              </w:rPr>
              <w:t>(31,288)</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81,841</w:t>
            </w: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Adjusted EBITDA (1)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23,710</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29,873</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280"/>
              <w:spacing w:after="0"/>
              <w:rPr>
                <w:sz w:val="20"/>
                <w:szCs w:val="20"/>
                <w:color w:val="auto"/>
              </w:rPr>
            </w:pPr>
            <w:r>
              <w:rPr>
                <w:rFonts w:ascii="Arial" w:cs="Arial" w:eastAsia="Arial" w:hAnsi="Arial"/>
                <w:sz w:val="16"/>
                <w:szCs w:val="16"/>
                <w:color w:val="auto"/>
              </w:rPr>
              <w:t>108,142</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108,358</w:t>
            </w: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Free Cash Flow (2)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33,201</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37,084</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280"/>
              <w:spacing w:after="0"/>
              <w:rPr>
                <w:sz w:val="20"/>
                <w:szCs w:val="20"/>
                <w:color w:val="auto"/>
              </w:rPr>
            </w:pPr>
            <w:r>
              <w:rPr>
                <w:rFonts w:ascii="Arial" w:cs="Arial" w:eastAsia="Arial" w:hAnsi="Arial"/>
                <w:sz w:val="16"/>
                <w:szCs w:val="16"/>
                <w:color w:val="auto"/>
              </w:rPr>
              <w:t>110,968</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50,575</w:t>
            </w:r>
          </w:p>
        </w:tc>
      </w:tr>
    </w:tbl>
    <w:p>
      <w:pPr>
        <w:spacing w:after="0" w:line="332" w:lineRule="exact"/>
        <w:rPr>
          <w:sz w:val="20"/>
          <w:szCs w:val="20"/>
          <w:color w:val="auto"/>
        </w:rPr>
      </w:pPr>
    </w:p>
    <w:p>
      <w:pPr>
        <w:ind w:left="332" w:hanging="332"/>
        <w:spacing w:after="0" w:line="248" w:lineRule="auto"/>
        <w:tabs>
          <w:tab w:leader="none" w:pos="32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defined as net income (loss) attributable to Civeo Corporation plus interest, taxes, depreciation and amortization. The term Adjusted EBITDA is defined as EBITDA adjusted to exclude impairment charges and certain income and costs associated with Civeo's acquisitions of Noralta and Action.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31" w:lineRule="exact"/>
        <w:rPr>
          <w:rFonts w:ascii="Arial" w:cs="Arial" w:eastAsia="Arial" w:hAnsi="Arial"/>
          <w:sz w:val="16"/>
          <w:szCs w:val="16"/>
          <w:color w:val="auto"/>
        </w:rPr>
      </w:pPr>
    </w:p>
    <w:p>
      <w:pPr>
        <w:ind w:left="332" w:right="18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thousands) (unaudited):</w:t>
      </w:r>
    </w:p>
    <w:p>
      <w:pPr>
        <w:spacing w:after="0" w:line="360" w:lineRule="exact"/>
        <w:rPr>
          <w:sz w:val="20"/>
          <w:szCs w:val="20"/>
          <w:color w:val="auto"/>
        </w:rPr>
      </w:pPr>
    </w:p>
    <w:tbl>
      <w:tblPr>
        <w:tblLayout w:type="fixed"/>
        <w:tblInd w:w="1372"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8"/>
                <w:szCs w:val="18"/>
                <w:color w:val="auto"/>
              </w:rPr>
            </w:pPr>
          </w:p>
        </w:tc>
        <w:tc>
          <w:tcPr>
            <w:tcW w:w="226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DECEMBER 31,</w:t>
            </w:r>
          </w:p>
        </w:tc>
      </w:tr>
      <w:tr>
        <w:trPr>
          <w:trHeight w:val="268"/>
        </w:trPr>
        <w:tc>
          <w:tcPr>
            <w:tcW w:w="35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517"/>
        </w:trPr>
        <w:tc>
          <w:tcPr>
            <w:tcW w:w="3580" w:type="dxa"/>
            <w:vAlign w:val="bottom"/>
          </w:tcPr>
          <w:p>
            <w:pPr>
              <w:spacing w:after="0"/>
              <w:rPr>
                <w:sz w:val="20"/>
                <w:szCs w:val="20"/>
                <w:color w:val="auto"/>
              </w:rPr>
            </w:pPr>
            <w:r>
              <w:rPr>
                <w:rFonts w:ascii="Arial" w:cs="Arial" w:eastAsia="Arial" w:hAnsi="Arial"/>
                <w:sz w:val="16"/>
                <w:szCs w:val="16"/>
                <w:color w:val="auto"/>
              </w:rPr>
              <w:t>Net loss attributable to Civeo Corporation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(1,776)</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(31,599)</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(134,250)</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(58,491)</w:t>
            </w: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(2,126)</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3,222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(10,635)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(10,741)</w:t>
            </w: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24,020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30,794</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96,547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123,768</w:t>
            </w: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3580" w:type="dxa"/>
            <w:vAlign w:val="bottom"/>
          </w:tcPr>
          <w:p>
            <w:pPr>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3,592</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6,713</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16,687</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27,383</w:t>
            </w:r>
          </w:p>
        </w:tc>
      </w:tr>
      <w:tr>
        <w:trPr>
          <w:trHeight w:val="247"/>
        </w:trPr>
        <w:tc>
          <w:tcPr>
            <w:tcW w:w="3580" w:type="dxa"/>
            <w:vAlign w:val="bottom"/>
          </w:tcPr>
          <w:p>
            <w:pPr>
              <w:ind w:left="220"/>
              <w:spacing w:after="0"/>
              <w:rPr>
                <w:sz w:val="20"/>
                <w:szCs w:val="20"/>
                <w:color w:val="auto"/>
              </w:rPr>
            </w:pPr>
            <w:r>
              <w:rPr>
                <w:rFonts w:ascii="Arial" w:cs="Arial" w:eastAsia="Arial" w:hAnsi="Arial"/>
                <w:sz w:val="16"/>
                <w:szCs w:val="16"/>
                <w:color w:val="auto"/>
              </w:rPr>
              <w:t>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23,710</w:t>
            </w:r>
          </w:p>
        </w:tc>
        <w:tc>
          <w:tcPr>
            <w:tcW w:w="1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9,118</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(31,288)</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81,841</w:t>
            </w:r>
          </w:p>
        </w:tc>
      </w:tr>
      <w:tr>
        <w:trPr>
          <w:trHeight w:val="250"/>
        </w:trPr>
        <w:tc>
          <w:tcPr>
            <w:tcW w:w="3580" w:type="dxa"/>
            <w:vAlign w:val="bottom"/>
          </w:tcPr>
          <w:p>
            <w:pPr>
              <w:spacing w:after="0"/>
              <w:rPr>
                <w:sz w:val="20"/>
                <w:szCs w:val="20"/>
                <w:color w:val="auto"/>
              </w:rPr>
            </w:pPr>
            <w:r>
              <w:rPr>
                <w:rFonts w:ascii="Arial" w:cs="Arial" w:eastAsia="Arial" w:hAnsi="Arial"/>
                <w:sz w:val="16"/>
                <w:szCs w:val="16"/>
                <w:color w:val="auto"/>
              </w:rPr>
              <w:t>Adjustments to EBITDA</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Impairment of long-lived assets (a)</w:t>
            </w:r>
          </w:p>
        </w:tc>
        <w:tc>
          <w:tcPr>
            <w:tcW w:w="16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50,514</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6,248</w:t>
            </w:r>
          </w:p>
        </w:tc>
      </w:tr>
      <w:tr>
        <w:trPr>
          <w:trHeight w:val="270"/>
        </w:trPr>
        <w:tc>
          <w:tcPr>
            <w:tcW w:w="3580" w:type="dxa"/>
            <w:vAlign w:val="bottom"/>
          </w:tcPr>
          <w:p>
            <w:pPr>
              <w:ind w:left="200"/>
              <w:spacing w:after="0"/>
              <w:rPr>
                <w:sz w:val="20"/>
                <w:szCs w:val="20"/>
                <w:color w:val="auto"/>
              </w:rPr>
            </w:pPr>
            <w:r>
              <w:rPr>
                <w:rFonts w:ascii="Arial" w:cs="Arial" w:eastAsia="Arial" w:hAnsi="Arial"/>
                <w:sz w:val="16"/>
                <w:szCs w:val="16"/>
                <w:color w:val="auto"/>
              </w:rPr>
              <w:t>Impairment of goodwill (b)</w:t>
            </w:r>
          </w:p>
        </w:tc>
        <w:tc>
          <w:tcPr>
            <w:tcW w:w="16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19,900</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93,606</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19,900</w:t>
            </w:r>
          </w:p>
        </w:tc>
      </w:tr>
      <w:tr>
        <w:trPr>
          <w:trHeight w:val="183"/>
        </w:trPr>
        <w:tc>
          <w:tcPr>
            <w:tcW w:w="3580" w:type="dxa"/>
            <w:vAlign w:val="bottom"/>
          </w:tcPr>
          <w:p>
            <w:pPr>
              <w:ind w:left="220"/>
              <w:spacing w:after="0"/>
              <w:rPr>
                <w:sz w:val="20"/>
                <w:szCs w:val="20"/>
                <w:color w:val="auto"/>
              </w:rPr>
            </w:pPr>
            <w:r>
              <w:rPr>
                <w:rFonts w:ascii="Arial" w:cs="Arial" w:eastAsia="Arial" w:hAnsi="Arial"/>
                <w:sz w:val="16"/>
                <w:szCs w:val="16"/>
                <w:color w:val="auto"/>
              </w:rPr>
              <w:t>Representations and warranties settlement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5"/>
        </w:trPr>
        <w:tc>
          <w:tcPr>
            <w:tcW w:w="3580" w:type="dxa"/>
            <w:vAlign w:val="bottom"/>
          </w:tcPr>
          <w:p>
            <w:pPr>
              <w:spacing w:after="0"/>
              <w:rPr>
                <w:sz w:val="20"/>
                <w:szCs w:val="20"/>
                <w:color w:val="auto"/>
              </w:rPr>
            </w:pPr>
            <w:r>
              <w:rPr>
                <w:rFonts w:ascii="Arial" w:cs="Arial" w:eastAsia="Arial" w:hAnsi="Arial"/>
                <w:sz w:val="16"/>
                <w:szCs w:val="16"/>
                <w:color w:val="auto"/>
              </w:rPr>
              <w:t>(c)</w:t>
            </w:r>
          </w:p>
        </w:tc>
        <w:tc>
          <w:tcPr>
            <w:tcW w:w="16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(4,690)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3580" w:type="dxa"/>
            <w:vAlign w:val="bottom"/>
          </w:tcPr>
          <w:p>
            <w:pPr>
              <w:ind w:left="200"/>
              <w:spacing w:after="0"/>
              <w:rPr>
                <w:sz w:val="20"/>
                <w:szCs w:val="20"/>
                <w:color w:val="auto"/>
              </w:rPr>
            </w:pPr>
            <w:r>
              <w:rPr>
                <w:rFonts w:ascii="Arial" w:cs="Arial" w:eastAsia="Arial" w:hAnsi="Arial"/>
                <w:sz w:val="16"/>
                <w:szCs w:val="16"/>
                <w:color w:val="auto"/>
              </w:rPr>
              <w:t>Action transaction costs (d)</w:t>
            </w:r>
          </w:p>
        </w:tc>
        <w:tc>
          <w:tcPr>
            <w:tcW w:w="16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26"/>
        </w:trPr>
        <w:tc>
          <w:tcPr>
            <w:tcW w:w="3580" w:type="dxa"/>
            <w:vAlign w:val="bottom"/>
          </w:tcPr>
          <w:p>
            <w:pPr>
              <w:ind w:left="440"/>
              <w:spacing w:after="0"/>
              <w:rPr>
                <w:sz w:val="20"/>
                <w:szCs w:val="20"/>
                <w:color w:val="auto"/>
              </w:rPr>
            </w:pPr>
            <w:r>
              <w:rPr>
                <w:rFonts w:ascii="Arial" w:cs="Arial" w:eastAsia="Arial" w:hAnsi="Arial"/>
                <w:sz w:val="16"/>
                <w:szCs w:val="16"/>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23,710</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29,873</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108,142</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108,358</w:t>
            </w: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652" w:hanging="328"/>
        <w:spacing w:after="0" w:line="251" w:lineRule="auto"/>
        <w:tabs>
          <w:tab w:leader="none" w:pos="64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asset impairments recorded in the first quarter of 2020 and the fourth and second quarter of 2019. In the first quarter of 2020, we recorded a pre-tax loss related to the impairment of long-lived assets in our Canadian segment of $38.1 million ($38.1 million after-tax, or $2.71 per diluted share) and a pre-tax loss related to the impairment of long-lived assets in our U.S. segment of $12.4 million ($12.4 million after-tax, or $0.89 per diluted share), which is included in Impairment expense on the unaudited statements of operations.</w:t>
      </w:r>
    </w:p>
    <w:p>
      <w:pPr>
        <w:sectPr>
          <w:pgSz w:w="11900" w:h="16838" w:orient="portrait"/>
          <w:cols w:equalWidth="0" w:num="1">
            <w:col w:w="11172"/>
          </w:cols>
          <w:pgMar w:left="328" w:top="891" w:right="399" w:bottom="1440" w:gutter="0" w:footer="0" w:header="0"/>
        </w:sectPr>
      </w:pPr>
    </w:p>
    <w:bookmarkStart w:id="13" w:name="page14"/>
    <w:bookmarkEnd w:id="13"/>
    <w:p>
      <w:pPr>
        <w:ind w:left="652" w:right="80"/>
        <w:spacing w:after="0" w:line="248" w:lineRule="auto"/>
        <w:rPr>
          <w:sz w:val="20"/>
          <w:szCs w:val="20"/>
          <w:color w:val="auto"/>
        </w:rPr>
      </w:pPr>
      <w:r>
        <w:rPr>
          <w:rFonts w:ascii="Arial" w:cs="Arial" w:eastAsia="Arial" w:hAnsi="Arial"/>
          <w:sz w:val="16"/>
          <w:szCs w:val="16"/>
          <w:color w:val="auto"/>
        </w:rPr>
        <w:t>In the fourth quarter 2019, we recorded a pre-tax loss related to the impairment of assets in Canada of $0.7 million ($0.5 million after-tax, or $0.04 per diluted share), which is included in Impairment expense on the unaudited statements of operations. In the second quarter 2019, we recorded a pre-tax loss related to the impairment of assets in Australia of $5.5 million ($5.5 million after-tax, or $0.40 per diluted share), which is included in Impairment expense on the unaudited statements of operations. This includes $1.0 million of impairment expense related to an error corrected in the second quarter 2019. During the second quarter of 2019, we identified a future liability related to an asset retirement obligation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w:t>
      </w:r>
    </w:p>
    <w:p>
      <w:pPr>
        <w:spacing w:after="0" w:line="234" w:lineRule="exact"/>
        <w:rPr>
          <w:sz w:val="20"/>
          <w:szCs w:val="20"/>
          <w:color w:val="auto"/>
        </w:rPr>
      </w:pPr>
    </w:p>
    <w:p>
      <w:pPr>
        <w:ind w:left="652" w:hanging="328"/>
        <w:spacing w:after="0" w:line="253" w:lineRule="auto"/>
        <w:tabs>
          <w:tab w:leader="none" w:pos="647"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the impairment of goodwill recorded in the first quarter of 2020 and the fourth quarter of 2019. In the first quarter of 2020, we recorded an $93.6 million impairment ($93.6 million after-tax, or $6.67 per diluted share) which is related to our Canada reporting unit and is included in Impairment expense on the statements of operations.</w:t>
      </w:r>
    </w:p>
    <w:p>
      <w:pPr>
        <w:spacing w:after="0" w:line="228" w:lineRule="exact"/>
        <w:rPr>
          <w:rFonts w:ascii="Arial" w:cs="Arial" w:eastAsia="Arial" w:hAnsi="Arial"/>
          <w:sz w:val="16"/>
          <w:szCs w:val="16"/>
          <w:color w:val="auto"/>
        </w:rPr>
      </w:pPr>
    </w:p>
    <w:p>
      <w:pPr>
        <w:ind w:left="652" w:right="300"/>
        <w:spacing w:after="0" w:line="260" w:lineRule="auto"/>
        <w:rPr>
          <w:rFonts w:ascii="Arial" w:cs="Arial" w:eastAsia="Arial" w:hAnsi="Arial"/>
          <w:sz w:val="16"/>
          <w:szCs w:val="16"/>
          <w:color w:val="auto"/>
        </w:rPr>
      </w:pPr>
      <w:r>
        <w:rPr>
          <w:rFonts w:ascii="Arial" w:cs="Arial" w:eastAsia="Arial" w:hAnsi="Arial"/>
          <w:sz w:val="16"/>
          <w:szCs w:val="16"/>
          <w:color w:val="auto"/>
        </w:rPr>
        <w:t>In the fourth quarter of 2019, we recorded an $19.9 million impairment ($19.9 million after-tax, or $1.42 per diluted share) which is related to our Canada reporting unit and is included in Impairment expense on the statements of operations.</w:t>
      </w:r>
    </w:p>
    <w:p>
      <w:pPr>
        <w:spacing w:after="0" w:line="222" w:lineRule="exact"/>
        <w:rPr>
          <w:rFonts w:ascii="Arial" w:cs="Arial" w:eastAsia="Arial" w:hAnsi="Arial"/>
          <w:sz w:val="16"/>
          <w:szCs w:val="16"/>
          <w:color w:val="auto"/>
        </w:rPr>
      </w:pPr>
    </w:p>
    <w:p>
      <w:pPr>
        <w:ind w:left="652" w:right="100" w:hanging="328"/>
        <w:spacing w:after="0" w:line="253" w:lineRule="auto"/>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the second quarter of 2020, we recorded $4.7 million of income ($4.7 million after-tax, or $0.33 per diluted share) associated with the settlement of a representations and warranties claim related to the Noralta acquisition, which is included in Other income on the unaudited statements of operations.</w:t>
      </w:r>
    </w:p>
    <w:p>
      <w:pPr>
        <w:spacing w:after="0" w:line="228" w:lineRule="exact"/>
        <w:rPr>
          <w:rFonts w:ascii="Arial" w:cs="Arial" w:eastAsia="Arial" w:hAnsi="Arial"/>
          <w:sz w:val="16"/>
          <w:szCs w:val="16"/>
          <w:color w:val="auto"/>
        </w:rPr>
      </w:pPr>
    </w:p>
    <w:p>
      <w:pPr>
        <w:ind w:left="652" w:hanging="328"/>
        <w:spacing w:after="0" w:line="250" w:lineRule="auto"/>
        <w:tabs>
          <w:tab w:leader="none" w:pos="647"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costs incurred associated with Civeo's acquisition of Action. For the twelve month period ended December 31, 2019, the $0.4 million of costs ($0.4 million after-tax, or $0.03, per diluted share), are reflected in the Australia reportable segment and are included in Selling, general and administrative expenses on the unaudited statements of operations. For the three month period ended December 31, 2019, the $0.2 million of costs ($0.2 million after-tax, or $0.01, per diluted share), are reflected in the Australia reportable segment and are included in Selling, general and administrative expenses on the unaudited statements of operations.</w:t>
      </w:r>
    </w:p>
    <w:p>
      <w:pPr>
        <w:spacing w:after="0" w:line="229" w:lineRule="exact"/>
        <w:rPr>
          <w:rFonts w:ascii="Arial" w:cs="Arial" w:eastAsia="Arial" w:hAnsi="Arial"/>
          <w:sz w:val="16"/>
          <w:szCs w:val="16"/>
          <w:color w:val="auto"/>
        </w:rPr>
      </w:pPr>
    </w:p>
    <w:p>
      <w:pPr>
        <w:ind w:left="332" w:hanging="332"/>
        <w:spacing w:after="0" w:line="248"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Free Cash Flow plan.</w:t>
      </w:r>
    </w:p>
    <w:p>
      <w:pPr>
        <w:spacing w:after="0" w:line="234" w:lineRule="exact"/>
        <w:rPr>
          <w:rFonts w:ascii="Arial" w:cs="Arial" w:eastAsia="Arial" w:hAnsi="Arial"/>
          <w:sz w:val="16"/>
          <w:szCs w:val="16"/>
          <w:color w:val="auto"/>
        </w:rPr>
      </w:pPr>
    </w:p>
    <w:p>
      <w:pPr>
        <w:ind w:left="332" w:right="74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360" w:lineRule="exact"/>
        <w:rPr>
          <w:sz w:val="20"/>
          <w:szCs w:val="20"/>
          <w:color w:val="auto"/>
        </w:rPr>
      </w:pPr>
    </w:p>
    <w:tbl>
      <w:tblPr>
        <w:tblLayout w:type="fixed"/>
        <w:tblInd w:w="103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226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DECEMBER 31,</w:t>
            </w:r>
          </w:p>
        </w:tc>
      </w:tr>
      <w:tr>
        <w:trPr>
          <w:trHeight w:val="268"/>
        </w:trPr>
        <w:tc>
          <w:tcPr>
            <w:tcW w:w="42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517"/>
        </w:trPr>
        <w:tc>
          <w:tcPr>
            <w:tcW w:w="420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36,686</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40,955</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117,361</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74,481</w:t>
            </w:r>
          </w:p>
        </w:tc>
      </w:tr>
      <w:tr>
        <w:trPr>
          <w:trHeight w:val="270"/>
        </w:trPr>
        <w:tc>
          <w:tcPr>
            <w:tcW w:w="420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(4,295)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(10,083)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(29,812)</w:t>
            </w:r>
          </w:p>
        </w:tc>
      </w:tr>
      <w:tr>
        <w:trPr>
          <w:trHeight w:val="183"/>
        </w:trPr>
        <w:tc>
          <w:tcPr>
            <w:tcW w:w="4200" w:type="dxa"/>
            <w:vAlign w:val="bottom"/>
          </w:tcPr>
          <w:p>
            <w:pPr>
              <w:ind w:left="240"/>
              <w:spacing w:after="0"/>
              <w:rPr>
                <w:sz w:val="20"/>
                <w:szCs w:val="20"/>
                <w:color w:val="auto"/>
              </w:rPr>
            </w:pPr>
            <w:r>
              <w:rPr>
                <w:rFonts w:ascii="Arial" w:cs="Arial" w:eastAsia="Arial" w:hAnsi="Arial"/>
                <w:sz w:val="16"/>
                <w:szCs w:val="16"/>
                <w:color w:val="auto"/>
              </w:rPr>
              <w:t>Proceeds from disposition of property, plant and</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8"/>
        </w:trPr>
        <w:tc>
          <w:tcPr>
            <w:tcW w:w="4200" w:type="dxa"/>
            <w:vAlign w:val="bottom"/>
          </w:tcPr>
          <w:p>
            <w:pPr>
              <w:spacing w:after="0"/>
              <w:rPr>
                <w:sz w:val="20"/>
                <w:szCs w:val="20"/>
                <w:color w:val="auto"/>
              </w:rPr>
            </w:pPr>
            <w:r>
              <w:rPr>
                <w:rFonts w:ascii="Arial" w:cs="Arial" w:eastAsia="Arial" w:hAnsi="Arial"/>
                <w:sz w:val="16"/>
                <w:szCs w:val="16"/>
                <w:color w:val="auto"/>
              </w:rPr>
              <w:t>equipment</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5,906</w:t>
            </w:r>
          </w:p>
        </w:tc>
      </w:tr>
      <w:tr>
        <w:trPr>
          <w:trHeight w:val="226"/>
        </w:trPr>
        <w:tc>
          <w:tcPr>
            <w:tcW w:w="4200" w:type="dxa"/>
            <w:vAlign w:val="bottom"/>
          </w:tcPr>
          <w:p>
            <w:pPr>
              <w:ind w:left="240"/>
              <w:spacing w:after="0"/>
              <w:rPr>
                <w:sz w:val="20"/>
                <w:szCs w:val="20"/>
                <w:color w:val="auto"/>
              </w:rPr>
            </w:pPr>
            <w:r>
              <w:rPr>
                <w:rFonts w:ascii="Arial" w:cs="Arial" w:eastAsia="Arial" w:hAnsi="Arial"/>
                <w:sz w:val="16"/>
                <w:szCs w:val="16"/>
                <w:color w:val="auto"/>
              </w:rPr>
              <w:t>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33,201</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37,084</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110,968</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50,575</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12"/>
          </w:cols>
          <w:pgMar w:left="328" w:top="911" w:right="359" w:bottom="1440" w:gutter="0" w:footer="0" w:header="0"/>
        </w:sectPr>
      </w:pPr>
    </w:p>
    <w:bookmarkStart w:id="14" w:name="page15"/>
    <w:bookmarkEnd w:id="14"/>
    <w:p>
      <w:pPr>
        <w:jc w:val="center"/>
        <w:ind w:right="272"/>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272"/>
        <w:spacing w:after="0"/>
        <w:rPr>
          <w:sz w:val="20"/>
          <w:szCs w:val="20"/>
          <w:color w:val="auto"/>
        </w:rPr>
      </w:pPr>
      <w:r>
        <w:rPr>
          <w:rFonts w:ascii="Arial" w:cs="Arial" w:eastAsia="Arial" w:hAnsi="Arial"/>
          <w:sz w:val="16"/>
          <w:szCs w:val="16"/>
          <w:b w:val="1"/>
          <w:bCs w:val="1"/>
          <w:color w:val="auto"/>
        </w:rPr>
        <w:t>NON-GAAP RECONCILIATIONS - GUIDANCE</w:t>
      </w:r>
    </w:p>
    <w:p>
      <w:pPr>
        <w:spacing w:after="0" w:line="5" w:lineRule="exact"/>
        <w:rPr>
          <w:sz w:val="20"/>
          <w:szCs w:val="20"/>
          <w:color w:val="auto"/>
        </w:rPr>
      </w:pPr>
    </w:p>
    <w:p>
      <w:pPr>
        <w:ind w:left="4828"/>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4848"/>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42" w:lineRule="exact"/>
        <w:rPr>
          <w:sz w:val="20"/>
          <w:szCs w:val="20"/>
          <w:color w:val="auto"/>
        </w:rPr>
      </w:pPr>
    </w:p>
    <w:p>
      <w:pPr>
        <w:ind w:left="5928"/>
        <w:spacing w:after="0"/>
        <w:rPr>
          <w:sz w:val="20"/>
          <w:szCs w:val="20"/>
          <w:color w:val="auto"/>
        </w:rPr>
      </w:pPr>
      <w:r>
        <w:rPr>
          <w:rFonts w:ascii="Arial" w:cs="Arial" w:eastAsia="Arial" w:hAnsi="Arial"/>
          <w:sz w:val="16"/>
          <w:szCs w:val="16"/>
          <w:b w:val="1"/>
          <w:bCs w:val="1"/>
          <w:color w:val="auto"/>
        </w:rPr>
        <w:t>YEAR ENDING</w:t>
      </w:r>
    </w:p>
    <w:p>
      <w:pPr>
        <w:ind w:left="5708"/>
        <w:spacing w:after="0"/>
        <w:rPr>
          <w:sz w:val="20"/>
          <w:szCs w:val="20"/>
          <w:color w:val="auto"/>
        </w:rPr>
      </w:pPr>
      <w:r>
        <w:rPr>
          <w:rFonts w:ascii="Arial" w:cs="Arial" w:eastAsia="Arial" w:hAnsi="Arial"/>
          <w:sz w:val="16"/>
          <w:szCs w:val="16"/>
          <w:b w:val="1"/>
          <w:bCs w:val="1"/>
          <w:color w:val="auto"/>
        </w:rPr>
        <w:t>DECEMBER 31, 2021</w:t>
      </w:r>
    </w:p>
    <w:p>
      <w:pPr>
        <w:spacing w:after="0" w:line="167" w:lineRule="exact"/>
        <w:rPr>
          <w:sz w:val="20"/>
          <w:szCs w:val="20"/>
          <w:color w:val="auto"/>
        </w:rPr>
      </w:pPr>
    </w:p>
    <w:p>
      <w:pPr>
        <w:ind w:left="2908"/>
        <w:spacing w:after="0"/>
        <w:tabs>
          <w:tab w:leader="none" w:pos="5328" w:val="left"/>
          <w:tab w:leader="none" w:pos="5988" w:val="left"/>
          <w:tab w:leader="none" w:pos="6588" w:val="left"/>
          <w:tab w:leader="none" w:pos="7268" w:val="left"/>
        </w:tabs>
        <w:rPr>
          <w:sz w:val="20"/>
          <w:szCs w:val="20"/>
          <w:color w:val="auto"/>
        </w:rPr>
      </w:pPr>
      <w:r>
        <w:rPr>
          <w:rFonts w:ascii="Arial" w:cs="Arial" w:eastAsia="Arial" w:hAnsi="Arial"/>
          <w:sz w:val="16"/>
          <w:szCs w:val="16"/>
          <w:color w:val="auto"/>
        </w:rPr>
        <w:t>EBITDA Range (1)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90.0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95.0</w:t>
      </w:r>
    </w:p>
    <w:p>
      <w:pPr>
        <w:spacing w:after="0" w:line="343" w:lineRule="exact"/>
        <w:rPr>
          <w:sz w:val="20"/>
          <w:szCs w:val="20"/>
          <w:color w:val="auto"/>
        </w:rPr>
      </w:pPr>
    </w:p>
    <w:p>
      <w:pPr>
        <w:ind w:left="328" w:hanging="328"/>
        <w:spacing w:after="0" w:line="260" w:lineRule="auto"/>
        <w:tabs>
          <w:tab w:leader="none" w:pos="32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200" w:lineRule="exact"/>
        <w:rPr>
          <w:sz w:val="20"/>
          <w:szCs w:val="20"/>
          <w:color w:val="auto"/>
        </w:rPr>
      </w:pPr>
    </w:p>
    <w:p>
      <w:pPr>
        <w:spacing w:after="0" w:line="216" w:lineRule="exact"/>
        <w:rPr>
          <w:sz w:val="20"/>
          <w:szCs w:val="20"/>
          <w:color w:val="auto"/>
        </w:rPr>
      </w:pPr>
    </w:p>
    <w:p>
      <w:pPr>
        <w:ind w:left="5968"/>
        <w:spacing w:after="0"/>
        <w:rPr>
          <w:sz w:val="20"/>
          <w:szCs w:val="20"/>
          <w:color w:val="auto"/>
        </w:rPr>
      </w:pPr>
      <w:r>
        <w:rPr>
          <w:rFonts w:ascii="Arial" w:cs="Arial" w:eastAsia="Arial" w:hAnsi="Arial"/>
          <w:sz w:val="16"/>
          <w:szCs w:val="16"/>
          <w:b w:val="1"/>
          <w:bCs w:val="1"/>
          <w:color w:val="auto"/>
        </w:rPr>
        <w:t>YEAR ENDING</w:t>
      </w:r>
    </w:p>
    <w:p>
      <w:pPr>
        <w:ind w:left="5748"/>
        <w:spacing w:after="0"/>
        <w:rPr>
          <w:sz w:val="20"/>
          <w:szCs w:val="20"/>
          <w:color w:val="auto"/>
        </w:rPr>
      </w:pPr>
      <w:r>
        <w:rPr>
          <w:rFonts w:ascii="Arial" w:cs="Arial" w:eastAsia="Arial" w:hAnsi="Arial"/>
          <w:sz w:val="16"/>
          <w:szCs w:val="16"/>
          <w:b w:val="1"/>
          <w:bCs w:val="1"/>
          <w:color w:val="auto"/>
        </w:rPr>
        <w:t>DECEMBER 31, 2021</w:t>
      </w:r>
    </w:p>
    <w:p>
      <w:pPr>
        <w:spacing w:after="0" w:line="147" w:lineRule="exact"/>
        <w:rPr>
          <w:sz w:val="20"/>
          <w:szCs w:val="20"/>
          <w:color w:val="auto"/>
        </w:rPr>
      </w:pPr>
    </w:p>
    <w:p>
      <w:pPr>
        <w:ind w:left="6108"/>
        <w:spacing w:after="0"/>
        <w:rPr>
          <w:sz w:val="20"/>
          <w:szCs w:val="20"/>
          <w:color w:val="auto"/>
        </w:rPr>
      </w:pPr>
      <w:r>
        <w:rPr>
          <w:rFonts w:ascii="Arial" w:cs="Arial" w:eastAsia="Arial" w:hAnsi="Arial"/>
          <w:sz w:val="16"/>
          <w:szCs w:val="16"/>
          <w:b w:val="1"/>
          <w:bCs w:val="1"/>
          <w:color w:val="auto"/>
        </w:rPr>
        <w:t>(estimated)</w:t>
      </w:r>
    </w:p>
    <w:p>
      <w:pPr>
        <w:spacing w:after="0" w:line="376" w:lineRule="exact"/>
        <w:rPr>
          <w:sz w:val="20"/>
          <w:szCs w:val="20"/>
          <w:color w:val="auto"/>
        </w:rPr>
      </w:pPr>
    </w:p>
    <w:tbl>
      <w:tblPr>
        <w:tblLayout w:type="fixed"/>
        <w:tblInd w:w="2688" w:type="dxa"/>
        <w:tblCellMar>
          <w:top w:w="0" w:type="dxa"/>
          <w:left w:w="0" w:type="dxa"/>
          <w:bottom w:w="0" w:type="dxa"/>
          <w:right w:w="0" w:type="dxa"/>
        </w:tblCellMar>
      </w:tblPr>
      <w:tr>
        <w:trPr>
          <w:trHeight w:val="195"/>
        </w:trPr>
        <w:tc>
          <w:tcPr>
            <w:tcW w:w="2500" w:type="dxa"/>
            <w:vAlign w:val="bottom"/>
          </w:tcPr>
          <w:p>
            <w:pPr>
              <w:spacing w:after="0"/>
              <w:rPr>
                <w:sz w:val="20"/>
                <w:szCs w:val="20"/>
                <w:color w:val="auto"/>
              </w:rPr>
            </w:pPr>
            <w:r>
              <w:rPr>
                <w:rFonts w:ascii="Arial" w:cs="Arial" w:eastAsia="Arial" w:hAnsi="Arial"/>
                <w:sz w:val="16"/>
                <w:szCs w:val="16"/>
                <w:color w:val="auto"/>
              </w:rPr>
              <w:t>Net loss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(20.5)</w:t>
            </w:r>
          </w:p>
        </w:tc>
        <w:tc>
          <w:tcPr>
            <w:tcW w:w="180" w:type="dxa"/>
            <w:vAlign w:val="bottom"/>
          </w:tcPr>
          <w:p>
            <w:pPr>
              <w:spacing w:after="0"/>
              <w:rPr>
                <w:sz w:val="16"/>
                <w:szCs w:val="16"/>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4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95.0</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95.0</w:t>
            </w:r>
          </w:p>
        </w:tc>
      </w:tr>
      <w:tr>
        <w:trPr>
          <w:trHeight w:val="273"/>
        </w:trPr>
        <w:tc>
          <w:tcPr>
            <w:tcW w:w="2500" w:type="dxa"/>
            <w:vAlign w:val="bottom"/>
          </w:tcPr>
          <w:p>
            <w:pPr>
              <w:spacing w:after="0"/>
              <w:rPr>
                <w:sz w:val="20"/>
                <w:szCs w:val="20"/>
                <w:color w:val="auto"/>
              </w:rPr>
            </w:pPr>
            <w:r>
              <w:rPr>
                <w:rFonts w:ascii="Arial" w:cs="Arial" w:eastAsia="Arial" w:hAnsi="Arial"/>
                <w:sz w:val="16"/>
                <w:szCs w:val="16"/>
                <w:color w:val="auto"/>
              </w:rPr>
              <w:t>Interest expense</w:t>
            </w:r>
          </w:p>
        </w:tc>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w:t>
            </w:r>
          </w:p>
        </w:tc>
        <w:tc>
          <w:tcPr>
            <w:tcW w:w="1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w:t>
            </w:r>
          </w:p>
        </w:tc>
      </w:tr>
      <w:tr>
        <w:trPr>
          <w:trHeight w:val="226"/>
        </w:trPr>
        <w:tc>
          <w:tcPr>
            <w:tcW w:w="2500" w:type="dxa"/>
            <w:vAlign w:val="bottom"/>
          </w:tcPr>
          <w:p>
            <w:pPr>
              <w:ind w:left="220"/>
              <w:spacing w:after="0"/>
              <w:rPr>
                <w:sz w:val="20"/>
                <w:szCs w:val="20"/>
                <w:color w:val="auto"/>
              </w:rPr>
            </w:pPr>
            <w:r>
              <w:rPr>
                <w:rFonts w:ascii="Arial" w:cs="Arial" w:eastAsia="Arial" w:hAnsi="Arial"/>
                <w:sz w:val="16"/>
                <w:szCs w:val="16"/>
                <w:color w:val="auto"/>
              </w:rPr>
              <w:t>EBITDA</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90.0</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95.0</w:t>
            </w:r>
          </w:p>
        </w:tc>
      </w:tr>
      <w:tr>
        <w:trPr>
          <w:trHeight w:val="20"/>
        </w:trPr>
        <w:tc>
          <w:tcPr>
            <w:tcW w:w="2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68"/>
          </w:cols>
          <w:pgMar w:left="652" w:top="1134" w:right="379" w:bottom="1440" w:gutter="0" w:footer="0" w:header="0"/>
        </w:sectPr>
      </w:pPr>
    </w:p>
    <w:bookmarkStart w:id="15" w:name="page16"/>
    <w:bookmarkEnd w:id="15"/>
    <w:p>
      <w:pPr>
        <w:jc w:val="center"/>
        <w:ind w:right="-17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40" w:lineRule="exact"/>
        <w:rPr>
          <w:sz w:val="20"/>
          <w:szCs w:val="20"/>
          <w:color w:val="auto"/>
        </w:rPr>
      </w:pPr>
    </w:p>
    <w:tbl>
      <w:tblPr>
        <w:tblLayout w:type="fixed"/>
        <w:tblInd w:w="1292"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22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DECEMBER 31,</w:t>
            </w:r>
          </w:p>
        </w:tc>
      </w:tr>
      <w:tr>
        <w:trPr>
          <w:trHeight w:val="265"/>
        </w:trPr>
        <w:tc>
          <w:tcPr>
            <w:tcW w:w="37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271"/>
        </w:trPr>
        <w:tc>
          <w:tcPr>
            <w:tcW w:w="3740" w:type="dxa"/>
            <w:vAlign w:val="bottom"/>
          </w:tcPr>
          <w:p>
            <w:pPr>
              <w:spacing w:after="0"/>
              <w:rPr>
                <w:sz w:val="20"/>
                <w:szCs w:val="20"/>
                <w:color w:val="auto"/>
              </w:rPr>
            </w:pPr>
            <w:r>
              <w:rPr>
                <w:rFonts w:ascii="Arial" w:cs="Arial" w:eastAsia="Arial" w:hAnsi="Arial"/>
                <w:sz w:val="16"/>
                <w:szCs w:val="16"/>
                <w:color w:val="auto"/>
              </w:rPr>
              <w:t>Supplemental Operating Data - Canadian</w:t>
            </w: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95"/>
        </w:trPr>
        <w:tc>
          <w:tcPr>
            <w:tcW w:w="3740" w:type="dxa"/>
            <w:vAlign w:val="bottom"/>
          </w:tcPr>
          <w:p>
            <w:pPr>
              <w:spacing w:after="0"/>
              <w:rPr>
                <w:sz w:val="20"/>
                <w:szCs w:val="20"/>
                <w:color w:val="auto"/>
              </w:rPr>
            </w:pPr>
            <w:r>
              <w:rPr>
                <w:rFonts w:ascii="Arial" w:cs="Arial" w:eastAsia="Arial" w:hAnsi="Arial"/>
                <w:sz w:val="16"/>
                <w:szCs w:val="16"/>
                <w:color w:val="auto"/>
              </w:rPr>
              <w:t>Segment</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0"/>
        </w:trPr>
        <w:tc>
          <w:tcPr>
            <w:tcW w:w="3740" w:type="dxa"/>
            <w:vAlign w:val="bottom"/>
          </w:tcPr>
          <w:p>
            <w:pPr>
              <w:ind w:left="220"/>
              <w:spacing w:after="0"/>
              <w:rPr>
                <w:sz w:val="20"/>
                <w:szCs w:val="20"/>
                <w:color w:val="auto"/>
              </w:rPr>
            </w:pPr>
            <w:r>
              <w:rPr>
                <w:rFonts w:ascii="Arial" w:cs="Arial" w:eastAsia="Arial" w:hAnsi="Arial"/>
                <w:sz w:val="16"/>
                <w:szCs w:val="16"/>
                <w:color w:val="auto"/>
              </w:rPr>
              <w:t>Revenues</w:t>
            </w: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46,466</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77,803</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202,534</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281,577</w:t>
            </w:r>
          </w:p>
        </w:tc>
      </w:tr>
      <w:tr>
        <w:trPr>
          <w:trHeight w:val="270"/>
        </w:trPr>
        <w:tc>
          <w:tcPr>
            <w:tcW w:w="374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11,477</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3,927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33,192</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9,575</w:t>
            </w:r>
          </w:p>
        </w:tc>
      </w:tr>
      <w:tr>
        <w:trPr>
          <w:trHeight w:val="270"/>
        </w:trPr>
        <w:tc>
          <w:tcPr>
            <w:tcW w:w="374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7,587</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7,978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33,923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33,485</w:t>
            </w:r>
          </w:p>
        </w:tc>
      </w:tr>
      <w:tr>
        <w:trPr>
          <w:trHeight w:val="273"/>
        </w:trPr>
        <w:tc>
          <w:tcPr>
            <w:tcW w:w="3740" w:type="dxa"/>
            <w:vAlign w:val="bottom"/>
          </w:tcPr>
          <w:p>
            <w:pPr>
              <w:ind w:left="460"/>
              <w:spacing w:after="0"/>
              <w:rPr>
                <w:sz w:val="20"/>
                <w:szCs w:val="20"/>
                <w:color w:val="auto"/>
              </w:rPr>
            </w:pPr>
            <w:r>
              <w:rPr>
                <w:rFonts w:ascii="Arial" w:cs="Arial" w:eastAsia="Arial" w:hAnsi="Arial"/>
                <w:sz w:val="16"/>
                <w:szCs w:val="16"/>
                <w:color w:val="auto"/>
              </w:rPr>
              <w:t>Manufacturing revenue (4)</w:t>
            </w:r>
          </w:p>
        </w:tc>
        <w:tc>
          <w:tcPr>
            <w:tcW w:w="16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1,014</w:t>
            </w:r>
          </w:p>
        </w:tc>
      </w:tr>
      <w:tr>
        <w:trPr>
          <w:trHeight w:val="247"/>
        </w:trPr>
        <w:tc>
          <w:tcPr>
            <w:tcW w:w="374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65,530</w:t>
            </w:r>
          </w:p>
        </w:tc>
        <w:tc>
          <w:tcPr>
            <w:tcW w:w="180" w:type="dxa"/>
            <w:vAlign w:val="bottom"/>
          </w:tcPr>
          <w:p>
            <w:pPr>
              <w:spacing w:after="0"/>
              <w:rPr>
                <w:sz w:val="21"/>
                <w:szCs w:val="21"/>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89,708</w:t>
            </w:r>
          </w:p>
        </w:tc>
        <w:tc>
          <w:tcPr>
            <w:tcW w:w="1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269,649</w:t>
            </w:r>
          </w:p>
        </w:tc>
        <w:tc>
          <w:tcPr>
            <w:tcW w:w="200" w:type="dxa"/>
            <w:vAlign w:val="bottom"/>
          </w:tcPr>
          <w:p>
            <w:pPr>
              <w:spacing w:after="0"/>
              <w:rPr>
                <w:sz w:val="21"/>
                <w:szCs w:val="21"/>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325,651</w:t>
            </w:r>
          </w:p>
        </w:tc>
      </w:tr>
      <w:tr>
        <w:trPr>
          <w:trHeight w:val="378"/>
        </w:trPr>
        <w:tc>
          <w:tcPr>
            <w:tcW w:w="3740" w:type="dxa"/>
            <w:vAlign w:val="bottom"/>
          </w:tcPr>
          <w:p>
            <w:pPr>
              <w:ind w:left="200"/>
              <w:spacing w:after="0"/>
              <w:rPr>
                <w:sz w:val="20"/>
                <w:szCs w:val="20"/>
                <w:color w:val="auto"/>
              </w:rPr>
            </w:pPr>
            <w:r>
              <w:rPr>
                <w:rFonts w:ascii="Arial" w:cs="Arial" w:eastAsia="Arial" w:hAnsi="Arial"/>
                <w:sz w:val="16"/>
                <w:szCs w:val="16"/>
                <w:color w:val="auto"/>
              </w:rPr>
              <w:t>Costs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34,070</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50,539</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143,213</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187,679</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7,743</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2,758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24,842</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7,493</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6,843</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6,975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30,616</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30,595</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Manufacturing cost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1,025</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3,134</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10,001</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12,832</w:t>
            </w:r>
          </w:p>
        </w:tc>
      </w:tr>
      <w:tr>
        <w:trPr>
          <w:trHeight w:val="163"/>
        </w:trPr>
        <w:tc>
          <w:tcPr>
            <w:tcW w:w="3740" w:type="dxa"/>
            <w:vAlign w:val="bottom"/>
          </w:tcPr>
          <w:p>
            <w:pPr>
              <w:ind w:left="640"/>
              <w:spacing w:after="0" w:line="164" w:lineRule="exact"/>
              <w:rPr>
                <w:sz w:val="20"/>
                <w:szCs w:val="20"/>
                <w:color w:val="auto"/>
              </w:rPr>
            </w:pPr>
            <w:r>
              <w:rPr>
                <w:rFonts w:ascii="Arial" w:cs="Arial" w:eastAsia="Arial" w:hAnsi="Arial"/>
                <w:sz w:val="16"/>
                <w:szCs w:val="16"/>
                <w:color w:val="auto"/>
              </w:rPr>
              <w:t>Total Canadian cost of sales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5"/>
        </w:trPr>
        <w:tc>
          <w:tcPr>
            <w:tcW w:w="3740" w:type="dxa"/>
            <w:vAlign w:val="bottom"/>
          </w:tcPr>
          <w:p>
            <w:pPr>
              <w:ind w:left="640"/>
              <w:spacing w:after="0"/>
              <w:rPr>
                <w:sz w:val="20"/>
                <w:szCs w:val="20"/>
                <w:color w:val="auto"/>
              </w:rPr>
            </w:pPr>
            <w:r>
              <w:rPr>
                <w:rFonts w:ascii="Arial" w:cs="Arial" w:eastAsia="Arial" w:hAnsi="Arial"/>
                <w:sz w:val="16"/>
                <w:szCs w:val="16"/>
                <w:color w:val="auto"/>
              </w:rPr>
              <w:t>services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51,153</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63,424</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209,283</w:t>
            </w:r>
          </w:p>
        </w:tc>
        <w:tc>
          <w:tcPr>
            <w:tcW w:w="20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239,624</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Average daily rates (5)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Billed rooms (6)</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469,116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837,217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2,095,784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3,078,727</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0.768</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0.758</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0.746</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0.754</w:t>
            </w:r>
          </w:p>
        </w:tc>
      </w:tr>
      <w:tr>
        <w:trPr>
          <w:trHeight w:val="453"/>
        </w:trPr>
        <w:tc>
          <w:tcPr>
            <w:tcW w:w="3740" w:type="dxa"/>
            <w:vAlign w:val="bottom"/>
          </w:tcPr>
          <w:p>
            <w:pPr>
              <w:spacing w:after="0"/>
              <w:rPr>
                <w:sz w:val="20"/>
                <w:szCs w:val="20"/>
                <w:color w:val="auto"/>
              </w:rPr>
            </w:pPr>
            <w:r>
              <w:rPr>
                <w:rFonts w:ascii="Arial" w:cs="Arial" w:eastAsia="Arial" w:hAnsi="Arial"/>
                <w:sz w:val="16"/>
                <w:szCs w:val="16"/>
                <w:color w:val="auto"/>
              </w:rPr>
              <w:t>Supplemental Operating Data - Australian</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5"/>
        </w:trPr>
        <w:tc>
          <w:tcPr>
            <w:tcW w:w="3740" w:type="dxa"/>
            <w:vAlign w:val="bottom"/>
          </w:tcPr>
          <w:p>
            <w:pPr>
              <w:spacing w:after="0"/>
              <w:rPr>
                <w:sz w:val="20"/>
                <w:szCs w:val="20"/>
                <w:color w:val="auto"/>
              </w:rPr>
            </w:pPr>
            <w:r>
              <w:rPr>
                <w:rFonts w:ascii="Arial" w:cs="Arial" w:eastAsia="Arial" w:hAnsi="Arial"/>
                <w:sz w:val="16"/>
                <w:szCs w:val="16"/>
                <w:color w:val="auto"/>
              </w:rPr>
              <w:t>Segment</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37,082</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33,574</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144,070</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126,047</w:t>
            </w:r>
          </w:p>
        </w:tc>
      </w:tr>
      <w:tr>
        <w:trPr>
          <w:trHeight w:val="273"/>
        </w:trPr>
        <w:tc>
          <w:tcPr>
            <w:tcW w:w="374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26,591</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15,359</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90,472</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30,046</w:t>
            </w:r>
          </w:p>
        </w:tc>
      </w:tr>
      <w:tr>
        <w:trPr>
          <w:trHeight w:val="247"/>
        </w:trPr>
        <w:tc>
          <w:tcPr>
            <w:tcW w:w="374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63,673</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48,933</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234,542</w:t>
            </w:r>
          </w:p>
        </w:tc>
        <w:tc>
          <w:tcPr>
            <w:tcW w:w="2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156,093</w:t>
            </w:r>
          </w:p>
        </w:tc>
      </w:tr>
      <w:tr>
        <w:trPr>
          <w:trHeight w:val="378"/>
        </w:trPr>
        <w:tc>
          <w:tcPr>
            <w:tcW w:w="3740" w:type="dxa"/>
            <w:vAlign w:val="bottom"/>
          </w:tcPr>
          <w:p>
            <w:pPr>
              <w:ind w:left="200"/>
              <w:spacing w:after="0"/>
              <w:rPr>
                <w:sz w:val="20"/>
                <w:szCs w:val="20"/>
                <w:color w:val="auto"/>
              </w:rPr>
            </w:pPr>
            <w:r>
              <w:rPr>
                <w:rFonts w:ascii="Arial" w:cs="Arial" w:eastAsia="Arial" w:hAnsi="Arial"/>
                <w:sz w:val="16"/>
                <w:szCs w:val="16"/>
                <w:color w:val="auto"/>
              </w:rPr>
              <w:t>Costs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16,839</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15,229</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63,504</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60,045</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23,731</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13,266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77,358</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26,073</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877</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3,847</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2,972</w:t>
            </w:r>
          </w:p>
        </w:tc>
      </w:tr>
      <w:tr>
        <w:trPr>
          <w:trHeight w:val="163"/>
        </w:trPr>
        <w:tc>
          <w:tcPr>
            <w:tcW w:w="3740" w:type="dxa"/>
            <w:vAlign w:val="bottom"/>
          </w:tcPr>
          <w:p>
            <w:pPr>
              <w:ind w:left="640"/>
              <w:spacing w:after="0" w:line="164" w:lineRule="exact"/>
              <w:rPr>
                <w:sz w:val="20"/>
                <w:szCs w:val="20"/>
                <w:color w:val="auto"/>
              </w:rPr>
            </w:pPr>
            <w:r>
              <w:rPr>
                <w:rFonts w:ascii="Arial" w:cs="Arial" w:eastAsia="Arial" w:hAnsi="Arial"/>
                <w:sz w:val="16"/>
                <w:szCs w:val="16"/>
                <w:color w:val="auto"/>
              </w:rPr>
              <w:t>Total Australian cost of sales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5"/>
        </w:trPr>
        <w:tc>
          <w:tcPr>
            <w:tcW w:w="3740" w:type="dxa"/>
            <w:vAlign w:val="bottom"/>
          </w:tcPr>
          <w:p>
            <w:pPr>
              <w:ind w:left="640"/>
              <w:spacing w:after="0"/>
              <w:rPr>
                <w:sz w:val="20"/>
                <w:szCs w:val="20"/>
                <w:color w:val="auto"/>
              </w:rPr>
            </w:pPr>
            <w:r>
              <w:rPr>
                <w:rFonts w:ascii="Arial" w:cs="Arial" w:eastAsia="Arial" w:hAnsi="Arial"/>
                <w:sz w:val="16"/>
                <w:szCs w:val="16"/>
                <w:color w:val="auto"/>
              </w:rPr>
              <w:t>services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41,714</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29,372</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144,709</w:t>
            </w:r>
          </w:p>
        </w:tc>
        <w:tc>
          <w:tcPr>
            <w:tcW w:w="20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89,090</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Average daily rates (5)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Billed rooms (6)</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480,465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463,330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1,968,284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1,717,186</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0.731</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0.684</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0.691</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0.695</w:t>
            </w:r>
          </w:p>
        </w:tc>
      </w:tr>
    </w:tbl>
    <w:p>
      <w:pPr>
        <w:spacing w:after="0" w:line="332" w:lineRule="exact"/>
        <w:rPr>
          <w:sz w:val="20"/>
          <w:szCs w:val="20"/>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modular construction services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ectPr>
          <w:pgSz w:w="11900" w:h="16838" w:orient="portrait"/>
          <w:cols w:equalWidth="0" w:num="1">
            <w:col w:w="11052"/>
          </w:cols>
          <w:pgMar w:left="328" w:top="1134" w:right="5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CONTACT: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Jeffrey Spittel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FTI Consulting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713-353-5407</w:t>
      </w:r>
    </w:p>
    <w:sectPr>
      <w:pgSz w:w="11900" w:h="16838" w:orient="portrait"/>
      <w:cols w:equalWidth="0" w:num="1">
        <w:col w:w="10139"/>
      </w:cols>
      <w:pgMar w:left="320" w:top="11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2"/>
    </w:lvl>
  </w:abstractNum>
  <w:abstractNum w:abstractNumId="6">
    <w:nsid w:val="7545E146"/>
    <w:multiLevelType w:val="hybridMultilevel"/>
    <w:lvl w:ilvl="0">
      <w:lvlJc w:val="left"/>
      <w:lvlText w:val="(%1)"/>
      <w:numFmt w:val="decimal"/>
      <w:start w:val="2"/>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2021-02-26T07:45:21Z</dcterms:created>
  <dcterms:modified xsi:type="dcterms:W3CDTF">2021-02-26T07:45:21Z</dcterms:modified>
</cp:coreProperties>
</file>