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SD</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SPECIALIZED DISCLOSURE REPORT</w:t>
      </w: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Civeo Corporation</w:t>
      </w:r>
    </w:p>
    <w:p>
      <w:pPr>
        <w:spacing w:after="0" w:line="6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tbl>
      <w:tblPr>
        <w:tblLayout w:type="fixed"/>
        <w:tblInd w:w="290" w:type="dxa"/>
        <w:tblCellMar>
          <w:top w:w="0" w:type="dxa"/>
          <w:left w:w="0" w:type="dxa"/>
          <w:bottom w:w="0" w:type="dxa"/>
          <w:right w:w="0" w:type="dxa"/>
        </w:tblCellMar>
      </w:tblPr>
      <w:tr>
        <w:trPr>
          <w:trHeight w:val="250"/>
        </w:trPr>
        <w:tc>
          <w:tcPr>
            <w:tcW w:w="36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right w:val="single" w:sz="8" w:color="auto"/>
            </w:tcBorders>
          </w:tcPr>
          <w:p>
            <w:pPr>
              <w:spacing w:after="0"/>
              <w:rPr>
                <w:sz w:val="21"/>
                <w:szCs w:val="21"/>
                <w:color w:val="auto"/>
              </w:rPr>
            </w:pPr>
          </w:p>
        </w:tc>
        <w:tc>
          <w:tcPr>
            <w:tcW w:w="362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36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w w:val="92"/>
              </w:rPr>
              <w:t>British Columbia, Canada</w:t>
            </w:r>
          </w:p>
        </w:tc>
        <w:tc>
          <w:tcPr>
            <w:tcW w:w="1060" w:type="dxa"/>
            <w:vAlign w:val="bottom"/>
            <w:tcBorders>
              <w:bottom w:val="single" w:sz="8" w:color="auto"/>
            </w:tcBorders>
          </w:tcPr>
          <w:p>
            <w:pPr>
              <w:spacing w:after="0"/>
              <w:rPr>
                <w:sz w:val="16"/>
                <w:szCs w:val="16"/>
                <w:color w:val="auto"/>
              </w:rPr>
            </w:pPr>
          </w:p>
        </w:tc>
        <w:tc>
          <w:tcPr>
            <w:tcW w:w="2500" w:type="dxa"/>
            <w:vAlign w:val="bottom"/>
            <w:tcBorders>
              <w:bottom w:val="single" w:sz="8" w:color="auto"/>
              <w:right w:val="single" w:sz="8" w:color="auto"/>
            </w:tcBorders>
            <w:gridSpan w:val="2"/>
          </w:tcPr>
          <w:p>
            <w:pPr>
              <w:jc w:val="center"/>
              <w:ind w:right="1120"/>
              <w:spacing w:after="0" w:line="193" w:lineRule="exact"/>
              <w:rPr>
                <w:sz w:val="20"/>
                <w:szCs w:val="20"/>
                <w:color w:val="auto"/>
              </w:rPr>
            </w:pPr>
            <w:r>
              <w:rPr>
                <w:rFonts w:ascii="Arial" w:cs="Arial" w:eastAsia="Arial" w:hAnsi="Arial"/>
                <w:sz w:val="18"/>
                <w:szCs w:val="18"/>
                <w:b w:val="1"/>
                <w:bCs w:val="1"/>
                <w:color w:val="auto"/>
                <w:w w:val="90"/>
              </w:rPr>
              <w:t>001-36246</w:t>
            </w:r>
          </w:p>
        </w:tc>
        <w:tc>
          <w:tcPr>
            <w:tcW w:w="36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w w:val="89"/>
              </w:rPr>
              <w:t>98-1253716</w:t>
            </w:r>
          </w:p>
        </w:tc>
      </w:tr>
      <w:tr>
        <w:trPr>
          <w:trHeight w:val="191"/>
        </w:trPr>
        <w:tc>
          <w:tcPr>
            <w:tcW w:w="366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(State or Other Jurisdiction</w:t>
            </w:r>
          </w:p>
        </w:tc>
        <w:tc>
          <w:tcPr>
            <w:tcW w:w="1060" w:type="dxa"/>
            <w:vAlign w:val="bottom"/>
          </w:tcPr>
          <w:p>
            <w:pPr>
              <w:spacing w:after="0"/>
              <w:rPr>
                <w:sz w:val="16"/>
                <w:szCs w:val="16"/>
                <w:color w:val="auto"/>
              </w:rPr>
            </w:pPr>
          </w:p>
        </w:tc>
        <w:tc>
          <w:tcPr>
            <w:tcW w:w="2500" w:type="dxa"/>
            <w:vAlign w:val="bottom"/>
            <w:tcBorders>
              <w:right w:val="single" w:sz="8" w:color="auto"/>
            </w:tcBorders>
            <w:gridSpan w:val="2"/>
          </w:tcPr>
          <w:p>
            <w:pPr>
              <w:jc w:val="center"/>
              <w:ind w:right="1100"/>
              <w:spacing w:after="0" w:line="191" w:lineRule="exact"/>
              <w:rPr>
                <w:sz w:val="20"/>
                <w:szCs w:val="20"/>
                <w:color w:val="auto"/>
              </w:rPr>
            </w:pPr>
            <w:r>
              <w:rPr>
                <w:rFonts w:ascii="Arial" w:cs="Arial" w:eastAsia="Arial" w:hAnsi="Arial"/>
                <w:sz w:val="18"/>
                <w:szCs w:val="18"/>
                <w:b w:val="1"/>
                <w:bCs w:val="1"/>
                <w:color w:val="auto"/>
                <w:w w:val="87"/>
              </w:rPr>
              <w:t>(Commission</w:t>
            </w:r>
          </w:p>
        </w:tc>
        <w:tc>
          <w:tcPr>
            <w:tcW w:w="362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(IRS Employer</w:t>
            </w:r>
          </w:p>
        </w:tc>
      </w:tr>
      <w:tr>
        <w:trPr>
          <w:trHeight w:val="234"/>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 Incorporation)</w:t>
            </w:r>
          </w:p>
        </w:tc>
        <w:tc>
          <w:tcPr>
            <w:tcW w:w="1060" w:type="dxa"/>
            <w:vAlign w:val="bottom"/>
            <w:tcBorders>
              <w:bottom w:val="single" w:sz="8" w:color="auto"/>
            </w:tcBorders>
          </w:tcPr>
          <w:p>
            <w:pPr>
              <w:spacing w:after="0"/>
              <w:rPr>
                <w:sz w:val="20"/>
                <w:szCs w:val="20"/>
                <w:color w:val="auto"/>
              </w:rPr>
            </w:pPr>
          </w:p>
        </w:tc>
        <w:tc>
          <w:tcPr>
            <w:tcW w:w="2500" w:type="dxa"/>
            <w:vAlign w:val="bottom"/>
            <w:tcBorders>
              <w:bottom w:val="single" w:sz="8" w:color="auto"/>
              <w:right w:val="single" w:sz="8" w:color="auto"/>
            </w:tcBorders>
            <w:gridSpan w:val="2"/>
          </w:tcPr>
          <w:p>
            <w:pPr>
              <w:jc w:val="center"/>
              <w:ind w:right="1100"/>
              <w:spacing w:after="0"/>
              <w:rPr>
                <w:sz w:val="20"/>
                <w:szCs w:val="20"/>
                <w:color w:val="auto"/>
              </w:rPr>
            </w:pPr>
            <w:r>
              <w:rPr>
                <w:rFonts w:ascii="Arial" w:cs="Arial" w:eastAsia="Arial" w:hAnsi="Arial"/>
                <w:sz w:val="18"/>
                <w:szCs w:val="18"/>
                <w:b w:val="1"/>
                <w:bCs w:val="1"/>
                <w:color w:val="auto"/>
                <w:w w:val="94"/>
              </w:rPr>
              <w:t>File Number)</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210"/>
        </w:trPr>
        <w:tc>
          <w:tcPr>
            <w:tcW w:w="3660" w:type="dxa"/>
            <w:vAlign w:val="bottom"/>
            <w:tcBorders>
              <w:left w:val="single" w:sz="8" w:color="auto"/>
              <w:bottom w:val="single" w:sz="8" w:color="auto"/>
              <w:right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3620" w:type="dxa"/>
            <w:vAlign w:val="bottom"/>
            <w:tcBorders>
              <w:bottom w:val="single" w:sz="8" w:color="auto"/>
              <w:right w:val="single" w:sz="8" w:color="auto"/>
            </w:tcBorders>
          </w:tcPr>
          <w:p>
            <w:pPr>
              <w:spacing w:after="0"/>
              <w:rPr>
                <w:sz w:val="18"/>
                <w:szCs w:val="18"/>
                <w:color w:val="auto"/>
              </w:rPr>
            </w:pPr>
          </w:p>
        </w:tc>
      </w:tr>
      <w:tr>
        <w:trPr>
          <w:trHeight w:val="206"/>
        </w:trPr>
        <w:tc>
          <w:tcPr>
            <w:tcW w:w="3660" w:type="dxa"/>
            <w:vAlign w:val="bottom"/>
            <w:tcBorders>
              <w:left w:val="single" w:sz="8" w:color="auto"/>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3620" w:type="dxa"/>
            <w:vAlign w:val="bottom"/>
            <w:tcBorders>
              <w:bottom w:val="single" w:sz="8" w:color="auto"/>
              <w:right w:val="single" w:sz="8" w:color="auto"/>
            </w:tcBorders>
          </w:tcPr>
          <w:p>
            <w:pPr>
              <w:spacing w:after="0"/>
              <w:rPr>
                <w:sz w:val="17"/>
                <w:szCs w:val="17"/>
                <w:color w:val="auto"/>
              </w:rPr>
            </w:pPr>
          </w:p>
        </w:tc>
      </w:tr>
      <w:tr>
        <w:trPr>
          <w:trHeight w:val="194"/>
        </w:trPr>
        <w:tc>
          <w:tcPr>
            <w:tcW w:w="3660" w:type="dxa"/>
            <w:vAlign w:val="bottom"/>
          </w:tcPr>
          <w:p>
            <w:pPr>
              <w:ind w:left="920"/>
              <w:spacing w:after="0" w:line="195" w:lineRule="exact"/>
              <w:rPr>
                <w:sz w:val="20"/>
                <w:szCs w:val="20"/>
                <w:color w:val="auto"/>
              </w:rPr>
            </w:pPr>
            <w:r>
              <w:rPr>
                <w:rFonts w:ascii="Arial" w:cs="Arial" w:eastAsia="Arial" w:hAnsi="Arial"/>
                <w:sz w:val="18"/>
                <w:szCs w:val="18"/>
                <w:b w:val="1"/>
                <w:bCs w:val="1"/>
                <w:color w:val="auto"/>
                <w:w w:val="88"/>
              </w:rPr>
              <w:t>Three Allen Center, 333 Clay Street,</w:t>
            </w:r>
          </w:p>
        </w:tc>
        <w:tc>
          <w:tcPr>
            <w:tcW w:w="1060" w:type="dxa"/>
            <w:vAlign w:val="bottom"/>
          </w:tcPr>
          <w:p>
            <w:pPr>
              <w:ind w:left="80"/>
              <w:spacing w:after="0" w:line="195" w:lineRule="exact"/>
              <w:rPr>
                <w:sz w:val="20"/>
                <w:szCs w:val="20"/>
                <w:color w:val="auto"/>
              </w:rPr>
            </w:pPr>
            <w:r>
              <w:rPr>
                <w:rFonts w:ascii="Arial" w:cs="Arial" w:eastAsia="Arial" w:hAnsi="Arial"/>
                <w:sz w:val="18"/>
                <w:szCs w:val="18"/>
                <w:b w:val="1"/>
                <w:bCs w:val="1"/>
                <w:color w:val="auto"/>
              </w:rPr>
              <w:t>Suite 4980</w:t>
            </w:r>
          </w:p>
        </w:tc>
        <w:tc>
          <w:tcPr>
            <w:tcW w:w="720" w:type="dxa"/>
            <w:vAlign w:val="bottom"/>
            <w:tcBorders>
              <w:right w:val="single" w:sz="8" w:color="auto"/>
            </w:tcBorders>
          </w:tcPr>
          <w:p>
            <w:pPr>
              <w:spacing w:after="0"/>
              <w:rPr>
                <w:sz w:val="16"/>
                <w:szCs w:val="16"/>
                <w:color w:val="auto"/>
              </w:rPr>
            </w:pPr>
          </w:p>
        </w:tc>
        <w:tc>
          <w:tcPr>
            <w:tcW w:w="1780" w:type="dxa"/>
            <w:vAlign w:val="bottom"/>
          </w:tcPr>
          <w:p>
            <w:pPr>
              <w:spacing w:after="0"/>
              <w:rPr>
                <w:sz w:val="16"/>
                <w:szCs w:val="16"/>
                <w:color w:val="auto"/>
              </w:rPr>
            </w:pPr>
          </w:p>
        </w:tc>
        <w:tc>
          <w:tcPr>
            <w:tcW w:w="3620" w:type="dxa"/>
            <w:vAlign w:val="bottom"/>
          </w:tcPr>
          <w:p>
            <w:pPr>
              <w:jc w:val="right"/>
              <w:ind w:right="2390"/>
              <w:spacing w:after="0" w:line="195" w:lineRule="exact"/>
              <w:rPr>
                <w:sz w:val="20"/>
                <w:szCs w:val="20"/>
                <w:color w:val="auto"/>
              </w:rPr>
            </w:pPr>
            <w:r>
              <w:rPr>
                <w:rFonts w:ascii="Arial" w:cs="Arial" w:eastAsia="Arial" w:hAnsi="Arial"/>
                <w:sz w:val="18"/>
                <w:szCs w:val="18"/>
                <w:b w:val="1"/>
                <w:bCs w:val="1"/>
                <w:color w:val="auto"/>
              </w:rPr>
              <w:t>77002</w:t>
            </w:r>
          </w:p>
        </w:tc>
      </w:tr>
      <w:tr>
        <w:trPr>
          <w:trHeight w:val="234"/>
        </w:trPr>
        <w:tc>
          <w:tcPr>
            <w:tcW w:w="4720" w:type="dxa"/>
            <w:vAlign w:val="bottom"/>
            <w:tcBorders>
              <w:bottom w:val="single" w:sz="8" w:color="auto"/>
            </w:tcBorders>
            <w:gridSpan w:val="2"/>
          </w:tcPr>
          <w:p>
            <w:pPr>
              <w:jc w:val="center"/>
              <w:ind w:left="630"/>
              <w:spacing w:after="0"/>
              <w:rPr>
                <w:sz w:val="20"/>
                <w:szCs w:val="20"/>
                <w:color w:val="auto"/>
              </w:rPr>
            </w:pPr>
            <w:r>
              <w:rPr>
                <w:rFonts w:ascii="Arial" w:cs="Arial" w:eastAsia="Arial" w:hAnsi="Arial"/>
                <w:sz w:val="18"/>
                <w:szCs w:val="18"/>
                <w:b w:val="1"/>
                <w:bCs w:val="1"/>
                <w:color w:val="auto"/>
                <w:w w:val="86"/>
              </w:rPr>
              <w:t>Houston, Texas</w:t>
            </w:r>
          </w:p>
        </w:tc>
        <w:tc>
          <w:tcPr>
            <w:tcW w:w="7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p>
        </w:tc>
      </w:tr>
      <w:tr>
        <w:trPr>
          <w:trHeight w:val="210"/>
        </w:trPr>
        <w:tc>
          <w:tcPr>
            <w:tcW w:w="4720" w:type="dxa"/>
            <w:vAlign w:val="bottom"/>
            <w:tcBorders>
              <w:bottom w:val="single" w:sz="8" w:color="auto"/>
            </w:tcBorders>
            <w:gridSpan w:val="2"/>
          </w:tcPr>
          <w:p>
            <w:pPr>
              <w:jc w:val="center"/>
              <w:ind w:left="63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7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jc w:val="center"/>
              <w:ind w:right="1710"/>
              <w:spacing w:after="0"/>
              <w:rPr>
                <w:sz w:val="20"/>
                <w:szCs w:val="20"/>
                <w:color w:val="auto"/>
              </w:rPr>
            </w:pPr>
            <w:r>
              <w:rPr>
                <w:rFonts w:ascii="Arial" w:cs="Arial" w:eastAsia="Arial" w:hAnsi="Arial"/>
                <w:sz w:val="18"/>
                <w:szCs w:val="18"/>
                <w:b w:val="1"/>
                <w:bCs w:val="1"/>
                <w:color w:val="auto"/>
                <w:w w:val="92"/>
              </w:rPr>
              <w:t>(Zip Code)</w:t>
            </w:r>
          </w:p>
        </w:tc>
      </w:tr>
      <w:tr>
        <w:trPr>
          <w:trHeight w:val="210"/>
        </w:trPr>
        <w:tc>
          <w:tcPr>
            <w:tcW w:w="3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182880</wp:posOffset>
            </wp:positionH>
            <wp:positionV relativeFrom="paragraph">
              <wp:posOffset>-584835</wp:posOffset>
            </wp:positionV>
            <wp:extent cx="6882130" cy="129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2130" cy="129032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Michael L. Ridley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(713) 510-2400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and telephone number, including area code, of the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Rule 13p-1 under the Securities Exchange Act (17 CFR 240.13p-1) for the reporting period from January 1 to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t>Section 1 – Conflict Minerals Disclosure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Civeo Corporation (“Civeo” and “Company”), through its subsidiaries, manufactures for its own use and contracts to manufacture for sale modular buildings that contain gold, tantalum, tin, tungsten (collectively “3TG”). As these materials are necessary to certain of Civeo’s products, the Company is dedicated to tracing and disclosing the origin of these metals to ensure compliance with the requirements set forth in the final rule regarding use of conflict minerals.</w:t>
      </w:r>
    </w:p>
    <w:p>
      <w:pPr>
        <w:spacing w:after="0" w:line="143"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Conflict Minerals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Civeo has concluded in good faith that during the reporting period for 2015:</w:t>
      </w:r>
    </w:p>
    <w:p>
      <w:pPr>
        <w:spacing w:after="0" w:line="225" w:lineRule="exact"/>
        <w:rPr>
          <w:sz w:val="20"/>
          <w:szCs w:val="20"/>
          <w:color w:val="auto"/>
        </w:rPr>
      </w:pPr>
    </w:p>
    <w:p>
      <w:pPr>
        <w:ind w:left="660" w:right="200" w:hanging="490"/>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Civeo manufactured and contracted to manufacture products for which conflict minerals (as defined in Section 1502(e)(4) of the Dodd-Frank Wall Street Reform and Consumer Protection Act of 2010) are necessary to the functionality or production.</w:t>
      </w:r>
    </w:p>
    <w:p>
      <w:pPr>
        <w:spacing w:after="0" w:line="1" w:lineRule="exact"/>
        <w:rPr>
          <w:rFonts w:ascii="Arial" w:cs="Arial" w:eastAsia="Arial" w:hAnsi="Arial"/>
          <w:sz w:val="18"/>
          <w:szCs w:val="18"/>
          <w:color w:val="auto"/>
        </w:rPr>
      </w:pPr>
    </w:p>
    <w:p>
      <w:pPr>
        <w:ind w:left="660" w:right="360" w:hanging="476"/>
        <w:spacing w:after="0" w:line="255"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As such, Civeo performed a reasonable country of origin inquiry (“RCOI”) and subsequent due diligence in an effort to determine whether its sourcing practices directly or indirectly funded armed groups in the Democratic Republic of Congo (“DRC”) or an adjoining country (“Covered Countries”).</w:t>
      </w:r>
    </w:p>
    <w:p>
      <w:pPr>
        <w:spacing w:after="0" w:line="19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In accordance with Rule 13p-1 under the Securities Exchange Act of 1934 (“Rule 13p-1”), Civeo has filed this Specialized Disclosure Form (“Form SD”) and the associated Conflict Minerals Report. Both reports are posted to a publicly available Internet site at </w:t>
      </w:r>
      <w:r>
        <w:rPr>
          <w:rFonts w:ascii="Arial" w:cs="Arial" w:eastAsia="Arial" w:hAnsi="Arial"/>
          <w:sz w:val="17"/>
          <w:szCs w:val="17"/>
          <w:u w:val="single" w:color="auto"/>
          <w:color w:val="auto"/>
        </w:rPr>
        <w:t>http://ir.civeo.com/sec.cfm</w:t>
      </w:r>
      <w:r>
        <w:rPr>
          <w:rFonts w:ascii="Arial" w:cs="Arial" w:eastAsia="Arial" w:hAnsi="Arial"/>
          <w:sz w:val="17"/>
          <w:szCs w:val="17"/>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Civeo has filed, as an exhibit to this Form SD, the required Conflict Minerals Report.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 –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83"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940"/>
        <w:spacing w:after="0"/>
        <w:tabs>
          <w:tab w:leader="none" w:pos="3980" w:val="left"/>
          <w:tab w:leader="none" w:pos="5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31, 2016</w:t>
      </w:r>
      <w:r>
        <w:rPr>
          <w:sz w:val="20"/>
          <w:szCs w:val="20"/>
          <w:color w:val="auto"/>
        </w:rPr>
        <w:tab/>
      </w:r>
      <w:r>
        <w:rPr>
          <w:rFonts w:ascii="Arial" w:cs="Arial" w:eastAsia="Arial" w:hAnsi="Arial"/>
          <w:sz w:val="16"/>
          <w:szCs w:val="16"/>
          <w:b w:val="1"/>
          <w:bCs w:val="1"/>
          <w:color w:val="auto"/>
        </w:rPr>
        <w:t>By /s/ Michael L. Ridley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2137410</wp:posOffset>
            </wp:positionH>
            <wp:positionV relativeFrom="paragraph">
              <wp:posOffset>-7620</wp:posOffset>
            </wp:positionV>
            <wp:extent cx="1495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5425" cy="8890"/>
                    </a:xfrm>
                    <a:prstGeom prst="rect">
                      <a:avLst/>
                    </a:prstGeom>
                    <a:noFill/>
                  </pic:spPr>
                </pic:pic>
              </a:graphicData>
            </a:graphic>
          </wp:anchor>
        </w:drawing>
      </w:r>
    </w:p>
    <w:p>
      <w:pPr>
        <w:spacing w:after="0" w:line="219" w:lineRule="exact"/>
        <w:rPr>
          <w:sz w:val="20"/>
          <w:szCs w:val="20"/>
          <w:color w:val="auto"/>
        </w:rPr>
      </w:pPr>
    </w:p>
    <w:p>
      <w:pPr>
        <w:jc w:val="center"/>
        <w:ind w:left="4720"/>
        <w:spacing w:after="0"/>
        <w:rPr>
          <w:sz w:val="20"/>
          <w:szCs w:val="20"/>
          <w:color w:val="auto"/>
        </w:rPr>
      </w:pPr>
      <w:r>
        <w:rPr>
          <w:rFonts w:ascii="Arial" w:cs="Arial" w:eastAsia="Arial" w:hAnsi="Arial"/>
          <w:sz w:val="18"/>
          <w:szCs w:val="18"/>
          <w:b w:val="1"/>
          <w:bCs w:val="1"/>
          <w:color w:val="auto"/>
        </w:rPr>
        <w:t>Michael L. Ridley</w:t>
      </w:r>
    </w:p>
    <w:p>
      <w:pPr>
        <w:spacing w:after="0" w:line="27" w:lineRule="exact"/>
        <w:rPr>
          <w:sz w:val="20"/>
          <w:szCs w:val="20"/>
          <w:color w:val="auto"/>
        </w:rPr>
      </w:pPr>
    </w:p>
    <w:p>
      <w:pPr>
        <w:jc w:val="center"/>
        <w:ind w:left="4720"/>
        <w:spacing w:after="0"/>
        <w:rPr>
          <w:sz w:val="20"/>
          <w:szCs w:val="20"/>
          <w:color w:val="auto"/>
        </w:rPr>
      </w:pPr>
      <w:r>
        <w:rPr>
          <w:rFonts w:ascii="Arial" w:cs="Arial" w:eastAsia="Arial" w:hAnsi="Arial"/>
          <w:sz w:val="18"/>
          <w:szCs w:val="18"/>
          <w:b w:val="1"/>
          <w:bCs w:val="1"/>
          <w:color w:val="auto"/>
        </w:rPr>
        <w:t>Senior Vice President and President</w:t>
      </w:r>
    </w:p>
    <w:p>
      <w:pPr>
        <w:spacing w:after="0" w:line="9" w:lineRule="exact"/>
        <w:rPr>
          <w:sz w:val="20"/>
          <w:szCs w:val="20"/>
          <w:color w:val="auto"/>
        </w:rPr>
      </w:pPr>
    </w:p>
    <w:p>
      <w:pPr>
        <w:jc w:val="center"/>
        <w:ind w:left="4720"/>
        <w:spacing w:after="0"/>
        <w:rPr>
          <w:sz w:val="20"/>
          <w:szCs w:val="20"/>
          <w:color w:val="auto"/>
        </w:rPr>
      </w:pPr>
      <w:r>
        <w:rPr>
          <w:rFonts w:ascii="Arial" w:cs="Arial" w:eastAsia="Arial" w:hAnsi="Arial"/>
          <w:sz w:val="18"/>
          <w:szCs w:val="18"/>
          <w:b w:val="1"/>
          <w:bCs w:val="1"/>
          <w:color w:val="auto"/>
        </w:rPr>
        <w:t>North America (Duly Authorized Officer)</w:t>
      </w:r>
    </w:p>
    <w:p>
      <w:pPr>
        <w:sectPr>
          <w:pgSz w:w="11900" w:h="16838" w:orient="portrait"/>
          <w:cols w:equalWidth="0" w:num="1">
            <w:col w:w="10660"/>
          </w:cols>
          <w:pgMar w:left="240" w:top="584"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Exhibit 1.01– Conflict Minerals Report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Conflict Minerals Report of Civeo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accordance with Rule 13p-1 under the Securities Exchange Act of 1934</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This is the Conflict Minerals Report (“CMR”) of Civeo Corporation (“Civeo” or “Company”) for the reporting period ended December 31, 2015 (the “Reporting Period”) in accordance with Rule 13p-1 under the Securities Exchange Act of 1934 (“Rule 13p-1”).</w:t>
      </w:r>
    </w:p>
    <w:p>
      <w:pPr>
        <w:spacing w:after="0" w:line="16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intent of this CMR is to summarize the results of Civeo’s good faith Reasonable Country of Origin Inquiry (“RCOI”) and describe Civeo’s due diligence process in accordance with Rule 13p-1 requirements.</w:t>
      </w:r>
    </w:p>
    <w:p>
      <w:pPr>
        <w:spacing w:after="0" w:line="16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 Country of Origin Inquiry Description</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 implement the RCOI, Civeo’s Tier 1 suppliers, representing 80% of spend in Conflict Mineral supplier categories as defined by the Company, were engaged to collect information regarding the presence and sourcing of gold, tantalum, tin and tungsten (collectively “3TG”) used in the products supplied to Civeo. Information was collected and stored within Civeo’s internal record keeping systems.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Civeo’s supplier engagement efforts followed these steps: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introduction was presented and discussed with Tier 1 suppliers describing the Conflict Minerals Compliance Program (“CMCP”) requirements.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Following the introduction, information was solicited from suppliers on the presence of 3TG in the products supplied to Civeo.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Throughout the process, suppliers were supported and offered assistance to ensure timely survey completion and submission compliance.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Civeo performed a series of follow ups with non-responsive suppliers.</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Civeo escalated the request to senior management within the supplier organization where appropriate to ensure supplier participation in CMCP requirements.</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Civeo utilized the Electronic Industry Citizenship Coalition (“EICC”) and Global e-Sustainability Initiative (“GeSI”) Conflict Minerals Due Diligence Template (“EICC-GeSI Template”) for data collection.</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Suppliers were asked to provide information regarding the sourcing of their materials with the ultimate goal of identifying the 3TG smelters or refiners (“SORs”) and associated mine countries of origin. To facilitate reporting at the product-level, the products indicated by Civeo as being sourced from a given supplier were communicated to that supplier as part of the data request. Suppliers were able to submit multiple Conflict Minerals Reporting Templates (“CMRT”) as needed to address all indicated products. In many cases, however, the supplier response defaulted to a company level CMRT and was not specifically related to products supplied to Civeo.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4" w:name="page5"/>
    <w:bookmarkEnd w:id="4"/>
    <w:p>
      <w:pPr>
        <w:ind w:right="540"/>
        <w:spacing w:after="0" w:line="277" w:lineRule="auto"/>
        <w:rPr>
          <w:sz w:val="20"/>
          <w:szCs w:val="20"/>
          <w:color w:val="auto"/>
        </w:rPr>
      </w:pPr>
      <w:r>
        <w:rPr>
          <w:rFonts w:ascii="Arial" w:cs="Arial" w:eastAsia="Arial" w:hAnsi="Arial"/>
          <w:sz w:val="18"/>
          <w:szCs w:val="18"/>
          <w:color w:val="auto"/>
        </w:rPr>
        <w:t>Supplier responses were evaluated for plausibility, consistency, and to ensure completion of the necessary detail. Additional contact with suppliers was conducted to address issues of incomplete data on EICC-GeSI Templates.</w:t>
      </w:r>
    </w:p>
    <w:p>
      <w:pPr>
        <w:spacing w:after="0" w:line="16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RCOI Results</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Twenty-Eight (28) suppliers were identified as having supplied materials containing 3TG to be used in Civeo’s manufacturing processes. They were considered in-scope for conflict mineral regulatory purposes and contacted as part of the RCOI process.</w:t>
      </w:r>
    </w:p>
    <w:p>
      <w:pPr>
        <w:spacing w:after="0" w:line="17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 total of 370 Smelters or Refiners (SORs) spanning 43 countries of origin were identified as potential 3TG SORs used by our suppliers. Below is a summary of verified smelters.</w:t>
      </w:r>
      <w:r>
        <w:rPr>
          <w:rFonts w:ascii="Arial" w:cs="Arial" w:eastAsia="Arial" w:hAnsi="Arial"/>
          <w:sz w:val="30"/>
          <w:szCs w:val="30"/>
          <w:color w:val="auto"/>
          <w:vertAlign w:val="superscript"/>
        </w:rPr>
        <w:t>–1</w:t>
      </w:r>
    </w:p>
    <w:p>
      <w:pPr>
        <w:spacing w:after="0" w:line="4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As a result of the inquiry process, Civeo was able to identify 1SOR of 3TG with an indication of Democratic Republic of Congo/Covered Country (“DRC/CC”) sourcing.</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980" w:type="dxa"/>
            <w:vAlign w:val="bottom"/>
            <w:tcBorders>
              <w:top w:val="single" w:sz="8" w:color="auto"/>
              <w:left w:val="single" w:sz="8" w:color="auto"/>
              <w:right w:val="single" w:sz="8" w:color="auto"/>
            </w:tcBorders>
            <w:gridSpan w:val="3"/>
          </w:tcPr>
          <w:p>
            <w:pPr>
              <w:ind w:left="140"/>
              <w:spacing w:after="0" w:line="192" w:lineRule="exact"/>
              <w:rPr>
                <w:sz w:val="20"/>
                <w:szCs w:val="20"/>
                <w:color w:val="auto"/>
              </w:rPr>
            </w:pPr>
            <w:r>
              <w:rPr>
                <w:rFonts w:ascii="Arial" w:cs="Arial" w:eastAsia="Arial" w:hAnsi="Arial"/>
                <w:sz w:val="18"/>
                <w:szCs w:val="18"/>
                <w:b w:val="1"/>
                <w:bCs w:val="1"/>
                <w:color w:val="auto"/>
              </w:rPr>
              <w:t>SOR/Facility Name</w:t>
            </w:r>
          </w:p>
        </w:tc>
        <w:tc>
          <w:tcPr>
            <w:tcW w:w="100" w:type="dxa"/>
            <w:vAlign w:val="bottom"/>
            <w:tcBorders>
              <w:top w:val="single" w:sz="8" w:color="auto"/>
            </w:tcBorders>
          </w:tcPr>
          <w:p>
            <w:pPr>
              <w:spacing w:after="0"/>
              <w:rPr>
                <w:sz w:val="16"/>
                <w:szCs w:val="16"/>
                <w:color w:val="auto"/>
              </w:rPr>
            </w:pPr>
          </w:p>
        </w:tc>
        <w:tc>
          <w:tcPr>
            <w:tcW w:w="4340" w:type="dxa"/>
            <w:vAlign w:val="bottom"/>
            <w:tcBorders>
              <w:top w:val="single" w:sz="8" w:color="auto"/>
              <w:right w:val="single" w:sz="8" w:color="auto"/>
            </w:tcBorders>
            <w:gridSpan w:val="2"/>
          </w:tcPr>
          <w:p>
            <w:pPr>
              <w:spacing w:after="0" w:line="192" w:lineRule="exact"/>
              <w:rPr>
                <w:sz w:val="20"/>
                <w:szCs w:val="20"/>
                <w:color w:val="auto"/>
              </w:rPr>
            </w:pPr>
            <w:r>
              <w:rPr>
                <w:rFonts w:ascii="Arial" w:cs="Arial" w:eastAsia="Arial" w:hAnsi="Arial"/>
                <w:sz w:val="18"/>
                <w:szCs w:val="18"/>
                <w:b w:val="1"/>
                <w:bCs w:val="1"/>
                <w:color w:val="auto"/>
              </w:rPr>
              <w:t>Conflict-Free Smelter Program Status</w:t>
            </w:r>
          </w:p>
        </w:tc>
      </w:tr>
      <w:tr>
        <w:trPr>
          <w:trHeight w:val="21"/>
        </w:trPr>
        <w:tc>
          <w:tcPr>
            <w:tcW w:w="140" w:type="dxa"/>
            <w:vAlign w:val="bottom"/>
            <w:tcBorders>
              <w:left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3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9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6980" w:type="dxa"/>
            <w:vAlign w:val="bottom"/>
            <w:tcBorders>
              <w:left w:val="single" w:sz="8" w:color="auto"/>
              <w:bottom w:val="single" w:sz="8" w:color="auto"/>
              <w:righ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Gold</w:t>
            </w:r>
          </w:p>
        </w:tc>
        <w:tc>
          <w:tcPr>
            <w:tcW w:w="100" w:type="dxa"/>
            <w:vAlign w:val="bottom"/>
            <w:tcBorders>
              <w:bottom w:val="single" w:sz="8" w:color="auto"/>
            </w:tcBorders>
            <w:shd w:val="clear" w:color="auto" w:fill="CCEEFF"/>
          </w:tcPr>
          <w:p>
            <w:pPr>
              <w:spacing w:after="0"/>
              <w:rPr>
                <w:sz w:val="18"/>
                <w:szCs w:val="18"/>
                <w:color w:val="auto"/>
              </w:rPr>
            </w:pPr>
          </w:p>
        </w:tc>
        <w:tc>
          <w:tcPr>
            <w:tcW w:w="29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Advanced Chemical Company</w:t>
            </w:r>
          </w:p>
        </w:tc>
        <w:tc>
          <w:tcPr>
            <w:tcW w:w="100" w:type="dxa"/>
            <w:vAlign w:val="bottom"/>
            <w:tcBorders>
              <w:bottom w:val="single" w:sz="8" w:color="auto"/>
            </w:tcBorders>
          </w:tcPr>
          <w:p>
            <w:pPr>
              <w:spacing w:after="0"/>
              <w:rPr>
                <w:sz w:val="18"/>
                <w:szCs w:val="18"/>
                <w:color w:val="auto"/>
              </w:rPr>
            </w:pP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Active</w:t>
            </w:r>
          </w:p>
        </w:tc>
      </w:tr>
      <w:tr>
        <w:trPr>
          <w:trHeight w:val="210"/>
        </w:trPr>
        <w:tc>
          <w:tcPr>
            <w:tcW w:w="6980" w:type="dxa"/>
            <w:vAlign w:val="bottom"/>
            <w:tcBorders>
              <w:left w:val="single" w:sz="8" w:color="auto"/>
              <w:bottom w:val="single" w:sz="8" w:color="auto"/>
              <w:right w:val="single" w:sz="8" w:color="auto"/>
            </w:tcBorders>
            <w:gridSpan w:val="3"/>
            <w:shd w:val="clear" w:color="auto" w:fill="CCEEFF"/>
          </w:tcPr>
          <w:p>
            <w:pPr>
              <w:ind w:left="140"/>
              <w:spacing w:after="0"/>
              <w:rPr>
                <w:sz w:val="20"/>
                <w:szCs w:val="20"/>
                <w:color w:val="auto"/>
              </w:rPr>
            </w:pPr>
            <w:r>
              <w:rPr>
                <w:rFonts w:ascii="Arial" w:cs="Arial" w:eastAsia="Arial" w:hAnsi="Arial"/>
                <w:sz w:val="18"/>
                <w:szCs w:val="18"/>
                <w:color w:val="auto"/>
              </w:rPr>
              <w:t>Aida Chemical Industries Co., Ltd.</w:t>
            </w:r>
          </w:p>
        </w:tc>
        <w:tc>
          <w:tcPr>
            <w:tcW w:w="100" w:type="dxa"/>
            <w:vAlign w:val="bottom"/>
            <w:tcBorders>
              <w:bottom w:val="single" w:sz="8" w:color="auto"/>
            </w:tcBorders>
            <w:shd w:val="clear" w:color="auto" w:fill="CCEEFF"/>
          </w:tcPr>
          <w:p>
            <w:pPr>
              <w:spacing w:after="0"/>
              <w:rPr>
                <w:sz w:val="18"/>
                <w:szCs w:val="18"/>
                <w:color w:val="auto"/>
              </w:rPr>
            </w:pPr>
          </w:p>
        </w:tc>
        <w:tc>
          <w:tcPr>
            <w:tcW w:w="4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CFSP - Compliant</w:t>
            </w:r>
          </w:p>
        </w:tc>
      </w:tr>
      <w:tr>
        <w:trPr>
          <w:trHeight w:val="210"/>
        </w:trPr>
        <w:tc>
          <w:tcPr>
            <w:tcW w:w="698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Aktyubinsk Copper Company TOO</w:t>
            </w:r>
          </w:p>
        </w:tc>
        <w:tc>
          <w:tcPr>
            <w:tcW w:w="100" w:type="dxa"/>
            <w:vAlign w:val="bottom"/>
            <w:tcBorders>
              <w:bottom w:val="single" w:sz="8" w:color="auto"/>
            </w:tcBorders>
          </w:tcPr>
          <w:p>
            <w:pPr>
              <w:spacing w:after="0"/>
              <w:rPr>
                <w:sz w:val="18"/>
                <w:szCs w:val="18"/>
                <w:color w:val="auto"/>
              </w:rPr>
            </w:pP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80" w:type="dxa"/>
            <w:vAlign w:val="bottom"/>
            <w:tcBorders>
              <w:left w:val="single" w:sz="8" w:color="auto"/>
              <w:bottom w:val="single" w:sz="8" w:color="auto"/>
              <w:right w:val="single" w:sz="8" w:color="auto"/>
            </w:tcBorders>
            <w:gridSpan w:val="3"/>
            <w:shd w:val="clear" w:color="auto" w:fill="CCEEFF"/>
          </w:tcPr>
          <w:p>
            <w:pPr>
              <w:ind w:left="140"/>
              <w:spacing w:after="0"/>
              <w:rPr>
                <w:sz w:val="20"/>
                <w:szCs w:val="20"/>
                <w:color w:val="auto"/>
              </w:rPr>
            </w:pPr>
            <w:r>
              <w:rPr>
                <w:rFonts w:ascii="Arial" w:cs="Arial" w:eastAsia="Arial" w:hAnsi="Arial"/>
                <w:sz w:val="18"/>
                <w:szCs w:val="18"/>
                <w:color w:val="auto"/>
              </w:rPr>
              <w:t>Al Etihad Gold Refinery DMCC</w:t>
            </w:r>
          </w:p>
        </w:tc>
        <w:tc>
          <w:tcPr>
            <w:tcW w:w="100" w:type="dxa"/>
            <w:vAlign w:val="bottom"/>
            <w:tcBorders>
              <w:bottom w:val="single" w:sz="8" w:color="auto"/>
            </w:tcBorders>
            <w:shd w:val="clear" w:color="auto" w:fill="CCEEFF"/>
          </w:tcPr>
          <w:p>
            <w:pPr>
              <w:spacing w:after="0"/>
              <w:rPr>
                <w:sz w:val="18"/>
                <w:szCs w:val="18"/>
                <w:color w:val="auto"/>
              </w:rPr>
            </w:pPr>
          </w:p>
        </w:tc>
        <w:tc>
          <w:tcPr>
            <w:tcW w:w="4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8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Allgemeine Gold-und Silberscheideanstalt A.G.</w:t>
            </w:r>
          </w:p>
        </w:tc>
        <w:tc>
          <w:tcPr>
            <w:tcW w:w="100" w:type="dxa"/>
            <w:vAlign w:val="bottom"/>
            <w:tcBorders>
              <w:bottom w:val="single" w:sz="8" w:color="auto"/>
            </w:tcBorders>
          </w:tcPr>
          <w:p>
            <w:pPr>
              <w:spacing w:after="0"/>
              <w:rPr>
                <w:sz w:val="18"/>
                <w:szCs w:val="18"/>
                <w:color w:val="auto"/>
              </w:rPr>
            </w:pP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CFSP - Compliant</w:t>
            </w:r>
          </w:p>
        </w:tc>
      </w:tr>
      <w:tr>
        <w:trPr>
          <w:trHeight w:val="210"/>
        </w:trPr>
        <w:tc>
          <w:tcPr>
            <w:tcW w:w="6980" w:type="dxa"/>
            <w:vAlign w:val="bottom"/>
            <w:tcBorders>
              <w:left w:val="single" w:sz="8" w:color="auto"/>
              <w:bottom w:val="single" w:sz="8" w:color="auto"/>
              <w:right w:val="single" w:sz="8" w:color="auto"/>
            </w:tcBorders>
            <w:gridSpan w:val="3"/>
            <w:shd w:val="clear" w:color="auto" w:fill="CCEEFF"/>
          </w:tcPr>
          <w:p>
            <w:pPr>
              <w:ind w:left="140"/>
              <w:spacing w:after="0"/>
              <w:rPr>
                <w:sz w:val="20"/>
                <w:szCs w:val="20"/>
                <w:color w:val="auto"/>
              </w:rPr>
            </w:pPr>
            <w:r>
              <w:rPr>
                <w:rFonts w:ascii="Arial" w:cs="Arial" w:eastAsia="Arial" w:hAnsi="Arial"/>
                <w:sz w:val="18"/>
                <w:szCs w:val="18"/>
                <w:color w:val="auto"/>
              </w:rPr>
              <w:t>Almalyk Mining and Metallurgical Complex (AMMC)</w:t>
            </w:r>
          </w:p>
        </w:tc>
        <w:tc>
          <w:tcPr>
            <w:tcW w:w="100" w:type="dxa"/>
            <w:vAlign w:val="bottom"/>
            <w:tcBorders>
              <w:bottom w:val="single" w:sz="8" w:color="auto"/>
            </w:tcBorders>
            <w:shd w:val="clear" w:color="auto" w:fill="CCEEFF"/>
          </w:tcPr>
          <w:p>
            <w:pPr>
              <w:spacing w:after="0"/>
              <w:rPr>
                <w:sz w:val="18"/>
                <w:szCs w:val="18"/>
                <w:color w:val="auto"/>
              </w:rPr>
            </w:pPr>
          </w:p>
        </w:tc>
        <w:tc>
          <w:tcPr>
            <w:tcW w:w="4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Active</w:t>
            </w:r>
          </w:p>
        </w:tc>
      </w:tr>
      <w:tr>
        <w:trPr>
          <w:trHeight w:val="210"/>
        </w:trPr>
        <w:tc>
          <w:tcPr>
            <w:tcW w:w="698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AngloGold Ashanti Córrego do Sítio Mineração</w:t>
            </w:r>
          </w:p>
        </w:tc>
        <w:tc>
          <w:tcPr>
            <w:tcW w:w="100" w:type="dxa"/>
            <w:vAlign w:val="bottom"/>
            <w:tcBorders>
              <w:bottom w:val="single" w:sz="8" w:color="auto"/>
            </w:tcBorders>
          </w:tcPr>
          <w:p>
            <w:pPr>
              <w:spacing w:after="0"/>
              <w:rPr>
                <w:sz w:val="18"/>
                <w:szCs w:val="18"/>
                <w:color w:val="auto"/>
              </w:rPr>
            </w:pP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CFSP - Compliant</w:t>
            </w:r>
          </w:p>
        </w:tc>
      </w:tr>
      <w:tr>
        <w:trPr>
          <w:trHeight w:val="210"/>
        </w:trPr>
        <w:tc>
          <w:tcPr>
            <w:tcW w:w="6980" w:type="dxa"/>
            <w:vAlign w:val="bottom"/>
            <w:tcBorders>
              <w:left w:val="single" w:sz="8" w:color="auto"/>
              <w:bottom w:val="single" w:sz="8" w:color="auto"/>
              <w:right w:val="single" w:sz="8" w:color="auto"/>
            </w:tcBorders>
            <w:gridSpan w:val="3"/>
            <w:shd w:val="clear" w:color="auto" w:fill="CCEEFF"/>
          </w:tcPr>
          <w:p>
            <w:pPr>
              <w:ind w:left="140"/>
              <w:spacing w:after="0"/>
              <w:rPr>
                <w:sz w:val="20"/>
                <w:szCs w:val="20"/>
                <w:color w:val="auto"/>
              </w:rPr>
            </w:pPr>
            <w:r>
              <w:rPr>
                <w:rFonts w:ascii="Arial" w:cs="Arial" w:eastAsia="Arial" w:hAnsi="Arial"/>
                <w:sz w:val="18"/>
                <w:szCs w:val="18"/>
                <w:color w:val="auto"/>
              </w:rPr>
              <w:t>Argor-Heraeus SA</w:t>
            </w:r>
          </w:p>
        </w:tc>
        <w:tc>
          <w:tcPr>
            <w:tcW w:w="100" w:type="dxa"/>
            <w:vAlign w:val="bottom"/>
            <w:tcBorders>
              <w:bottom w:val="single" w:sz="8" w:color="auto"/>
            </w:tcBorders>
            <w:shd w:val="clear" w:color="auto" w:fill="CCEEFF"/>
          </w:tcPr>
          <w:p>
            <w:pPr>
              <w:spacing w:after="0"/>
              <w:rPr>
                <w:sz w:val="18"/>
                <w:szCs w:val="18"/>
                <w:color w:val="auto"/>
              </w:rPr>
            </w:pPr>
          </w:p>
        </w:tc>
        <w:tc>
          <w:tcPr>
            <w:tcW w:w="4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CFSP - Compliant</w:t>
            </w:r>
          </w:p>
        </w:tc>
      </w:tr>
      <w:tr>
        <w:trPr>
          <w:trHeight w:val="210"/>
        </w:trPr>
        <w:tc>
          <w:tcPr>
            <w:tcW w:w="698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Asahi Pretec Corporation</w:t>
            </w:r>
          </w:p>
        </w:tc>
        <w:tc>
          <w:tcPr>
            <w:tcW w:w="100" w:type="dxa"/>
            <w:vAlign w:val="bottom"/>
            <w:tcBorders>
              <w:bottom w:val="single" w:sz="8" w:color="auto"/>
            </w:tcBorders>
          </w:tcPr>
          <w:p>
            <w:pPr>
              <w:spacing w:after="0"/>
              <w:rPr>
                <w:sz w:val="18"/>
                <w:szCs w:val="18"/>
                <w:color w:val="auto"/>
              </w:rPr>
            </w:pP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CFSP - Compliant</w:t>
            </w:r>
          </w:p>
        </w:tc>
      </w:tr>
      <w:tr>
        <w:trPr>
          <w:trHeight w:val="210"/>
        </w:trPr>
        <w:tc>
          <w:tcPr>
            <w:tcW w:w="6980" w:type="dxa"/>
            <w:vAlign w:val="bottom"/>
            <w:tcBorders>
              <w:left w:val="single" w:sz="8" w:color="auto"/>
              <w:bottom w:val="single" w:sz="8" w:color="auto"/>
              <w:right w:val="single" w:sz="8" w:color="auto"/>
            </w:tcBorders>
            <w:gridSpan w:val="3"/>
            <w:shd w:val="clear" w:color="auto" w:fill="CCEEFF"/>
          </w:tcPr>
          <w:p>
            <w:pPr>
              <w:ind w:left="140"/>
              <w:spacing w:after="0"/>
              <w:rPr>
                <w:sz w:val="20"/>
                <w:szCs w:val="20"/>
                <w:color w:val="auto"/>
              </w:rPr>
            </w:pPr>
            <w:r>
              <w:rPr>
                <w:rFonts w:ascii="Arial" w:cs="Arial" w:eastAsia="Arial" w:hAnsi="Arial"/>
                <w:sz w:val="18"/>
                <w:szCs w:val="18"/>
                <w:color w:val="auto"/>
              </w:rPr>
              <w:t>Asahi Refining Canada Limited</w:t>
            </w:r>
          </w:p>
        </w:tc>
        <w:tc>
          <w:tcPr>
            <w:tcW w:w="100" w:type="dxa"/>
            <w:vAlign w:val="bottom"/>
            <w:tcBorders>
              <w:bottom w:val="single" w:sz="8" w:color="auto"/>
            </w:tcBorders>
            <w:shd w:val="clear" w:color="auto" w:fill="CCEEFF"/>
          </w:tcPr>
          <w:p>
            <w:pPr>
              <w:spacing w:after="0"/>
              <w:rPr>
                <w:sz w:val="18"/>
                <w:szCs w:val="18"/>
                <w:color w:val="auto"/>
              </w:rPr>
            </w:pPr>
          </w:p>
        </w:tc>
        <w:tc>
          <w:tcPr>
            <w:tcW w:w="4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CFSP - Compliant</w:t>
            </w:r>
          </w:p>
        </w:tc>
      </w:tr>
      <w:tr>
        <w:trPr>
          <w:trHeight w:val="210"/>
        </w:trPr>
        <w:tc>
          <w:tcPr>
            <w:tcW w:w="698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Asahi Refining USA Inc.</w:t>
            </w:r>
          </w:p>
        </w:tc>
        <w:tc>
          <w:tcPr>
            <w:tcW w:w="100" w:type="dxa"/>
            <w:vAlign w:val="bottom"/>
            <w:tcBorders>
              <w:bottom w:val="single" w:sz="8" w:color="auto"/>
            </w:tcBorders>
          </w:tcPr>
          <w:p>
            <w:pPr>
              <w:spacing w:after="0"/>
              <w:rPr>
                <w:sz w:val="18"/>
                <w:szCs w:val="18"/>
                <w:color w:val="auto"/>
              </w:rPr>
            </w:pP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CFSP - Compliant</w:t>
            </w:r>
          </w:p>
        </w:tc>
      </w:tr>
      <w:tr>
        <w:trPr>
          <w:trHeight w:val="210"/>
        </w:trPr>
        <w:tc>
          <w:tcPr>
            <w:tcW w:w="6980" w:type="dxa"/>
            <w:vAlign w:val="bottom"/>
            <w:tcBorders>
              <w:left w:val="single" w:sz="8" w:color="auto"/>
              <w:bottom w:val="single" w:sz="8" w:color="auto"/>
              <w:right w:val="single" w:sz="8" w:color="auto"/>
            </w:tcBorders>
            <w:gridSpan w:val="3"/>
            <w:shd w:val="clear" w:color="auto" w:fill="CCEEFF"/>
          </w:tcPr>
          <w:p>
            <w:pPr>
              <w:ind w:left="140"/>
              <w:spacing w:after="0"/>
              <w:rPr>
                <w:sz w:val="20"/>
                <w:szCs w:val="20"/>
                <w:color w:val="auto"/>
              </w:rPr>
            </w:pPr>
            <w:r>
              <w:rPr>
                <w:rFonts w:ascii="Arial" w:cs="Arial" w:eastAsia="Arial" w:hAnsi="Arial"/>
                <w:sz w:val="18"/>
                <w:szCs w:val="18"/>
                <w:color w:val="auto"/>
              </w:rPr>
              <w:t>Asaka Riken Co., Ltd.</w:t>
            </w:r>
          </w:p>
        </w:tc>
        <w:tc>
          <w:tcPr>
            <w:tcW w:w="100" w:type="dxa"/>
            <w:vAlign w:val="bottom"/>
            <w:tcBorders>
              <w:bottom w:val="single" w:sz="8" w:color="auto"/>
            </w:tcBorders>
            <w:shd w:val="clear" w:color="auto" w:fill="CCEEFF"/>
          </w:tcPr>
          <w:p>
            <w:pPr>
              <w:spacing w:after="0"/>
              <w:rPr>
                <w:sz w:val="18"/>
                <w:szCs w:val="18"/>
                <w:color w:val="auto"/>
              </w:rPr>
            </w:pPr>
          </w:p>
        </w:tc>
        <w:tc>
          <w:tcPr>
            <w:tcW w:w="4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CFSP - Compliant</w:t>
            </w:r>
          </w:p>
        </w:tc>
      </w:tr>
      <w:tr>
        <w:trPr>
          <w:trHeight w:val="210"/>
        </w:trPr>
        <w:tc>
          <w:tcPr>
            <w:tcW w:w="698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Atasay Kuyumculuk Sanayi Ve Ticaret A.S.</w:t>
            </w:r>
          </w:p>
        </w:tc>
        <w:tc>
          <w:tcPr>
            <w:tcW w:w="100" w:type="dxa"/>
            <w:vAlign w:val="bottom"/>
            <w:tcBorders>
              <w:bottom w:val="single" w:sz="8" w:color="auto"/>
            </w:tcBorders>
          </w:tcPr>
          <w:p>
            <w:pPr>
              <w:spacing w:after="0"/>
              <w:rPr>
                <w:sz w:val="18"/>
                <w:szCs w:val="18"/>
                <w:color w:val="auto"/>
              </w:rPr>
            </w:pP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80" w:type="dxa"/>
            <w:vAlign w:val="bottom"/>
            <w:tcBorders>
              <w:left w:val="single" w:sz="8" w:color="auto"/>
              <w:bottom w:val="single" w:sz="8" w:color="auto"/>
              <w:right w:val="single" w:sz="8" w:color="auto"/>
            </w:tcBorders>
            <w:gridSpan w:val="3"/>
            <w:shd w:val="clear" w:color="auto" w:fill="CCEEFF"/>
          </w:tcPr>
          <w:p>
            <w:pPr>
              <w:ind w:left="140"/>
              <w:spacing w:after="0"/>
              <w:rPr>
                <w:sz w:val="20"/>
                <w:szCs w:val="20"/>
                <w:color w:val="auto"/>
              </w:rPr>
            </w:pPr>
            <w:r>
              <w:rPr>
                <w:rFonts w:ascii="Arial" w:cs="Arial" w:eastAsia="Arial" w:hAnsi="Arial"/>
                <w:sz w:val="18"/>
                <w:szCs w:val="18"/>
                <w:color w:val="auto"/>
              </w:rPr>
              <w:t>Aurubis AG</w:t>
            </w:r>
          </w:p>
        </w:tc>
        <w:tc>
          <w:tcPr>
            <w:tcW w:w="100" w:type="dxa"/>
            <w:vAlign w:val="bottom"/>
            <w:tcBorders>
              <w:bottom w:val="single" w:sz="8" w:color="auto"/>
            </w:tcBorders>
            <w:shd w:val="clear" w:color="auto" w:fill="CCEEFF"/>
          </w:tcPr>
          <w:p>
            <w:pPr>
              <w:spacing w:after="0"/>
              <w:rPr>
                <w:sz w:val="18"/>
                <w:szCs w:val="18"/>
                <w:color w:val="auto"/>
              </w:rPr>
            </w:pPr>
          </w:p>
        </w:tc>
        <w:tc>
          <w:tcPr>
            <w:tcW w:w="4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CFSP - Compliant</w:t>
            </w:r>
          </w:p>
        </w:tc>
      </w:tr>
      <w:tr>
        <w:trPr>
          <w:trHeight w:val="210"/>
        </w:trPr>
        <w:tc>
          <w:tcPr>
            <w:tcW w:w="698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Auston powder</w:t>
            </w:r>
          </w:p>
        </w:tc>
        <w:tc>
          <w:tcPr>
            <w:tcW w:w="100" w:type="dxa"/>
            <w:vAlign w:val="bottom"/>
            <w:tcBorders>
              <w:bottom w:val="single" w:sz="8" w:color="auto"/>
            </w:tcBorders>
          </w:tcPr>
          <w:p>
            <w:pPr>
              <w:spacing w:after="0"/>
              <w:rPr>
                <w:sz w:val="18"/>
                <w:szCs w:val="18"/>
                <w:color w:val="auto"/>
              </w:rPr>
            </w:pP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80" w:type="dxa"/>
            <w:vAlign w:val="bottom"/>
            <w:tcBorders>
              <w:left w:val="single" w:sz="8" w:color="auto"/>
              <w:bottom w:val="single" w:sz="8" w:color="auto"/>
              <w:right w:val="single" w:sz="8" w:color="auto"/>
            </w:tcBorders>
            <w:gridSpan w:val="3"/>
            <w:shd w:val="clear" w:color="auto" w:fill="CCEEFF"/>
          </w:tcPr>
          <w:p>
            <w:pPr>
              <w:ind w:left="140"/>
              <w:spacing w:after="0"/>
              <w:rPr>
                <w:sz w:val="20"/>
                <w:szCs w:val="20"/>
                <w:color w:val="auto"/>
              </w:rPr>
            </w:pPr>
            <w:r>
              <w:rPr>
                <w:rFonts w:ascii="Arial" w:cs="Arial" w:eastAsia="Arial" w:hAnsi="Arial"/>
                <w:sz w:val="18"/>
                <w:szCs w:val="18"/>
                <w:color w:val="auto"/>
              </w:rPr>
              <w:t>Bangko Sentral ng Pilipinas (Central Bank of the Philippines)</w:t>
            </w:r>
          </w:p>
        </w:tc>
        <w:tc>
          <w:tcPr>
            <w:tcW w:w="100" w:type="dxa"/>
            <w:vAlign w:val="bottom"/>
            <w:tcBorders>
              <w:bottom w:val="single" w:sz="8" w:color="auto"/>
            </w:tcBorders>
            <w:shd w:val="clear" w:color="auto" w:fill="CCEEFF"/>
          </w:tcPr>
          <w:p>
            <w:pPr>
              <w:spacing w:after="0"/>
              <w:rPr>
                <w:sz w:val="18"/>
                <w:szCs w:val="18"/>
                <w:color w:val="auto"/>
              </w:rPr>
            </w:pPr>
          </w:p>
        </w:tc>
        <w:tc>
          <w:tcPr>
            <w:tcW w:w="4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CFSP - Compliant</w:t>
            </w:r>
          </w:p>
        </w:tc>
      </w:tr>
      <w:tr>
        <w:trPr>
          <w:trHeight w:val="210"/>
        </w:trPr>
        <w:tc>
          <w:tcPr>
            <w:tcW w:w="698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Bauer Walser AG</w:t>
            </w:r>
          </w:p>
        </w:tc>
        <w:tc>
          <w:tcPr>
            <w:tcW w:w="100" w:type="dxa"/>
            <w:vAlign w:val="bottom"/>
            <w:tcBorders>
              <w:bottom w:val="single" w:sz="8" w:color="auto"/>
            </w:tcBorders>
          </w:tcPr>
          <w:p>
            <w:pPr>
              <w:spacing w:after="0"/>
              <w:rPr>
                <w:sz w:val="18"/>
                <w:szCs w:val="18"/>
                <w:color w:val="auto"/>
              </w:rPr>
            </w:pP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80" w:type="dxa"/>
            <w:vAlign w:val="bottom"/>
            <w:tcBorders>
              <w:left w:val="single" w:sz="8" w:color="auto"/>
              <w:bottom w:val="single" w:sz="8" w:color="auto"/>
              <w:right w:val="single" w:sz="8" w:color="auto"/>
            </w:tcBorders>
            <w:gridSpan w:val="3"/>
            <w:shd w:val="clear" w:color="auto" w:fill="CCEEFF"/>
          </w:tcPr>
          <w:p>
            <w:pPr>
              <w:ind w:left="140"/>
              <w:spacing w:after="0"/>
              <w:rPr>
                <w:sz w:val="20"/>
                <w:szCs w:val="20"/>
                <w:color w:val="auto"/>
              </w:rPr>
            </w:pPr>
            <w:r>
              <w:rPr>
                <w:rFonts w:ascii="Arial" w:cs="Arial" w:eastAsia="Arial" w:hAnsi="Arial"/>
                <w:sz w:val="18"/>
                <w:szCs w:val="18"/>
                <w:color w:val="auto"/>
              </w:rPr>
              <w:t>Boliden AB</w:t>
            </w:r>
          </w:p>
        </w:tc>
        <w:tc>
          <w:tcPr>
            <w:tcW w:w="100" w:type="dxa"/>
            <w:vAlign w:val="bottom"/>
            <w:tcBorders>
              <w:bottom w:val="single" w:sz="8" w:color="auto"/>
            </w:tcBorders>
            <w:shd w:val="clear" w:color="auto" w:fill="CCEEFF"/>
          </w:tcPr>
          <w:p>
            <w:pPr>
              <w:spacing w:after="0"/>
              <w:rPr>
                <w:sz w:val="18"/>
                <w:szCs w:val="18"/>
                <w:color w:val="auto"/>
              </w:rPr>
            </w:pPr>
          </w:p>
        </w:tc>
        <w:tc>
          <w:tcPr>
            <w:tcW w:w="4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CFSP - Compliant</w:t>
            </w:r>
          </w:p>
        </w:tc>
      </w:tr>
      <w:tr>
        <w:trPr>
          <w:trHeight w:val="210"/>
        </w:trPr>
        <w:tc>
          <w:tcPr>
            <w:tcW w:w="698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C. Hafner GmbH + Co. KG</w:t>
            </w:r>
          </w:p>
        </w:tc>
        <w:tc>
          <w:tcPr>
            <w:tcW w:w="100" w:type="dxa"/>
            <w:vAlign w:val="bottom"/>
            <w:tcBorders>
              <w:bottom w:val="single" w:sz="8" w:color="auto"/>
            </w:tcBorders>
          </w:tcPr>
          <w:p>
            <w:pPr>
              <w:spacing w:after="0"/>
              <w:rPr>
                <w:sz w:val="18"/>
                <w:szCs w:val="18"/>
                <w:color w:val="auto"/>
              </w:rPr>
            </w:pP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CFSP - Compliant</w:t>
            </w:r>
          </w:p>
        </w:tc>
      </w:tr>
      <w:tr>
        <w:trPr>
          <w:trHeight w:val="210"/>
        </w:trPr>
        <w:tc>
          <w:tcPr>
            <w:tcW w:w="6980" w:type="dxa"/>
            <w:vAlign w:val="bottom"/>
            <w:tcBorders>
              <w:left w:val="single" w:sz="8" w:color="auto"/>
              <w:bottom w:val="single" w:sz="8" w:color="auto"/>
              <w:right w:val="single" w:sz="8" w:color="auto"/>
            </w:tcBorders>
            <w:gridSpan w:val="3"/>
            <w:shd w:val="clear" w:color="auto" w:fill="CCEEFF"/>
          </w:tcPr>
          <w:p>
            <w:pPr>
              <w:ind w:left="140"/>
              <w:spacing w:after="0"/>
              <w:rPr>
                <w:sz w:val="20"/>
                <w:szCs w:val="20"/>
                <w:color w:val="auto"/>
              </w:rPr>
            </w:pPr>
            <w:r>
              <w:rPr>
                <w:rFonts w:ascii="Arial" w:cs="Arial" w:eastAsia="Arial" w:hAnsi="Arial"/>
                <w:sz w:val="18"/>
                <w:szCs w:val="18"/>
                <w:color w:val="auto"/>
              </w:rPr>
              <w:t>Caridad</w:t>
            </w:r>
          </w:p>
        </w:tc>
        <w:tc>
          <w:tcPr>
            <w:tcW w:w="100" w:type="dxa"/>
            <w:vAlign w:val="bottom"/>
            <w:tcBorders>
              <w:bottom w:val="single" w:sz="8" w:color="auto"/>
            </w:tcBorders>
            <w:shd w:val="clear" w:color="auto" w:fill="CCEEFF"/>
          </w:tcPr>
          <w:p>
            <w:pPr>
              <w:spacing w:after="0"/>
              <w:rPr>
                <w:sz w:val="18"/>
                <w:szCs w:val="18"/>
                <w:color w:val="auto"/>
              </w:rPr>
            </w:pPr>
          </w:p>
        </w:tc>
        <w:tc>
          <w:tcPr>
            <w:tcW w:w="4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 Certificate</w:t>
            </w:r>
          </w:p>
        </w:tc>
      </w:tr>
      <w:tr>
        <w:trPr>
          <w:trHeight w:val="210"/>
        </w:trPr>
        <w:tc>
          <w:tcPr>
            <w:tcW w:w="698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CCR Refinery - Glencore Canada Corporation</w:t>
            </w:r>
          </w:p>
        </w:tc>
        <w:tc>
          <w:tcPr>
            <w:tcW w:w="100" w:type="dxa"/>
            <w:vAlign w:val="bottom"/>
            <w:tcBorders>
              <w:bottom w:val="single" w:sz="8" w:color="auto"/>
            </w:tcBorders>
          </w:tcPr>
          <w:p>
            <w:pPr>
              <w:spacing w:after="0"/>
              <w:rPr>
                <w:sz w:val="18"/>
                <w:szCs w:val="18"/>
                <w:color w:val="auto"/>
              </w:rPr>
            </w:pP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CFSP - Compliant</w:t>
            </w:r>
          </w:p>
        </w:tc>
      </w:tr>
      <w:tr>
        <w:trPr>
          <w:trHeight w:val="210"/>
        </w:trPr>
        <w:tc>
          <w:tcPr>
            <w:tcW w:w="6980" w:type="dxa"/>
            <w:vAlign w:val="bottom"/>
            <w:tcBorders>
              <w:left w:val="single" w:sz="8" w:color="auto"/>
              <w:bottom w:val="single" w:sz="8" w:color="auto"/>
              <w:right w:val="single" w:sz="8" w:color="auto"/>
            </w:tcBorders>
            <w:gridSpan w:val="3"/>
            <w:shd w:val="clear" w:color="auto" w:fill="CCEEFF"/>
          </w:tcPr>
          <w:p>
            <w:pPr>
              <w:ind w:left="140"/>
              <w:spacing w:after="0"/>
              <w:rPr>
                <w:sz w:val="20"/>
                <w:szCs w:val="20"/>
                <w:color w:val="auto"/>
              </w:rPr>
            </w:pPr>
            <w:r>
              <w:rPr>
                <w:rFonts w:ascii="Arial" w:cs="Arial" w:eastAsia="Arial" w:hAnsi="Arial"/>
                <w:sz w:val="18"/>
                <w:szCs w:val="18"/>
                <w:color w:val="auto"/>
              </w:rPr>
              <w:t>Cendres + Métaux SA</w:t>
            </w:r>
          </w:p>
        </w:tc>
        <w:tc>
          <w:tcPr>
            <w:tcW w:w="100" w:type="dxa"/>
            <w:vAlign w:val="bottom"/>
            <w:tcBorders>
              <w:bottom w:val="single" w:sz="8" w:color="auto"/>
            </w:tcBorders>
            <w:shd w:val="clear" w:color="auto" w:fill="CCEEFF"/>
          </w:tcPr>
          <w:p>
            <w:pPr>
              <w:spacing w:after="0"/>
              <w:rPr>
                <w:sz w:val="18"/>
                <w:szCs w:val="18"/>
                <w:color w:val="auto"/>
              </w:rPr>
            </w:pPr>
          </w:p>
        </w:tc>
        <w:tc>
          <w:tcPr>
            <w:tcW w:w="4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Active</w:t>
            </w:r>
          </w:p>
        </w:tc>
      </w:tr>
      <w:tr>
        <w:trPr>
          <w:trHeight w:val="210"/>
        </w:trPr>
        <w:tc>
          <w:tcPr>
            <w:tcW w:w="698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Chimet S.p.A.</w:t>
            </w:r>
          </w:p>
        </w:tc>
        <w:tc>
          <w:tcPr>
            <w:tcW w:w="100" w:type="dxa"/>
            <w:vAlign w:val="bottom"/>
            <w:tcBorders>
              <w:bottom w:val="single" w:sz="8" w:color="auto"/>
            </w:tcBorders>
          </w:tcPr>
          <w:p>
            <w:pPr>
              <w:spacing w:after="0"/>
              <w:rPr>
                <w:sz w:val="18"/>
                <w:szCs w:val="18"/>
                <w:color w:val="auto"/>
              </w:rPr>
            </w:pP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CFSP - Compliant</w:t>
            </w:r>
          </w:p>
        </w:tc>
      </w:tr>
      <w:tr>
        <w:trPr>
          <w:trHeight w:val="208"/>
        </w:trPr>
        <w:tc>
          <w:tcPr>
            <w:tcW w:w="6980" w:type="dxa"/>
            <w:vAlign w:val="bottom"/>
            <w:tcBorders>
              <w:left w:val="single" w:sz="8" w:color="auto"/>
              <w:bottom w:val="single" w:sz="8" w:color="auto"/>
              <w:right w:val="single" w:sz="8" w:color="auto"/>
            </w:tcBorders>
            <w:gridSpan w:val="3"/>
            <w:shd w:val="clear" w:color="auto" w:fill="CCEEFF"/>
          </w:tcPr>
          <w:p>
            <w:pPr>
              <w:ind w:left="140"/>
              <w:spacing w:after="0"/>
              <w:rPr>
                <w:sz w:val="20"/>
                <w:szCs w:val="20"/>
                <w:color w:val="auto"/>
              </w:rPr>
            </w:pPr>
            <w:r>
              <w:rPr>
                <w:rFonts w:ascii="Arial" w:cs="Arial" w:eastAsia="Arial" w:hAnsi="Arial"/>
                <w:sz w:val="18"/>
                <w:szCs w:val="18"/>
                <w:color w:val="auto"/>
              </w:rPr>
              <w:t>China National Gold Group Corporation</w:t>
            </w:r>
          </w:p>
        </w:tc>
        <w:tc>
          <w:tcPr>
            <w:tcW w:w="100" w:type="dxa"/>
            <w:vAlign w:val="bottom"/>
            <w:tcBorders>
              <w:bottom w:val="single" w:sz="8" w:color="auto"/>
            </w:tcBorders>
            <w:shd w:val="clear" w:color="auto" w:fill="CCEEFF"/>
          </w:tcPr>
          <w:p>
            <w:pPr>
              <w:spacing w:after="0"/>
              <w:rPr>
                <w:sz w:val="18"/>
                <w:szCs w:val="18"/>
                <w:color w:val="auto"/>
              </w:rPr>
            </w:pPr>
          </w:p>
        </w:tc>
        <w:tc>
          <w:tcPr>
            <w:tcW w:w="4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 Certificate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-3500120</wp:posOffset>
            </wp:positionV>
            <wp:extent cx="7229475"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-3208655</wp:posOffset>
            </wp:positionV>
            <wp:extent cx="722947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-2917190</wp:posOffset>
            </wp:positionV>
            <wp:extent cx="722947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-2625725</wp:posOffset>
            </wp:positionV>
            <wp:extent cx="722947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-2334260</wp:posOffset>
            </wp:positionV>
            <wp:extent cx="722947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-2042160</wp:posOffset>
            </wp:positionV>
            <wp:extent cx="722947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-1750695</wp:posOffset>
            </wp:positionV>
            <wp:extent cx="722947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-1459230</wp:posOffset>
            </wp:positionV>
            <wp:extent cx="722947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-1167765</wp:posOffset>
            </wp:positionV>
            <wp:extent cx="722947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-876300</wp:posOffset>
            </wp:positionV>
            <wp:extent cx="722947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-584835</wp:posOffset>
            </wp:positionV>
            <wp:extent cx="722947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-292735</wp:posOffset>
            </wp:positionV>
            <wp:extent cx="722947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25044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69" w:lineRule="exact"/>
        <w:rPr>
          <w:sz w:val="20"/>
          <w:szCs w:val="20"/>
          <w:color w:val="auto"/>
        </w:rPr>
      </w:pPr>
    </w:p>
    <w:p>
      <w:pPr>
        <w:ind w:right="680" w:firstLine="8"/>
        <w:spacing w:after="0" w:line="225" w:lineRule="auto"/>
        <w:tabs>
          <w:tab w:leader="none" w:pos="264" w:val="left"/>
        </w:tabs>
        <w:numPr>
          <w:ilvl w:val="0"/>
          <w:numId w:val="8"/>
        </w:numPr>
        <w:rPr>
          <w:rFonts w:ascii="Arial" w:cs="Arial" w:eastAsia="Arial" w:hAnsi="Arial"/>
          <w:sz w:val="31"/>
          <w:szCs w:val="31"/>
          <w:color w:val="auto"/>
          <w:vertAlign w:val="superscript"/>
        </w:rPr>
      </w:pPr>
      <w:r>
        <w:rPr>
          <w:rFonts w:ascii="Arial" w:cs="Arial" w:eastAsia="Arial" w:hAnsi="Arial"/>
          <w:sz w:val="16"/>
          <w:szCs w:val="16"/>
          <w:color w:val="auto"/>
        </w:rPr>
        <w:t>Verified smelters are those listed by the EICC. (“</w:t>
      </w:r>
      <w:r>
        <w:rPr>
          <w:rFonts w:ascii="Arial" w:cs="Arial" w:eastAsia="Arial" w:hAnsi="Arial"/>
          <w:sz w:val="16"/>
          <w:szCs w:val="16"/>
          <w:b w:val="1"/>
          <w:bCs w:val="1"/>
          <w:color w:val="auto"/>
        </w:rPr>
        <w:t>CFSP - Compliant</w:t>
      </w:r>
      <w:r>
        <w:rPr>
          <w:rFonts w:ascii="Arial" w:cs="Arial" w:eastAsia="Arial" w:hAnsi="Arial"/>
          <w:sz w:val="16"/>
          <w:szCs w:val="16"/>
          <w:color w:val="auto"/>
        </w:rPr>
        <w:t>” – developed and implemented a Conflict Free Smelter Program; “</w:t>
      </w:r>
      <w:r>
        <w:rPr>
          <w:rFonts w:ascii="Arial" w:cs="Arial" w:eastAsia="Arial" w:hAnsi="Arial"/>
          <w:sz w:val="16"/>
          <w:szCs w:val="16"/>
          <w:b w:val="1"/>
          <w:bCs w:val="1"/>
          <w:color w:val="auto"/>
        </w:rPr>
        <w:t>Active</w:t>
      </w:r>
      <w:r>
        <w:rPr>
          <w:rFonts w:ascii="Arial" w:cs="Arial" w:eastAsia="Arial" w:hAnsi="Arial"/>
          <w:sz w:val="16"/>
          <w:szCs w:val="16"/>
          <w:color w:val="auto"/>
        </w:rPr>
        <w:t>” - committed to undergo a CFSP audit or are participating in one of the cross-recognized certification programs; “</w:t>
      </w:r>
      <w:r>
        <w:rPr>
          <w:rFonts w:ascii="Arial" w:cs="Arial" w:eastAsia="Arial" w:hAnsi="Arial"/>
          <w:sz w:val="16"/>
          <w:szCs w:val="16"/>
          <w:b w:val="1"/>
          <w:bCs w:val="1"/>
          <w:color w:val="auto"/>
        </w:rPr>
        <w:t>No Certification</w:t>
      </w:r>
      <w:r>
        <w:rPr>
          <w:rFonts w:ascii="Arial" w:cs="Arial" w:eastAsia="Arial" w:hAnsi="Arial"/>
          <w:sz w:val="16"/>
          <w:szCs w:val="16"/>
          <w:color w:val="auto"/>
        </w:rPr>
        <w:t>” Program status is unknown).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495935</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3"/>
        </w:trPr>
        <w:tc>
          <w:tcPr>
            <w:tcW w:w="6980" w:type="dxa"/>
            <w:vAlign w:val="bottom"/>
            <w:tcBorders>
              <w:top w:val="single" w:sz="8" w:color="auto"/>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Chugai Mining</w:t>
            </w:r>
          </w:p>
        </w:tc>
        <w:tc>
          <w:tcPr>
            <w:tcW w:w="4440" w:type="dxa"/>
            <w:vAlign w:val="bottom"/>
            <w:tcBorders>
              <w:top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20"/>
                <w:szCs w:val="20"/>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Codelco</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Colt Refining</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Daejin Indus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DaeryongENC</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Daye Non-Ferrous Metals Mining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Do Sung Corporation</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DODUCO GmbH</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Dowa</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Eco-System Recycling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Elemetal Refining, LLC</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Emirates Gold DMCC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Faggi Enrico S.p.A.</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Fidelity Printers and Refiners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FSE Novosibirsk Refinery</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Gansu Seemine Material Hi-Tech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Geib Refining Corporation</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Great Wall Precious Metals Co., Ltd. of CBPM</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Guangdong Gaoyao Co</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Guoda Safina High-Tech Environmental Refinery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Hangzhou Fuchunjiang Smelting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Heimerle + Meule GmbH</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Heraeus Ltd. Hong Kong</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Heraeus Precious Metals GmbH &amp; Co. KG</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Hunan Chenzhou Mining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Hwasung CJ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Inner Mongolia Qiankun Gold and Silver Refinery Share Company Limited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Ishifuku Metal Industry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Istanbul Gold Refinery</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Japan Mint</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Jiangxi Copper Company Limited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Johnson Matthey Limited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JSC Ekaterinburg Non-Ferrous Metal Processing Plant</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JSC Uralelectromed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JX Nippon Mining &amp; Metals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Kaloti Precious Metals</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Kazakhmys Smelting LLC</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Kazzinc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Kennecott Utah Copper LLC</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KGHM Polska Miedź Spółka Akcyjna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Kojima Chemicals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Korea Metal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Korea Zinc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06"/>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Kyrgyzaltyn JSC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7"/>
                <w:szCs w:val="17"/>
                <w:color w:val="auto"/>
              </w:rPr>
            </w:pPr>
          </w:p>
        </w:tc>
      </w:tr>
      <w:tr>
        <w:trPr>
          <w:trHeight w:val="831"/>
        </w:trPr>
        <w:tc>
          <w:tcPr>
            <w:tcW w:w="69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6980" w:type="dxa"/>
            <w:vAlign w:val="bottom"/>
            <w:tcBorders>
              <w:left w:val="single" w:sz="8" w:color="808080"/>
              <w:right w:val="single" w:sz="8" w:color="808080"/>
            </w:tcBorders>
            <w:shd w:val="clear" w:color="auto" w:fill="808080"/>
          </w:tcPr>
          <w:p>
            <w:pPr>
              <w:spacing w:after="0"/>
              <w:rPr>
                <w:sz w:val="5"/>
                <w:szCs w:val="5"/>
                <w:color w:val="auto"/>
              </w:rPr>
            </w:pPr>
          </w:p>
        </w:tc>
        <w:tc>
          <w:tcPr>
            <w:tcW w:w="444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-6836410</wp:posOffset>
            </wp:positionV>
            <wp:extent cx="722947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-6544945</wp:posOffset>
            </wp:positionV>
            <wp:extent cx="722947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-6253480</wp:posOffset>
            </wp:positionV>
            <wp:extent cx="722947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-5961380</wp:posOffset>
            </wp:positionV>
            <wp:extent cx="722947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-5669915</wp:posOffset>
            </wp:positionV>
            <wp:extent cx="722947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-5378450</wp:posOffset>
            </wp:positionV>
            <wp:extent cx="722947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-5086985</wp:posOffset>
            </wp:positionV>
            <wp:extent cx="722947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-4795520</wp:posOffset>
            </wp:positionV>
            <wp:extent cx="722947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-4503420</wp:posOffset>
            </wp:positionV>
            <wp:extent cx="722947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-4211955</wp:posOffset>
            </wp:positionV>
            <wp:extent cx="722947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-3920490</wp:posOffset>
            </wp:positionV>
            <wp:extent cx="722947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-3629025</wp:posOffset>
            </wp:positionV>
            <wp:extent cx="722947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-3337560</wp:posOffset>
            </wp:positionV>
            <wp:extent cx="722947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-3046095</wp:posOffset>
            </wp:positionV>
            <wp:extent cx="722947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-2753995</wp:posOffset>
            </wp:positionV>
            <wp:extent cx="722947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-2462530</wp:posOffset>
            </wp:positionV>
            <wp:extent cx="722947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-2171065</wp:posOffset>
            </wp:positionV>
            <wp:extent cx="722947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-1879600</wp:posOffset>
            </wp:positionV>
            <wp:extent cx="722947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-1588135</wp:posOffset>
            </wp:positionV>
            <wp:extent cx="722947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-1296670</wp:posOffset>
            </wp:positionV>
            <wp:extent cx="722947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-1004570</wp:posOffset>
            </wp:positionV>
            <wp:extent cx="722947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-713105</wp:posOffset>
            </wp:positionV>
            <wp:extent cx="722947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ectPr>
          <w:pgSz w:w="11900" w:h="16838" w:orient="portrait"/>
          <w:cols w:equalWidth="0" w:num="1">
            <w:col w:w="11460"/>
          </w:cols>
          <w:pgMar w:left="240" w:top="575" w:right="19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3"/>
        </w:trPr>
        <w:tc>
          <w:tcPr>
            <w:tcW w:w="6980" w:type="dxa"/>
            <w:vAlign w:val="bottom"/>
            <w:tcBorders>
              <w:top w:val="single" w:sz="8" w:color="auto"/>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 azurde Company For Jewelry</w:t>
            </w:r>
          </w:p>
        </w:tc>
        <w:tc>
          <w:tcPr>
            <w:tcW w:w="4440" w:type="dxa"/>
            <w:vAlign w:val="bottom"/>
            <w:tcBorders>
              <w:top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20"/>
                <w:szCs w:val="20"/>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Lingbao Gold Company Limited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Lingbao Jinyuan Tonghui Refinery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LS-NIKKO Copper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Luoyang Zijin Yinhui Gold Refinery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Materion</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Matsuda Sangyo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Metahub Industries Sdn. Bhd.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Metalor Technologies (Hong Kong)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Metalor Technologies (Singapore) Pte.,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Metalor Technologies (Suzhou)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Metalor Technologies SA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Metalor USA Refining Corporation</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METALÚRGICA MET-MEX PEÑOLES, S.A. DE C.V</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Mitsubishi Materials Corporation</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Mitsui Mining and Smelting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MMTC-PAMP India Pvt.,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Morris and Watson</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Moscow Special Alloys Processing Plant</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Nadir Metal Rafineri San. Ve Tic. A.Ş.</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Navoi Mining and Metallurgical Combinat</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Nihon Material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Ögussa Österreichische Gold- und Silber-Scheideanstalt GmbH</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Ohura Precious Metal Industry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OJSC "The Gulidov Krasnoyarsk Non-Ferrous Metals Plant" (OJSC Krastvetmet)</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OJSC Kolyma Refinery</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OJSC Novosibirsk Refinery</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PAMP SA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Penglai Penggang Gold Industry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Prioksky Plant of Non-Ferrous Metals</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Aneka Tambang (Persero) Tbk</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PX Précinox SA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Rand Refinery (Pty)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Republic Metals Corporation</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Royal Canadian Mint</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SAAMP</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Sabin Metal Corp.</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Samduck Precious Metals</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SAMWON Metals Corp.</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SAXONIA Edelmetalle GmbH</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Schone Edelmetaal B.V.</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SEMPSA Joyería Platería SA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Shandong Tiancheng Biological Gold Industrial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06"/>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Shandong Zhaojin Gold &amp; Silver Refinery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7"/>
                <w:szCs w:val="17"/>
                <w:color w:val="auto"/>
              </w:rPr>
            </w:pPr>
          </w:p>
        </w:tc>
      </w:tr>
      <w:tr>
        <w:trPr>
          <w:trHeight w:val="831"/>
        </w:trPr>
        <w:tc>
          <w:tcPr>
            <w:tcW w:w="69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6980" w:type="dxa"/>
            <w:vAlign w:val="bottom"/>
            <w:tcBorders>
              <w:left w:val="single" w:sz="8" w:color="808080"/>
              <w:right w:val="single" w:sz="8" w:color="808080"/>
            </w:tcBorders>
            <w:shd w:val="clear" w:color="auto" w:fill="808080"/>
          </w:tcPr>
          <w:p>
            <w:pPr>
              <w:spacing w:after="0"/>
              <w:rPr>
                <w:sz w:val="5"/>
                <w:szCs w:val="5"/>
                <w:color w:val="auto"/>
              </w:rPr>
            </w:pPr>
          </w:p>
        </w:tc>
        <w:tc>
          <w:tcPr>
            <w:tcW w:w="444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-6836410</wp:posOffset>
            </wp:positionV>
            <wp:extent cx="722947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-6544945</wp:posOffset>
            </wp:positionV>
            <wp:extent cx="722947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-6253480</wp:posOffset>
            </wp:positionV>
            <wp:extent cx="722947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-5961380</wp:posOffset>
            </wp:positionV>
            <wp:extent cx="722947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-5669915</wp:posOffset>
            </wp:positionV>
            <wp:extent cx="722947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-5378450</wp:posOffset>
            </wp:positionV>
            <wp:extent cx="7229475"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-5086985</wp:posOffset>
            </wp:positionV>
            <wp:extent cx="722947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-4795520</wp:posOffset>
            </wp:positionV>
            <wp:extent cx="7229475"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-4503420</wp:posOffset>
            </wp:positionV>
            <wp:extent cx="722947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-4211955</wp:posOffset>
            </wp:positionV>
            <wp:extent cx="722947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-3920490</wp:posOffset>
            </wp:positionV>
            <wp:extent cx="722947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-3629025</wp:posOffset>
            </wp:positionV>
            <wp:extent cx="7229475"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-3337560</wp:posOffset>
            </wp:positionV>
            <wp:extent cx="722947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-3046095</wp:posOffset>
            </wp:positionV>
            <wp:extent cx="722947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-2753995</wp:posOffset>
            </wp:positionV>
            <wp:extent cx="722947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-2462530</wp:posOffset>
            </wp:positionV>
            <wp:extent cx="722947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-2171065</wp:posOffset>
            </wp:positionV>
            <wp:extent cx="722947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-1879600</wp:posOffset>
            </wp:positionV>
            <wp:extent cx="722947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-1588135</wp:posOffset>
            </wp:positionV>
            <wp:extent cx="722947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-1296670</wp:posOffset>
            </wp:positionV>
            <wp:extent cx="722947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-1004570</wp:posOffset>
            </wp:positionV>
            <wp:extent cx="722947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-713105</wp:posOffset>
            </wp:positionV>
            <wp:extent cx="722947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ectPr>
          <w:pgSz w:w="11900" w:h="16838" w:orient="portrait"/>
          <w:cols w:equalWidth="0" w:num="1">
            <w:col w:w="11460"/>
          </w:cols>
          <w:pgMar w:left="240" w:top="575" w:right="19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3"/>
        </w:trPr>
        <w:tc>
          <w:tcPr>
            <w:tcW w:w="6980" w:type="dxa"/>
            <w:vAlign w:val="bottom"/>
            <w:tcBorders>
              <w:top w:val="single" w:sz="8" w:color="auto"/>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Sichuan Tianze Precious Metals Co., Ltd.</w:t>
            </w:r>
          </w:p>
        </w:tc>
        <w:tc>
          <w:tcPr>
            <w:tcW w:w="4440" w:type="dxa"/>
            <w:vAlign w:val="bottom"/>
            <w:tcBorders>
              <w:top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20"/>
                <w:szCs w:val="20"/>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Singway Technology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So Accurate Group, Inc.</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SOE Shyolkovsky Factory of Secondary Precious Metals</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Solar Applied Materials Technology Corp.</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Sudan Gold Refinery</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Sumitomo Metal Mining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T.C.A S.p.A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Tanaka Kikinzoku Kogyo K.K.</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The Great Wall Gold and Silver Refinery of China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The Refinery of Shandong Gold Mining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Tokuriki Honten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Tongling Nonferrous Metals Group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Tony Goetz NV</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Torecom</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Umicore Brasil Ltda.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Umicore Precious Metals Thailand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Umicore SA Business Unit Precious Metals Refining</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United Precious Metal Refining, Inc.</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Valcambi SA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Western Australian Mint trading as The Perth Mint</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WIELAND Edelmetalle GmbH</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Yamamoto Precious Metal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Yokohama Metal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Yunnan Copper Industry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Zhongyuan Gold Smelter of Zhongjin Gold Corporation</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Zijin Mining Group Co., Ltd. Gold Refinery</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Tantalum</w:t>
            </w:r>
          </w:p>
        </w:tc>
        <w:tc>
          <w:tcPr>
            <w:tcW w:w="444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Avon Specialty Metals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Changsha South Tantalum Niobium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Conghua Tantalum and Niobium Smeltry</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 Block Metals,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Duoluoshan</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E.S.R. Electronics</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Exotech Inc.</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F&amp;X Electro-Materials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FIR Metals &amp; Resource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Global Advanced Metals</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Global Advanced Metals Aizu</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Global Advanced Metals Boyertown</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Guangdong Zhiyuan New Material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Guizhou Zhenhua Xinyun Technology Ltd., Kaili branch</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H.C. Starck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06"/>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H.C. Starck GmbH Goslar</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7"/>
                <w:szCs w:val="17"/>
                <w:color w:val="auto"/>
              </w:rPr>
            </w:pPr>
          </w:p>
        </w:tc>
      </w:tr>
      <w:tr>
        <w:trPr>
          <w:trHeight w:val="831"/>
        </w:trPr>
        <w:tc>
          <w:tcPr>
            <w:tcW w:w="69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6980" w:type="dxa"/>
            <w:vAlign w:val="bottom"/>
            <w:tcBorders>
              <w:left w:val="single" w:sz="8" w:color="808080"/>
              <w:right w:val="single" w:sz="8" w:color="808080"/>
            </w:tcBorders>
            <w:shd w:val="clear" w:color="auto" w:fill="808080"/>
          </w:tcPr>
          <w:p>
            <w:pPr>
              <w:spacing w:after="0"/>
              <w:rPr>
                <w:sz w:val="5"/>
                <w:szCs w:val="5"/>
                <w:color w:val="auto"/>
              </w:rPr>
            </w:pPr>
          </w:p>
        </w:tc>
        <w:tc>
          <w:tcPr>
            <w:tcW w:w="444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-6836410</wp:posOffset>
            </wp:positionV>
            <wp:extent cx="722947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-6544945</wp:posOffset>
            </wp:positionV>
            <wp:extent cx="722947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-6253480</wp:posOffset>
            </wp:positionV>
            <wp:extent cx="722947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-5961380</wp:posOffset>
            </wp:positionV>
            <wp:extent cx="722947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-5669915</wp:posOffset>
            </wp:positionV>
            <wp:extent cx="722947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-5378450</wp:posOffset>
            </wp:positionV>
            <wp:extent cx="722947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-5086985</wp:posOffset>
            </wp:positionV>
            <wp:extent cx="722947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-4795520</wp:posOffset>
            </wp:positionV>
            <wp:extent cx="722947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-4503420</wp:posOffset>
            </wp:positionV>
            <wp:extent cx="7229475"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-4211955</wp:posOffset>
            </wp:positionV>
            <wp:extent cx="722947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-3920490</wp:posOffset>
            </wp:positionV>
            <wp:extent cx="722947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-3629025</wp:posOffset>
            </wp:positionV>
            <wp:extent cx="722947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-3337560</wp:posOffset>
            </wp:positionV>
            <wp:extent cx="722947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-3046095</wp:posOffset>
            </wp:positionV>
            <wp:extent cx="722947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-2753995</wp:posOffset>
            </wp:positionV>
            <wp:extent cx="722947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-2462530</wp:posOffset>
            </wp:positionV>
            <wp:extent cx="7229475"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-2171065</wp:posOffset>
            </wp:positionV>
            <wp:extent cx="722947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-1879600</wp:posOffset>
            </wp:positionV>
            <wp:extent cx="7229475"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-1588135</wp:posOffset>
            </wp:positionV>
            <wp:extent cx="7229475"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-1296670</wp:posOffset>
            </wp:positionV>
            <wp:extent cx="722947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-1004570</wp:posOffset>
            </wp:positionV>
            <wp:extent cx="722947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-713105</wp:posOffset>
            </wp:positionV>
            <wp:extent cx="722947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ectPr>
          <w:pgSz w:w="11900" w:h="16838" w:orient="portrait"/>
          <w:cols w:equalWidth="0" w:num="1">
            <w:col w:w="11460"/>
          </w:cols>
          <w:pgMar w:left="240" w:top="575" w:right="19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3"/>
        </w:trPr>
        <w:tc>
          <w:tcPr>
            <w:tcW w:w="6980" w:type="dxa"/>
            <w:vAlign w:val="bottom"/>
            <w:tcBorders>
              <w:top w:val="single" w:sz="8" w:color="auto"/>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H.C. Starck GmbH Laufenburg</w:t>
            </w:r>
          </w:p>
        </w:tc>
        <w:tc>
          <w:tcPr>
            <w:tcW w:w="4440" w:type="dxa"/>
            <w:vAlign w:val="bottom"/>
            <w:tcBorders>
              <w:top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20"/>
                <w:szCs w:val="20"/>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H.C. Starck Group</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H.C. Starck Hermsdorf GmbH</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H.C. Starck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H.C. Starck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H.C. Starck Smelting GmbH &amp; Co.KG</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Hengyang King Xing Lifeng New Materials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Hi-Temp</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Hi-Temp Specialty Metals, Inc.</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Jiangxi Dinghai Tantalum &amp; Niobium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Jiangxi Tuohong New Raw Material</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JiuJiang JinXin Nonferrous Metals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Jiujiang Tanbre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Jiujiang Zhongao Tantalum &amp; Niobium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KEMET Blue Metals</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KEMET Blue Powder</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King-Tan Tantalum Industry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LSM Brasil S.A.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Metallurgical Products India Pvt.,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Mineração Taboca S.A.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Mitsui Mining &amp; Smelting</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Molycorp Silmet A.S.</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Ningxia Orient Tantalum Industry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Plansee</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Plansee SE Liezen</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Plansee SE Reutte</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QuantumClean</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Resind Indústria e Comércio Ltda.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RFH</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RFH Tantalum Smeltry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Shanghai Jiangxi Metals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Solikamsk Magnesium Works OAO</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Solikamsk Metal Works</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Taki Chemicals</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Tantalite Resources</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Telex Metals</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Tranzact, Inc.</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Ulba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Ulba Metallurgical Plant JSC</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XinXing HaoRong Electronic Material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Yichun Jin Yang Rare Metal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Zhuzhou Cemented Carbide</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Tin</w:t>
            </w:r>
          </w:p>
        </w:tc>
        <w:tc>
          <w:tcPr>
            <w:tcW w:w="4440" w:type="dxa"/>
            <w:vAlign w:val="bottom"/>
            <w:tcBorders>
              <w:bottom w:val="single" w:sz="8" w:color="auto"/>
              <w:right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6"/>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Alpha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7"/>
                <w:szCs w:val="17"/>
                <w:color w:val="auto"/>
              </w:rPr>
            </w:pPr>
          </w:p>
        </w:tc>
      </w:tr>
      <w:tr>
        <w:trPr>
          <w:trHeight w:val="831"/>
        </w:trPr>
        <w:tc>
          <w:tcPr>
            <w:tcW w:w="69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6980" w:type="dxa"/>
            <w:vAlign w:val="bottom"/>
            <w:tcBorders>
              <w:left w:val="single" w:sz="8" w:color="808080"/>
              <w:right w:val="single" w:sz="8" w:color="808080"/>
            </w:tcBorders>
            <w:shd w:val="clear" w:color="auto" w:fill="808080"/>
          </w:tcPr>
          <w:p>
            <w:pPr>
              <w:spacing w:after="0"/>
              <w:rPr>
                <w:sz w:val="5"/>
                <w:szCs w:val="5"/>
                <w:color w:val="auto"/>
              </w:rPr>
            </w:pPr>
          </w:p>
        </w:tc>
        <w:tc>
          <w:tcPr>
            <w:tcW w:w="444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-6836410</wp:posOffset>
            </wp:positionV>
            <wp:extent cx="722947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-6544945</wp:posOffset>
            </wp:positionV>
            <wp:extent cx="7229475"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-6253480</wp:posOffset>
            </wp:positionV>
            <wp:extent cx="7229475"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-5961380</wp:posOffset>
            </wp:positionV>
            <wp:extent cx="722947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-5669915</wp:posOffset>
            </wp:positionV>
            <wp:extent cx="722947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-5378450</wp:posOffset>
            </wp:positionV>
            <wp:extent cx="7229475"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-5086985</wp:posOffset>
            </wp:positionV>
            <wp:extent cx="722947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-4795520</wp:posOffset>
            </wp:positionV>
            <wp:extent cx="722947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-4503420</wp:posOffset>
            </wp:positionV>
            <wp:extent cx="7229475"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-4211955</wp:posOffset>
            </wp:positionV>
            <wp:extent cx="722947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-3920490</wp:posOffset>
            </wp:positionV>
            <wp:extent cx="722947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-3629025</wp:posOffset>
            </wp:positionV>
            <wp:extent cx="7229475"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-3337560</wp:posOffset>
            </wp:positionV>
            <wp:extent cx="7229475"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-3046095</wp:posOffset>
            </wp:positionV>
            <wp:extent cx="7229475"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-2753995</wp:posOffset>
            </wp:positionV>
            <wp:extent cx="7229475"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-2462530</wp:posOffset>
            </wp:positionV>
            <wp:extent cx="7229475"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-2171065</wp:posOffset>
            </wp:positionV>
            <wp:extent cx="7229475"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-1879600</wp:posOffset>
            </wp:positionV>
            <wp:extent cx="7229475"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-1588135</wp:posOffset>
            </wp:positionV>
            <wp:extent cx="7229475"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-1296670</wp:posOffset>
            </wp:positionV>
            <wp:extent cx="7229475"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-1004570</wp:posOffset>
            </wp:positionV>
            <wp:extent cx="7229475"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-713105</wp:posOffset>
            </wp:positionV>
            <wp:extent cx="722947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ectPr>
          <w:pgSz w:w="11900" w:h="16838" w:orient="portrait"/>
          <w:cols w:equalWidth="0" w:num="1">
            <w:col w:w="11460"/>
          </w:cols>
          <w:pgMar w:left="240" w:top="575" w:right="19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33"/>
        </w:trPr>
        <w:tc>
          <w:tcPr>
            <w:tcW w:w="6980" w:type="dxa"/>
            <w:vAlign w:val="bottom"/>
            <w:tcBorders>
              <w:top w:val="single" w:sz="8" w:color="auto"/>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An Thai Minerals Company Limited</w:t>
            </w:r>
          </w:p>
        </w:tc>
        <w:tc>
          <w:tcPr>
            <w:tcW w:w="4440" w:type="dxa"/>
            <w:vAlign w:val="bottom"/>
            <w:tcBorders>
              <w:top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20"/>
                <w:szCs w:val="20"/>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An Vinh Joint Stock Mineral Processing Company</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Chenzhou Yunxiang Mining and Metallurgy Company Limited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China Tin Group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CNMC (Guangxi) PGMA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Cookson</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Cooper Santa</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Cooperativa Metalurgica de Rondônia Ltda.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CV Ayi Jaya</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CV Dua Sekawan</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CV Duta Putra Bangka</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CV Gita Pesona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CV JusTindo</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CV Makmur Jaya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CV Nurjanah</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CV Serumpun Sebalai</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CV Tiga Sekawan</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CV United Smelting</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CV Venus Inti Perkasa</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Dowa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6"/>
              </w:rPr>
              <w:t>Electro-Mechanical Facility of the Cao Bang Minerals &amp; Metallurgy Joint Stock Company</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Elmet S.L.U. (Metallo Group)</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EM Vinto</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Estanho de Rondônia S.A.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Feinhütte Halsbrücke GmbH</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Fenix Metals</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Gejiu Fengming Metalurgy Chemical Plant</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Gejiu Kai Meng Industry and Trade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Gejiu Non-Ferrous Metal Processing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Gejiu Yunxin Nonferrous Electrolysis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Gejiu Zi-Li</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Gejiu Zili Mining And Metallurgy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Gold Bell Group</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Guanyang Guida Nonferrous Metal Smelting Plant</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HuiChang Hill Tin Industry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Huichang Jinshunda Tin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Jiangxi Ketai Advanced Material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Jiangxi Nanshan</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Jiangxi Shunda Huichang Kam Tin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Kai Unita Trade Limited Liability Company</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Linwu Xianggui Ore Smelting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Linwu Xianggui Smelter Co</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08"/>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Magnu's Minerais Metais e Ligas Ltda.</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829"/>
        </w:trPr>
        <w:tc>
          <w:tcPr>
            <w:tcW w:w="69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6980" w:type="dxa"/>
            <w:vAlign w:val="bottom"/>
            <w:tcBorders>
              <w:left w:val="single" w:sz="8" w:color="808080"/>
              <w:right w:val="single" w:sz="8" w:color="808080"/>
            </w:tcBorders>
            <w:shd w:val="clear" w:color="auto" w:fill="808080"/>
          </w:tcPr>
          <w:p>
            <w:pPr>
              <w:spacing w:after="0"/>
              <w:rPr>
                <w:sz w:val="5"/>
                <w:szCs w:val="5"/>
                <w:color w:val="auto"/>
              </w:rPr>
            </w:pPr>
          </w:p>
        </w:tc>
        <w:tc>
          <w:tcPr>
            <w:tcW w:w="444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-6690360</wp:posOffset>
            </wp:positionV>
            <wp:extent cx="7229475"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-6398895</wp:posOffset>
            </wp:positionV>
            <wp:extent cx="7229475"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-6107430</wp:posOffset>
            </wp:positionV>
            <wp:extent cx="7229475"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-5815965</wp:posOffset>
            </wp:positionV>
            <wp:extent cx="7229475"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-5524500</wp:posOffset>
            </wp:positionV>
            <wp:extent cx="7229475"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-5232400</wp:posOffset>
            </wp:positionV>
            <wp:extent cx="7229475"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-4940935</wp:posOffset>
            </wp:positionV>
            <wp:extent cx="7229475"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-4649470</wp:posOffset>
            </wp:positionV>
            <wp:extent cx="7229475"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-4358005</wp:posOffset>
            </wp:positionV>
            <wp:extent cx="7229475"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-4066540</wp:posOffset>
            </wp:positionV>
            <wp:extent cx="7229475"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-3775075</wp:posOffset>
            </wp:positionV>
            <wp:extent cx="7229475"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-3482975</wp:posOffset>
            </wp:positionV>
            <wp:extent cx="7229475"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-3191510</wp:posOffset>
            </wp:positionV>
            <wp:extent cx="7229475"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-2900045</wp:posOffset>
            </wp:positionV>
            <wp:extent cx="7229475"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-2608580</wp:posOffset>
            </wp:positionV>
            <wp:extent cx="7229475"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-2317115</wp:posOffset>
            </wp:positionV>
            <wp:extent cx="7229475"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-2025015</wp:posOffset>
            </wp:positionV>
            <wp:extent cx="7229475"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-1733550</wp:posOffset>
            </wp:positionV>
            <wp:extent cx="7229475"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-1442085</wp:posOffset>
            </wp:positionV>
            <wp:extent cx="7229475"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-1150620</wp:posOffset>
            </wp:positionV>
            <wp:extent cx="7229475"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-859155</wp:posOffset>
            </wp:positionV>
            <wp:extent cx="7229475"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r>
    </w:p>
    <w:p>
      <w:pPr>
        <w:sectPr>
          <w:pgSz w:w="11900" w:h="16838" w:orient="portrait"/>
          <w:cols w:equalWidth="0" w:num="1">
            <w:col w:w="11460"/>
          </w:cols>
          <w:pgMar w:left="240" w:top="575" w:right="19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33"/>
        </w:trPr>
        <w:tc>
          <w:tcPr>
            <w:tcW w:w="6980" w:type="dxa"/>
            <w:vAlign w:val="bottom"/>
            <w:tcBorders>
              <w:top w:val="single" w:sz="8" w:color="auto"/>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Malaysia Smelting Corporation (MSC)</w:t>
            </w:r>
          </w:p>
        </w:tc>
        <w:tc>
          <w:tcPr>
            <w:tcW w:w="4440" w:type="dxa"/>
            <w:vAlign w:val="bottom"/>
            <w:tcBorders>
              <w:top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20"/>
                <w:szCs w:val="20"/>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Melt Metais e Ligas S/A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Metahub Industries Sdn. Bhd.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Metallic Resources,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Metallo Chimique</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Metallo-Chimique N.V.</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Mineração Taboca S.A.</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Mineração Taboca S.A.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Minsur</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Mitsubishi Materials Corporation</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Nankang Nanshan Tin Manufactory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Nghe Tinh Non-Ferrous Metals Joint Stock Company</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Novosibirsk Integrated Tin Works</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Novosibirsk Processing Plant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O.M. Manufacturing (Thailand)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O.M. Manufacturing Philippines, Inc.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OMSA</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Operaciones Metalurgical S.A.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Phoenix Metal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Alam Lestari Kencana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Aries Kencana Sejahtera</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Artha Cipta Langgeng</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ATD Makmur Mandiri Jaya</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Babel Inti Perkasa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Babel Surya Alam Lestari</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Bangka Kudai Tin</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Bangka Prima Tin</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Bangka Putra Karya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Bangka Timah Utama Sejahtera</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Bangka Tin Industry</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Belitung Industri Sejahtera</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BilliTin Makmur Lestari</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Bukit Timah</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Cipta Persada Mulia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DS Jaya Abadi</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Eunindo Usaha Mandiri</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Fang Di MulTindo</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HP Metals Indonesia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Inti Stania Prima</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Justindo</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Karimun Mining</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Kijang Jaya Mandiri</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Koba Tin</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06"/>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Mitra Stania Prima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7"/>
                <w:szCs w:val="17"/>
                <w:color w:val="auto"/>
              </w:rPr>
            </w:pPr>
          </w:p>
        </w:tc>
      </w:tr>
      <w:tr>
        <w:trPr>
          <w:trHeight w:val="831"/>
        </w:trPr>
        <w:tc>
          <w:tcPr>
            <w:tcW w:w="69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6980" w:type="dxa"/>
            <w:vAlign w:val="bottom"/>
            <w:tcBorders>
              <w:left w:val="single" w:sz="8" w:color="808080"/>
              <w:right w:val="single" w:sz="8" w:color="808080"/>
            </w:tcBorders>
            <w:shd w:val="clear" w:color="auto" w:fill="808080"/>
          </w:tcPr>
          <w:p>
            <w:pPr>
              <w:spacing w:after="0"/>
              <w:rPr>
                <w:sz w:val="5"/>
                <w:szCs w:val="5"/>
                <w:color w:val="auto"/>
              </w:rPr>
            </w:pPr>
          </w:p>
        </w:tc>
        <w:tc>
          <w:tcPr>
            <w:tcW w:w="444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-6836410</wp:posOffset>
            </wp:positionV>
            <wp:extent cx="7229475"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-6544945</wp:posOffset>
            </wp:positionV>
            <wp:extent cx="7229475"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-6253480</wp:posOffset>
            </wp:positionV>
            <wp:extent cx="7229475"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-5961380</wp:posOffset>
            </wp:positionV>
            <wp:extent cx="7229475"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-5669915</wp:posOffset>
            </wp:positionV>
            <wp:extent cx="7229475"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-5378450</wp:posOffset>
            </wp:positionV>
            <wp:extent cx="7229475"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-5086985</wp:posOffset>
            </wp:positionV>
            <wp:extent cx="7229475"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-4795520</wp:posOffset>
            </wp:positionV>
            <wp:extent cx="7229475"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-4503420</wp:posOffset>
            </wp:positionV>
            <wp:extent cx="7229475"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-4211955</wp:posOffset>
            </wp:positionV>
            <wp:extent cx="7229475"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-3920490</wp:posOffset>
            </wp:positionV>
            <wp:extent cx="7229475"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-3629025</wp:posOffset>
            </wp:positionV>
            <wp:extent cx="7229475"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-3337560</wp:posOffset>
            </wp:positionV>
            <wp:extent cx="7229475"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-3046095</wp:posOffset>
            </wp:positionV>
            <wp:extent cx="7229475"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-2753995</wp:posOffset>
            </wp:positionV>
            <wp:extent cx="7229475"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-2462530</wp:posOffset>
            </wp:positionV>
            <wp:extent cx="7229475"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-2171065</wp:posOffset>
            </wp:positionV>
            <wp:extent cx="7229475"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-1879600</wp:posOffset>
            </wp:positionV>
            <wp:extent cx="7229475"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-1588135</wp:posOffset>
            </wp:positionV>
            <wp:extent cx="7229475"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-1296670</wp:posOffset>
            </wp:positionV>
            <wp:extent cx="7229475"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-1004570</wp:posOffset>
            </wp:positionV>
            <wp:extent cx="7229475"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-713105</wp:posOffset>
            </wp:positionV>
            <wp:extent cx="7229475"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ectPr>
          <w:pgSz w:w="11900" w:h="16838" w:orient="portrait"/>
          <w:cols w:equalWidth="0" w:num="1">
            <w:col w:w="11460"/>
          </w:cols>
          <w:pgMar w:left="240" w:top="575" w:right="19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33"/>
        </w:trPr>
        <w:tc>
          <w:tcPr>
            <w:tcW w:w="6980" w:type="dxa"/>
            <w:vAlign w:val="bottom"/>
            <w:tcBorders>
              <w:top w:val="single" w:sz="8" w:color="auto"/>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Panca Mega Persada</w:t>
            </w:r>
          </w:p>
        </w:tc>
        <w:tc>
          <w:tcPr>
            <w:tcW w:w="4440" w:type="dxa"/>
            <w:vAlign w:val="bottom"/>
            <w:tcBorders>
              <w:top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20"/>
                <w:szCs w:val="20"/>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Pelat Timah Nusantara Tbk</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Prima Timah Utama</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Refined Bangka Tin</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Sariwiguna Binasentosa</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Seirama Tin Investment</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Stanindo Inti Perkasa</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Sukses Inti Makmur</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Sumber Jaya Indah</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Supra Sukses Trinusa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Tambang Timah</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Timah</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Timah (Persero) Tbk Kundur</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Timah (Persero) Tbk Mentok</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Timah Nusantara</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Tinindo Inter Nusa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Tinindo Inter Nusa</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Tirus Putra Mandiri</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Tommy Utama</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Wahana Perkit Jaya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PT Yinchendo Mining Industry</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Resind Indústria e Comércio Ltda.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Rui Da Hung</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Soft Metais Ltda.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Thaisarco</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Tuyen Quang Non-Ferrous Metals Joint Stock Company</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VQB Mineral and Trading Group JSC</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White Solder Metalurgia e Mineração Ltda.</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Yunnan Chengfeng</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Yunnan Chengfeng Non-ferrous Metals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Yunnan Tin Group (Holding) Company Limited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Minmetals Ganzhou Tin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Tungsten</w:t>
            </w:r>
          </w:p>
        </w:tc>
        <w:tc>
          <w:tcPr>
            <w:tcW w:w="4440" w:type="dxa"/>
            <w:vAlign w:val="bottom"/>
            <w:tcBorders>
              <w:bottom w:val="single" w:sz="8" w:color="auto"/>
              <w:right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A.L.M.T. TUNGSTEN Corp.</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ACL Metais Eireli</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Asia Tungsten Products Vietnam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ATI Tungsten Materials</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Chenzhou Diamond Tungsten Products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Chongyi Zhangyuan Tungsten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Dayu Jincheng Tungsten Industry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Dayu Weiliang Tungsten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Fujian Jinxin Tungsten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Ganxian Shirui New Material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06"/>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Ganzhou Huaxing Tungsten Products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7"/>
                <w:szCs w:val="17"/>
                <w:color w:val="auto"/>
              </w:rPr>
            </w:pPr>
          </w:p>
        </w:tc>
      </w:tr>
      <w:tr>
        <w:trPr>
          <w:trHeight w:val="831"/>
        </w:trPr>
        <w:tc>
          <w:tcPr>
            <w:tcW w:w="69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6980" w:type="dxa"/>
            <w:vAlign w:val="bottom"/>
            <w:tcBorders>
              <w:left w:val="single" w:sz="8" w:color="808080"/>
              <w:right w:val="single" w:sz="8" w:color="808080"/>
            </w:tcBorders>
            <w:shd w:val="clear" w:color="auto" w:fill="808080"/>
          </w:tcPr>
          <w:p>
            <w:pPr>
              <w:spacing w:after="0"/>
              <w:rPr>
                <w:sz w:val="5"/>
                <w:szCs w:val="5"/>
                <w:color w:val="auto"/>
              </w:rPr>
            </w:pPr>
          </w:p>
        </w:tc>
        <w:tc>
          <w:tcPr>
            <w:tcW w:w="444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-6836410</wp:posOffset>
            </wp:positionV>
            <wp:extent cx="7229475"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-6544945</wp:posOffset>
            </wp:positionV>
            <wp:extent cx="7229475" cy="146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-6253480</wp:posOffset>
            </wp:positionV>
            <wp:extent cx="7229475"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-5961380</wp:posOffset>
            </wp:positionV>
            <wp:extent cx="7229475"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-5669915</wp:posOffset>
            </wp:positionV>
            <wp:extent cx="7229475"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-5378450</wp:posOffset>
            </wp:positionV>
            <wp:extent cx="7229475"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-5086985</wp:posOffset>
            </wp:positionV>
            <wp:extent cx="7229475"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-4795520</wp:posOffset>
            </wp:positionV>
            <wp:extent cx="7229475" cy="146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-4503420</wp:posOffset>
            </wp:positionV>
            <wp:extent cx="7229475"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-4211955</wp:posOffset>
            </wp:positionV>
            <wp:extent cx="7229475"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-3920490</wp:posOffset>
            </wp:positionV>
            <wp:extent cx="7229475" cy="146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-3629025</wp:posOffset>
            </wp:positionV>
            <wp:extent cx="7229475"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-3337560</wp:posOffset>
            </wp:positionV>
            <wp:extent cx="7229475"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-3046095</wp:posOffset>
            </wp:positionV>
            <wp:extent cx="7229475"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-2753995</wp:posOffset>
            </wp:positionV>
            <wp:extent cx="7229475"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-2462530</wp:posOffset>
            </wp:positionV>
            <wp:extent cx="7229475" cy="146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-2171065</wp:posOffset>
            </wp:positionV>
            <wp:extent cx="7229475"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-1879600</wp:posOffset>
            </wp:positionV>
            <wp:extent cx="7229475"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-1588135</wp:posOffset>
            </wp:positionV>
            <wp:extent cx="7229475"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-1296670</wp:posOffset>
            </wp:positionV>
            <wp:extent cx="7229475"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-1004570</wp:posOffset>
            </wp:positionV>
            <wp:extent cx="7229475"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-713105</wp:posOffset>
            </wp:positionV>
            <wp:extent cx="7229475"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ectPr>
          <w:pgSz w:w="11900" w:h="16838" w:orient="portrait"/>
          <w:cols w:equalWidth="0" w:num="1">
            <w:col w:w="11460"/>
          </w:cols>
          <w:pgMar w:left="240" w:top="575" w:right="19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33"/>
        </w:trPr>
        <w:tc>
          <w:tcPr>
            <w:tcW w:w="6980" w:type="dxa"/>
            <w:vAlign w:val="bottom"/>
            <w:tcBorders>
              <w:top w:val="single" w:sz="8" w:color="auto"/>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Ganzhou Jiangwu Ferrotungsten Co., Ltd.</w:t>
            </w:r>
          </w:p>
        </w:tc>
        <w:tc>
          <w:tcPr>
            <w:tcW w:w="4440" w:type="dxa"/>
            <w:vAlign w:val="bottom"/>
            <w:tcBorders>
              <w:top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20"/>
                <w:szCs w:val="20"/>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Ganzhou Non-ferrous Metals Smelting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Ganzhou Seadragon W &amp; Mo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Ganzhou Yatai Tungsten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Global Tungsten &amp; Powders Corp.</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Guangdong Xianglu Tungsten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H.C. Starck GmbH</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H.C. Starck Smelting GmbH &amp; Co.KG</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HC Starck GmbH</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Hunan Chenzhou Mining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Hunan Chuangda Vanadium Tungsten Co., Ltd. Wuji</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Hunan Chuangda Vanadium Tungsten Co., Ltd. Yanglin</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Hunan Chunchang Nonferrous Metals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Hydrometallurg, JSC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Japan New Metals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Jiangwu H.C. Starck Tungsten Products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Jiangxi Dayu Longxintai Tungsten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Jiangxi Gan Bei Tungsten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Jiangxi Minmetals Gao'an Non-ferrous Metals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Jiangxi Richsea New Materials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Jiangxi Tonggu Non-ferrous Metallurgical &amp; Chemical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Jiangxi Xinsheng Tungsten Industry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Jiangxi Xiushui Xianggan Nonferrous Metals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Jiangxi Yaosheng Tungsten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Kennametal Fallon</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Kennametal Huntsville</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Malipo Haiyu Tungsten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Moliren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Niagara Refining LLC</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Nui Phao H.C. Starck Tungsten Chemicals Manufacturing LLC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Philippine Chuangin Industrial Co., Inc.</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Pobedit, JSC</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Sanher Tungsten Vietnam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Tejing (Vietnam) Tungsten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Vietnam Youngsun Tungsten Industry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Wolfram Bergbau und Hütten AG</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Wolfram Company CJSC</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Woltech Korea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Xiamen Tungsten (H.C.)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Xiamen Tungsten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10"/>
        </w:trPr>
        <w:tc>
          <w:tcPr>
            <w:tcW w:w="69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Xinhai Rendan Shaoguan Tungsten Co., Ltd.</w:t>
            </w:r>
          </w:p>
        </w:tc>
        <w:tc>
          <w:tcPr>
            <w:tcW w:w="44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CFSP - Compliant</w:t>
            </w:r>
          </w:p>
        </w:tc>
        <w:tc>
          <w:tcPr>
            <w:tcW w:w="40" w:type="dxa"/>
            <w:vAlign w:val="bottom"/>
          </w:tcPr>
          <w:p>
            <w:pPr>
              <w:spacing w:after="0"/>
              <w:rPr>
                <w:sz w:val="18"/>
                <w:szCs w:val="18"/>
                <w:color w:val="auto"/>
              </w:rPr>
            </w:pPr>
          </w:p>
        </w:tc>
      </w:tr>
      <w:tr>
        <w:trPr>
          <w:trHeight w:val="206"/>
        </w:trPr>
        <w:tc>
          <w:tcPr>
            <w:tcW w:w="6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Zhuzhou Cemented Carbide Group Co Ltd</w:t>
            </w:r>
          </w:p>
        </w:tc>
        <w:tc>
          <w:tcPr>
            <w:tcW w:w="4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Certificate</w:t>
            </w:r>
          </w:p>
        </w:tc>
        <w:tc>
          <w:tcPr>
            <w:tcW w:w="40" w:type="dxa"/>
            <w:vAlign w:val="bottom"/>
          </w:tcPr>
          <w:p>
            <w:pPr>
              <w:spacing w:after="0"/>
              <w:rPr>
                <w:sz w:val="17"/>
                <w:szCs w:val="17"/>
                <w:color w:val="auto"/>
              </w:rPr>
            </w:pPr>
          </w:p>
        </w:tc>
      </w:tr>
      <w:tr>
        <w:trPr>
          <w:trHeight w:val="777"/>
        </w:trPr>
        <w:tc>
          <w:tcPr>
            <w:tcW w:w="69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6980" w:type="dxa"/>
            <w:vAlign w:val="bottom"/>
            <w:tcBorders>
              <w:left w:val="single" w:sz="8" w:color="808080"/>
              <w:right w:val="single" w:sz="8" w:color="808080"/>
            </w:tcBorders>
            <w:shd w:val="clear" w:color="auto" w:fill="808080"/>
          </w:tcPr>
          <w:p>
            <w:pPr>
              <w:spacing w:after="0"/>
              <w:rPr>
                <w:sz w:val="5"/>
                <w:szCs w:val="5"/>
                <w:color w:val="auto"/>
              </w:rPr>
            </w:pPr>
          </w:p>
        </w:tc>
        <w:tc>
          <w:tcPr>
            <w:tcW w:w="444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-6510655</wp:posOffset>
            </wp:positionV>
            <wp:extent cx="7229475"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-6219190</wp:posOffset>
            </wp:positionV>
            <wp:extent cx="7229475"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-5927090</wp:posOffset>
            </wp:positionV>
            <wp:extent cx="7229475"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-5635625</wp:posOffset>
            </wp:positionV>
            <wp:extent cx="7229475"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-5344160</wp:posOffset>
            </wp:positionV>
            <wp:extent cx="7229475" cy="146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-5052695</wp:posOffset>
            </wp:positionV>
            <wp:extent cx="7229475" cy="146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-4761230</wp:posOffset>
            </wp:positionV>
            <wp:extent cx="7229475"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-4469130</wp:posOffset>
            </wp:positionV>
            <wp:extent cx="7229475"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-4177665</wp:posOffset>
            </wp:positionV>
            <wp:extent cx="7229475"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-3886200</wp:posOffset>
            </wp:positionV>
            <wp:extent cx="7229475"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-3594735</wp:posOffset>
            </wp:positionV>
            <wp:extent cx="7229475"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-3303270</wp:posOffset>
            </wp:positionV>
            <wp:extent cx="7229475"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-3011805</wp:posOffset>
            </wp:positionV>
            <wp:extent cx="7229475" cy="146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-2719705</wp:posOffset>
            </wp:positionV>
            <wp:extent cx="7229475" cy="146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-2428240</wp:posOffset>
            </wp:positionV>
            <wp:extent cx="7229475" cy="146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-2136775</wp:posOffset>
            </wp:positionV>
            <wp:extent cx="7229475" cy="146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-1845310</wp:posOffset>
            </wp:positionV>
            <wp:extent cx="7229475" cy="146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-1553845</wp:posOffset>
            </wp:positionV>
            <wp:extent cx="7229475" cy="146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-1262380</wp:posOffset>
            </wp:positionV>
            <wp:extent cx="7229475"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-970280</wp:posOffset>
            </wp:positionV>
            <wp:extent cx="7229475"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-678815</wp:posOffset>
            </wp:positionV>
            <wp:extent cx="7229475"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ectPr>
          <w:pgSz w:w="11900" w:h="16838" w:orient="portrait"/>
          <w:cols w:equalWidth="0" w:num="1">
            <w:col w:w="11460"/>
          </w:cols>
          <w:pgMar w:left="240" w:top="575" w:right="19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Countries of Origin for the above listed SORs are believed to include:</w:t>
      </w:r>
    </w:p>
    <w:p>
      <w:pPr>
        <w:spacing w:after="0" w:line="225" w:lineRule="exact"/>
        <w:rPr>
          <w:sz w:val="20"/>
          <w:szCs w:val="20"/>
          <w:color w:val="auto"/>
        </w:rPr>
      </w:pPr>
    </w:p>
    <w:p>
      <w:pPr>
        <w:ind w:left="340" w:right="340"/>
        <w:spacing w:after="0" w:line="259" w:lineRule="auto"/>
        <w:rPr>
          <w:sz w:val="20"/>
          <w:szCs w:val="20"/>
          <w:color w:val="auto"/>
        </w:rPr>
      </w:pPr>
      <w:r>
        <w:rPr>
          <w:rFonts w:ascii="Arial" w:cs="Arial" w:eastAsia="Arial" w:hAnsi="Arial"/>
          <w:sz w:val="18"/>
          <w:szCs w:val="18"/>
          <w:color w:val="auto"/>
        </w:rPr>
        <w:t>Australia, Austria, Belgium, Bolivia, Brazil, Canada, Chile, China, Estonia, France, Germany, India, Indonesia, Italy, Japan, Kazakhstan, Republic of Korea, Kyrgyzstan, Malaysia, Mexico, Netherlands, New Zealand, Peru, Philippines, Poland, Russian Federation, Rwanda, Saudi Arabia, Singapore, South Africa, Spain, Sudan, Sweden, Switzerland, Taiwan, Thailand, Turkey, United Arab Emirates, United Kingdom, United States, Uzbekistan, Vietnam, and Zimbabwe</w:t>
      </w:r>
    </w:p>
    <w:p>
      <w:pPr>
        <w:spacing w:after="0" w:line="18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SOR Facility Description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SORs with indications of DRC/CC sourcing and their certification status.</w:t>
      </w:r>
    </w:p>
    <w:p>
      <w:pPr>
        <w:spacing w:after="0" w:line="216" w:lineRule="exact"/>
        <w:rPr>
          <w:sz w:val="20"/>
          <w:szCs w:val="20"/>
          <w:color w:val="auto"/>
        </w:rPr>
      </w:pPr>
    </w:p>
    <w:tbl>
      <w:tblPr>
        <w:tblLayout w:type="fixed"/>
        <w:tblInd w:w="30" w:type="dxa"/>
        <w:tblCellMar>
          <w:top w:w="0" w:type="dxa"/>
          <w:left w:w="0" w:type="dxa"/>
          <w:bottom w:w="0" w:type="dxa"/>
          <w:right w:w="0" w:type="dxa"/>
        </w:tblCellMar>
      </w:tblPr>
      <w:tr>
        <w:trPr>
          <w:trHeight w:val="233"/>
        </w:trPr>
        <w:tc>
          <w:tcPr>
            <w:tcW w:w="10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Metal</w:t>
            </w:r>
          </w:p>
        </w:tc>
        <w:tc>
          <w:tcPr>
            <w:tcW w:w="21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Smelter/Refiner</w:t>
            </w:r>
          </w:p>
        </w:tc>
        <w:tc>
          <w:tcPr>
            <w:tcW w:w="522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Certification Status</w:t>
            </w:r>
          </w:p>
        </w:tc>
        <w:tc>
          <w:tcPr>
            <w:tcW w:w="29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Mine Countries of Origin</w:t>
            </w:r>
          </w:p>
        </w:tc>
      </w:tr>
      <w:tr>
        <w:trPr>
          <w:trHeight w:val="224"/>
        </w:trPr>
        <w:tc>
          <w:tcPr>
            <w:tcW w:w="10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Tin</w:t>
            </w:r>
          </w:p>
        </w:tc>
        <w:tc>
          <w:tcPr>
            <w:tcW w:w="218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Phoenix Metal Ltd.</w:t>
            </w:r>
          </w:p>
        </w:tc>
        <w:tc>
          <w:tcPr>
            <w:tcW w:w="522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Active</w:t>
            </w:r>
            <w:r>
              <w:rPr>
                <w:rFonts w:ascii="Arial" w:cs="Arial" w:eastAsia="Arial" w:hAnsi="Arial"/>
                <w:sz w:val="18"/>
                <w:szCs w:val="18"/>
                <w:color w:val="auto"/>
              </w:rPr>
              <w:t>”</w:t>
            </w:r>
          </w:p>
        </w:tc>
        <w:tc>
          <w:tcPr>
            <w:tcW w:w="296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Rwanda</w:t>
            </w:r>
          </w:p>
        </w:tc>
      </w:tr>
      <w:tr>
        <w:trPr>
          <w:trHeight w:val="404"/>
        </w:trPr>
        <w:tc>
          <w:tcPr>
            <w:tcW w:w="1040" w:type="dxa"/>
            <w:vAlign w:val="bottom"/>
            <w:tcBorders>
              <w:left w:val="single" w:sz="8" w:color="auto"/>
              <w:right w:val="single" w:sz="8" w:color="auto"/>
            </w:tcBorders>
            <w:shd w:val="clear" w:color="auto" w:fill="CCEEFF"/>
          </w:tcPr>
          <w:p>
            <w:pPr>
              <w:spacing w:after="0"/>
              <w:rPr>
                <w:sz w:val="24"/>
                <w:szCs w:val="24"/>
                <w:color w:val="auto"/>
              </w:rPr>
            </w:pPr>
          </w:p>
        </w:tc>
        <w:tc>
          <w:tcPr>
            <w:tcW w:w="2180" w:type="dxa"/>
            <w:vAlign w:val="bottom"/>
            <w:tcBorders>
              <w:right w:val="single" w:sz="8" w:color="auto"/>
            </w:tcBorders>
            <w:shd w:val="clear" w:color="auto" w:fill="CCEEFF"/>
          </w:tcPr>
          <w:p>
            <w:pPr>
              <w:spacing w:after="0"/>
              <w:rPr>
                <w:sz w:val="24"/>
                <w:szCs w:val="24"/>
                <w:color w:val="auto"/>
              </w:rPr>
            </w:pPr>
          </w:p>
        </w:tc>
        <w:tc>
          <w:tcPr>
            <w:tcW w:w="522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1"/>
              </w:rPr>
              <w:t>Committed to undergo a Conflict Free Smelter Program (CFSP) audit</w:t>
            </w:r>
          </w:p>
        </w:tc>
        <w:tc>
          <w:tcPr>
            <w:tcW w:w="2960" w:type="dxa"/>
            <w:vAlign w:val="bottom"/>
            <w:tcBorders>
              <w:right w:val="single" w:sz="8" w:color="auto"/>
            </w:tcBorders>
            <w:shd w:val="clear" w:color="auto" w:fill="CCEEFF"/>
          </w:tcPr>
          <w:p>
            <w:pPr>
              <w:spacing w:after="0"/>
              <w:rPr>
                <w:sz w:val="24"/>
                <w:szCs w:val="24"/>
                <w:color w:val="auto"/>
              </w:rPr>
            </w:pPr>
          </w:p>
        </w:tc>
      </w:tr>
      <w:tr>
        <w:trPr>
          <w:trHeight w:val="216"/>
        </w:trPr>
        <w:tc>
          <w:tcPr>
            <w:tcW w:w="1040" w:type="dxa"/>
            <w:vAlign w:val="bottom"/>
            <w:tcBorders>
              <w:left w:val="single" w:sz="8" w:color="auto"/>
              <w:right w:val="single" w:sz="8" w:color="auto"/>
            </w:tcBorders>
            <w:shd w:val="clear" w:color="auto" w:fill="CCEEFF"/>
          </w:tcPr>
          <w:p>
            <w:pPr>
              <w:spacing w:after="0"/>
              <w:rPr>
                <w:sz w:val="18"/>
                <w:szCs w:val="18"/>
                <w:color w:val="auto"/>
              </w:rPr>
            </w:pPr>
          </w:p>
        </w:tc>
        <w:tc>
          <w:tcPr>
            <w:tcW w:w="2180" w:type="dxa"/>
            <w:vAlign w:val="bottom"/>
            <w:tcBorders>
              <w:right w:val="single" w:sz="8" w:color="auto"/>
            </w:tcBorders>
            <w:shd w:val="clear" w:color="auto" w:fill="CCEEFF"/>
          </w:tcPr>
          <w:p>
            <w:pPr>
              <w:spacing w:after="0"/>
              <w:rPr>
                <w:sz w:val="18"/>
                <w:szCs w:val="18"/>
                <w:color w:val="auto"/>
              </w:rPr>
            </w:pPr>
          </w:p>
        </w:tc>
        <w:tc>
          <w:tcPr>
            <w:tcW w:w="522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and have submitted signed Agreement for the Exchange of</w:t>
            </w:r>
          </w:p>
        </w:tc>
        <w:tc>
          <w:tcPr>
            <w:tcW w:w="2960" w:type="dxa"/>
            <w:vAlign w:val="bottom"/>
            <w:tcBorders>
              <w:right w:val="single" w:sz="8" w:color="auto"/>
            </w:tcBorders>
            <w:shd w:val="clear" w:color="auto" w:fill="CCEEFF"/>
          </w:tcPr>
          <w:p>
            <w:pPr>
              <w:spacing w:after="0"/>
              <w:rPr>
                <w:sz w:val="18"/>
                <w:szCs w:val="18"/>
                <w:color w:val="auto"/>
              </w:rPr>
            </w:pPr>
          </w:p>
        </w:tc>
      </w:tr>
      <w:tr>
        <w:trPr>
          <w:trHeight w:val="229"/>
        </w:trPr>
        <w:tc>
          <w:tcPr>
            <w:tcW w:w="104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2180" w:type="dxa"/>
            <w:vAlign w:val="bottom"/>
            <w:tcBorders>
              <w:bottom w:val="single" w:sz="8" w:color="auto"/>
              <w:right w:val="single" w:sz="8" w:color="auto"/>
            </w:tcBorders>
            <w:shd w:val="clear" w:color="auto" w:fill="CCEEFF"/>
          </w:tcPr>
          <w:p>
            <w:pPr>
              <w:spacing w:after="0"/>
              <w:rPr>
                <w:sz w:val="19"/>
                <w:szCs w:val="19"/>
                <w:color w:val="auto"/>
              </w:rPr>
            </w:pPr>
          </w:p>
        </w:tc>
        <w:tc>
          <w:tcPr>
            <w:tcW w:w="522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6"/>
              </w:rPr>
              <w:t>Confidential Information (AECI) and Auditee Agreement contracts.</w:t>
            </w:r>
          </w:p>
        </w:tc>
        <w:tc>
          <w:tcPr>
            <w:tcW w:w="2960" w:type="dxa"/>
            <w:vAlign w:val="bottom"/>
            <w:tcBorders>
              <w:bottom w:val="single" w:sz="8" w:color="auto"/>
              <w:right w:val="single" w:sz="8" w:color="auto"/>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those declaration responses provided at the company and user-defined level and non-specific to Civeo’s products, the presence of any particular smelter is not necessarily linked to the products that Civeo purchases and uses in its products, as thus, the information provided in such supplier responses was not at a product-level specific to the materials and components we use. As such, the identified SORs and countries of origin identified above have not been confirmed to be present in Civeo’s supply chain.</w:t>
      </w:r>
    </w:p>
    <w:p>
      <w:pPr>
        <w:spacing w:after="0" w:line="39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Design of Due Diligence Framework</w:t>
      </w:r>
    </w:p>
    <w:p>
      <w:pPr>
        <w:spacing w:after="0" w:line="229" w:lineRule="exact"/>
        <w:rPr>
          <w:sz w:val="20"/>
          <w:szCs w:val="20"/>
          <w:color w:val="auto"/>
        </w:rPr>
      </w:pPr>
    </w:p>
    <w:p>
      <w:pPr>
        <w:ind w:right="620"/>
        <w:spacing w:after="0" w:line="243" w:lineRule="auto"/>
        <w:rPr>
          <w:sz w:val="20"/>
          <w:szCs w:val="20"/>
          <w:color w:val="auto"/>
        </w:rPr>
      </w:pPr>
      <w:r>
        <w:rPr>
          <w:rFonts w:ascii="Arial" w:cs="Arial" w:eastAsia="Arial" w:hAnsi="Arial"/>
          <w:sz w:val="18"/>
          <w:szCs w:val="18"/>
          <w:color w:val="auto"/>
        </w:rPr>
        <w:t>Civeo’s due diligence process is designed in accordance with the Organization for Economic Cooperation and Development’s (OECD) Due Diligence Guidance for Responsible Supply Chains of Minerals from Conflict-Affected and High-Risk Areas and accompanying</w:t>
      </w:r>
    </w:p>
    <w:p>
      <w:pPr>
        <w:spacing w:after="0" w:line="2" w:lineRule="exact"/>
        <w:rPr>
          <w:sz w:val="20"/>
          <w:szCs w:val="20"/>
          <w:color w:val="auto"/>
        </w:rPr>
      </w:pPr>
    </w:p>
    <w:p>
      <w:pPr>
        <w:jc w:val="both"/>
        <w:ind w:right="480"/>
        <w:spacing w:after="0" w:line="180" w:lineRule="auto"/>
        <w:rPr>
          <w:sz w:val="20"/>
          <w:szCs w:val="20"/>
          <w:color w:val="auto"/>
        </w:rPr>
      </w:pPr>
      <w:r>
        <w:rPr>
          <w:rFonts w:ascii="Arial" w:cs="Arial" w:eastAsia="Arial" w:hAnsi="Arial"/>
          <w:sz w:val="18"/>
          <w:szCs w:val="18"/>
          <w:color w:val="auto"/>
        </w:rPr>
        <w:t>Supplements</w:t>
      </w:r>
      <w:r>
        <w:rPr>
          <w:rFonts w:ascii="Arial" w:cs="Arial" w:eastAsia="Arial" w:hAnsi="Arial"/>
          <w:sz w:val="30"/>
          <w:szCs w:val="30"/>
          <w:color w:val="auto"/>
          <w:vertAlign w:val="superscript"/>
        </w:rPr>
        <w:t>http://www.oecd.org/daf/inv/mne/GuidanceEdition2.pdf2</w:t>
      </w:r>
      <w:r>
        <w:rPr>
          <w:rFonts w:ascii="Arial" w:cs="Arial" w:eastAsia="Arial" w:hAnsi="Arial"/>
          <w:sz w:val="18"/>
          <w:szCs w:val="18"/>
          <w:color w:val="auto"/>
        </w:rPr>
        <w:t xml:space="preserve"> (collectively, the “OECD Guidance”). It is important to note that the OECD Guidance was written for both upstream</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and downstream</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companies in the supply chain. As Civeo is a downstream company in the supply chain, our due diligence practices were tailored accordingly.</w:t>
      </w:r>
    </w:p>
    <w:p>
      <w:pPr>
        <w:spacing w:after="0" w:line="203" w:lineRule="exact"/>
        <w:rPr>
          <w:sz w:val="20"/>
          <w:szCs w:val="20"/>
          <w:color w:val="auto"/>
        </w:rPr>
      </w:pPr>
    </w:p>
    <w:p>
      <w:pPr>
        <w:ind w:right="300" w:firstLine="8"/>
        <w:spacing w:after="0" w:line="182" w:lineRule="auto"/>
        <w:tabs>
          <w:tab w:leader="none" w:pos="135" w:val="left"/>
        </w:tabs>
        <w:numPr>
          <w:ilvl w:val="0"/>
          <w:numId w:val="11"/>
        </w:numPr>
        <w:rPr>
          <w:rFonts w:ascii="Arial" w:cs="Arial" w:eastAsia="Arial" w:hAnsi="Arial"/>
          <w:sz w:val="34"/>
          <w:szCs w:val="34"/>
          <w:color w:val="auto"/>
          <w:vertAlign w:val="superscript"/>
        </w:rPr>
      </w:pPr>
      <w:r>
        <w:rPr>
          <w:rFonts w:ascii="Arial" w:cs="Arial" w:eastAsia="Arial" w:hAnsi="Arial"/>
          <w:sz w:val="17"/>
          <w:szCs w:val="17"/>
          <w:color w:val="auto"/>
        </w:rPr>
        <w:t>OECD Due Diligence Guidance for Responsible Supply Chains of Minerals from Conflict-Affected and High-Risk Areas, Supplement on Tin, Tantalum and Tungsten and Supplement on Gold, 2013; http://www.oecd.org/daf/inv/mne/GuidanceEdition2.pdf.</w:t>
      </w:r>
    </w:p>
    <w:p>
      <w:pPr>
        <w:spacing w:after="0" w:line="1" w:lineRule="exact"/>
        <w:rPr>
          <w:rFonts w:ascii="Arial" w:cs="Arial" w:eastAsia="Arial" w:hAnsi="Arial"/>
          <w:sz w:val="34"/>
          <w:szCs w:val="34"/>
          <w:color w:val="auto"/>
          <w:vertAlign w:val="superscript"/>
        </w:rPr>
      </w:pPr>
    </w:p>
    <w:p>
      <w:pPr>
        <w:ind w:right="600"/>
        <w:spacing w:after="0" w:line="180" w:lineRule="auto"/>
        <w:rPr>
          <w:rFonts w:ascii="Arial" w:cs="Arial" w:eastAsia="Arial" w:hAnsi="Arial"/>
          <w:sz w:val="34"/>
          <w:szCs w:val="34"/>
          <w:color w:val="auto"/>
          <w:vertAlign w:val="superscript"/>
        </w:rPr>
      </w:pPr>
      <w:r>
        <w:rPr>
          <w:rFonts w:ascii="Arial" w:cs="Arial" w:eastAsia="Arial" w:hAnsi="Arial"/>
          <w:sz w:val="33"/>
          <w:szCs w:val="33"/>
          <w:color w:val="auto"/>
          <w:vertAlign w:val="superscript"/>
        </w:rPr>
        <w:t>3</w:t>
      </w:r>
      <w:r>
        <w:rPr>
          <w:rFonts w:ascii="Arial" w:cs="Arial" w:eastAsia="Arial" w:hAnsi="Arial"/>
          <w:sz w:val="17"/>
          <w:szCs w:val="17"/>
          <w:color w:val="auto"/>
        </w:rPr>
        <w:t xml:space="preserve"> Upstream companies refer to those between the mine and SOR. As such, the companies typically include miners, local traders, or exporters from the country of mineral origin, international concentrate traders and SORs.</w:t>
      </w:r>
    </w:p>
    <w:p>
      <w:pPr>
        <w:ind w:right="660"/>
        <w:spacing w:after="0" w:line="180" w:lineRule="auto"/>
        <w:rPr>
          <w:rFonts w:ascii="Arial" w:cs="Arial" w:eastAsia="Arial" w:hAnsi="Arial"/>
          <w:sz w:val="34"/>
          <w:szCs w:val="34"/>
          <w:color w:val="auto"/>
          <w:vertAlign w:val="superscript"/>
        </w:rPr>
      </w:pPr>
      <w:r>
        <w:rPr>
          <w:rFonts w:ascii="Arial" w:cs="Arial" w:eastAsia="Arial" w:hAnsi="Arial"/>
          <w:sz w:val="33"/>
          <w:szCs w:val="33"/>
          <w:color w:val="auto"/>
          <w:vertAlign w:val="superscript"/>
        </w:rPr>
        <w:t>4</w:t>
      </w:r>
      <w:r>
        <w:rPr>
          <w:rFonts w:ascii="Arial" w:cs="Arial" w:eastAsia="Arial" w:hAnsi="Arial"/>
          <w:sz w:val="17"/>
          <w:szCs w:val="17"/>
          <w:color w:val="auto"/>
        </w:rPr>
        <w:t xml:space="preserve"> Downstream companies refer to those entities between the SOR and retailer. As such, the companies typically include metal traders and exchanges, component manufacturers, product manufacturers, original equipment manufacturers (OEMs) and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495935</wp:posOffset>
            </wp:positionV>
            <wp:extent cx="726757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-847725</wp:posOffset>
            </wp:positionV>
            <wp:extent cx="16573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65735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Measures Performed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Due Diligence measures undertaken by Civeo included the following:</w:t>
      </w:r>
    </w:p>
    <w:p>
      <w:pPr>
        <w:spacing w:after="0" w:line="23" w:lineRule="exact"/>
        <w:rPr>
          <w:sz w:val="20"/>
          <w:szCs w:val="20"/>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Maintained current the Company’s Conflict Minerals Policy. The Conflict Minerals Policy is publicly available at https://www.civeo.com ;</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Assembled an internal team to support supply chain due diligence;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Established a system of controls and transparency over the mineral supply chain;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Implemented internal measures to strengthen company engagement with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Included an internal grievance mechanism in the Conflict Minerals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and implemented a strategy to respond to supply chain risks;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Implemented a risk management plan, monitored and tracked risk mitigation, reported to Senior Civeo Supply Chain Management and evaluated supplier partnerships; and</w:t>
      </w:r>
    </w:p>
    <w:p>
      <w:pPr>
        <w:ind w:left="660" w:right="1400" w:hanging="328"/>
        <w:spacing w:after="0" w:line="261"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Reported Annually on Supply Chain Due Diligence. This CMR and the Form SD to which it is an exhibit are publicly available at </w:t>
      </w:r>
      <w:r>
        <w:rPr>
          <w:rFonts w:ascii="Arial" w:cs="Arial" w:eastAsia="Arial" w:hAnsi="Arial"/>
          <w:sz w:val="18"/>
          <w:szCs w:val="18"/>
          <w:u w:val="single" w:color="auto"/>
          <w:color w:val="auto"/>
        </w:rPr>
        <w:t>http://ir.civeo.com/sec.cfm</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Steps to Improve Due Diligence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Civeo will endeavor to continuously improve upon supply chain due diligence efforts via the following measures:</w:t>
      </w:r>
    </w:p>
    <w:p>
      <w:pPr>
        <w:spacing w:after="0" w:line="23" w:lineRule="exact"/>
        <w:rPr>
          <w:sz w:val="20"/>
          <w:szCs w:val="20"/>
          <w:color w:val="auto"/>
        </w:rPr>
      </w:pP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Continue to assess the presence of 3TG in the supply chain;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Clearly communicate expectations with regard to supplier performance, transparency and sourcing;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Increase supplier response rate for RCOI process;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Increase supplier rate of product specificity for RCOI process;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Increase the rate in which Civeo addresses issues including implausible statements regarding no presence of 3TG and incomplete data on EICC-GeSI Templates regarding scrap and recycled sources;</w:t>
      </w:r>
    </w:p>
    <w:p>
      <w:pPr>
        <w:ind w:left="660" w:right="560" w:hanging="328"/>
        <w:spacing w:after="0" w:line="250"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Continue to compare RCOI results to information collected via independent conflict free smelter validation programs, such as the EICC/GeSI Conflict Free Smelter Program;</w:t>
      </w:r>
    </w:p>
    <w:p>
      <w:pPr>
        <w:ind w:left="660" w:right="40" w:hanging="328"/>
        <w:spacing w:after="0" w:line="250"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Engage with SORs to obtain mine of origin and transit routes and assess whether SORs have carried out all elements of due diligence for responsible supply chains of minerals from conflict-affected and high-risk areas;</w:t>
      </w: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Undertake additional fact and risk assessments for risks requiring mitigation, or after a change of circumstances; and</w:t>
      </w:r>
    </w:p>
    <w:p>
      <w:pPr>
        <w:spacing w:after="0" w:line="9" w:lineRule="exact"/>
        <w:rPr>
          <w:rFonts w:ascii="Arial" w:cs="Arial" w:eastAsia="Arial" w:hAnsi="Arial"/>
          <w:sz w:val="18"/>
          <w:szCs w:val="18"/>
          <w:color w:val="auto"/>
        </w:rPr>
      </w:pPr>
    </w:p>
    <w:p>
      <w:pPr>
        <w:ind w:left="660" w:right="460" w:hanging="328"/>
        <w:spacing w:after="0" w:line="261"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Provide continuing education to members of our Conflict Minerals Compliance team, as well as employees who are involved with supplier and customer contact related to Conflict Minerals compliance.</w:t>
      </w:r>
    </w:p>
    <w:p>
      <w:pPr>
        <w:spacing w:after="0" w:line="183" w:lineRule="exact"/>
        <w:rPr>
          <w:rFonts w:ascii="Arial" w:cs="Arial" w:eastAsia="Arial" w:hAnsi="Arial"/>
          <w:sz w:val="18"/>
          <w:szCs w:val="18"/>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Inherent Limitations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Civeo is a downstream user of 3TG, we must rely on the representations and information provided by our suppliers and other third parties within our supply chain. As a result, incomplete or inaccurate information provided by the suppliers or by a SOR could affect the accuracy or completeness of the information set forth below or other information contained in this CMR.</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Note also that many suppliers provided responses with SOR information based on a company or divisional level, rather than a product-level specific to the materials and components we use. As such, Civeo is unable to confirm all SORs in its supply chain for the Reporting Period.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lowerLetter"/>
      <w:start w:val="1"/>
    </w:lvl>
    <w:lvl w:ilvl="1">
      <w:lvlJc w:val="left"/>
      <w:lvlText w:val="%2)"/>
      <w:numFmt w:val="lowerLetter"/>
      <w:start w:val="2"/>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4"/>
    </w:lvl>
  </w:abstractNum>
  <w:abstractNum w:abstractNumId="9">
    <w:nsid w:val="66EF438D"/>
    <w:multiLevelType w:val="hybridMultilevel"/>
    <w:lvl w:ilvl="0">
      <w:lvlJc w:val="left"/>
      <w:lvlText w:val="%1."/>
      <w:numFmt w:val="decimal"/>
      <w:start w:val="5"/>
    </w:lvl>
  </w:abstractNum>
  <w:abstractNum w:abstractNumId="10">
    <w:nsid w:val="140E0F76"/>
    <w:multiLevelType w:val="hybridMultilevel"/>
    <w:lvl w:ilvl="0">
      <w:lvlJc w:val="left"/>
      <w:lvlText w:val="2"/>
      <w:numFmt w:val="bullet"/>
      <w:start w:val="1"/>
    </w:lvl>
  </w:abstractNum>
  <w:abstractNum w:abstractNumId="11">
    <w:nsid w:val="3352255A"/>
    <w:multiLevelType w:val="hybridMultilevel"/>
    <w:lvl w:ilvl="0">
      <w:lvlJc w:val="left"/>
      <w:lvlText w:val="%1."/>
      <w:numFmt w:val="decimal"/>
      <w:start w:val="6"/>
    </w:lvl>
  </w:abstractNum>
  <w:abstractNum w:abstractNumId="12">
    <w:nsid w:val="109CF92E"/>
    <w:multiLevelType w:val="hybridMultilevel"/>
    <w:lvl w:ilvl="0">
      <w:lvlJc w:val="left"/>
      <w:lvlText w:val="%1."/>
      <w:numFmt w:val="decimal"/>
      <w:start w:val="6"/>
    </w:lvl>
    <w:lvl w:ilvl="1">
      <w:lvlJc w:val="left"/>
      <w:lvlText w:val="●"/>
      <w:numFmt w:val="bullet"/>
      <w:start w:val="1"/>
    </w:lvl>
  </w:abstractNum>
  <w:abstractNum w:abstractNumId="13">
    <w:nsid w:val="DED7263"/>
    <w:multiLevelType w:val="hybridMultilevel"/>
    <w:lvl w:ilvl="0">
      <w:lvlJc w:val="left"/>
      <w:lvlText w:val="%1."/>
      <w:numFmt w:val="decimal"/>
      <w:start w:val="7"/>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2019-12-09T00:33:00Z</dcterms:created>
  <dcterms:modified xsi:type="dcterms:W3CDTF">2019-12-09T00:33:00Z</dcterms:modified>
</cp:coreProperties>
</file>