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8"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9" w:lineRule="exact"/>
        <w:rPr>
          <w:sz w:val="24"/>
          <w:szCs w:val="24"/>
          <w:color w:val="auto"/>
        </w:rPr>
      </w:pPr>
    </w:p>
    <w:p>
      <w:pPr>
        <w:ind w:left="38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-240030</wp:posOffset>
            </wp:positionV>
            <wp:extent cx="134620" cy="134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 cy="1346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1"/>
        </w:trPr>
        <w:tc>
          <w:tcPr>
            <w:tcW w:w="6520" w:type="dxa"/>
            <w:vAlign w:val="bottom"/>
          </w:tcPr>
          <w:p>
            <w:pPr>
              <w:jc w:val="center"/>
              <w:ind w:right="21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jc w:val="center"/>
              <w:ind w:right="234"/>
              <w:spacing w:after="0" w:line="140"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20" w:type="dxa"/>
            <w:vAlign w:val="bottom"/>
            <w:vMerge w:val="restart"/>
          </w:tcPr>
          <w:p>
            <w:pPr>
              <w:jc w:val="center"/>
              <w:ind w:right="234"/>
              <w:spacing w:after="0" w:line="194"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3"/>
        </w:trPr>
        <w:tc>
          <w:tcPr>
            <w:tcW w:w="6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6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6"/>
        </w:trPr>
        <w:tc>
          <w:tcPr>
            <w:tcW w:w="6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6"/>
        </w:trPr>
        <w:tc>
          <w:tcPr>
            <w:tcW w:w="6520" w:type="dxa"/>
            <w:vAlign w:val="bottom"/>
            <w:vMerge w:val="restart"/>
          </w:tcPr>
          <w:p>
            <w:pPr>
              <w:jc w:val="center"/>
              <w:ind w:right="21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5458460</wp:posOffset>
            </wp:positionH>
            <wp:positionV relativeFrom="paragraph">
              <wp:posOffset>-644525</wp:posOffset>
            </wp:positionV>
            <wp:extent cx="59055" cy="6578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7860"/>
                    </a:xfrm>
                    <a:prstGeom prst="rect">
                      <a:avLst/>
                    </a:prstGeom>
                    <a:noFill/>
                  </pic:spPr>
                </pic:pic>
              </a:graphicData>
            </a:graphic>
          </wp:anchor>
        </w:drawing>
        <w:drawing>
          <wp:anchor simplePos="0" relativeHeight="251657728" behindDoc="1" locked="0" layoutInCell="0" allowOverlap="1">
            <wp:simplePos x="0" y="0"/>
            <wp:positionH relativeFrom="column">
              <wp:posOffset>4126230</wp:posOffset>
            </wp:positionH>
            <wp:positionV relativeFrom="paragraph">
              <wp:posOffset>-644525</wp:posOffset>
            </wp:positionV>
            <wp:extent cx="59055" cy="6578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786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19050</wp:posOffset>
            </wp:positionV>
            <wp:extent cx="7324090" cy="4610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4610735"/>
                    </a:xfrm>
                    <a:prstGeom prst="rect">
                      <a:avLst/>
                    </a:prstGeom>
                    <a:noFill/>
                  </pic:spPr>
                </pic:pic>
              </a:graphicData>
            </a:graphic>
          </wp:anchor>
        </w:drawing>
      </w:r>
    </w:p>
    <w:p>
      <w:pPr>
        <w:spacing w:after="0" w:line="99" w:lineRule="exact"/>
        <w:rPr>
          <w:sz w:val="24"/>
          <w:szCs w:val="24"/>
          <w:color w:val="auto"/>
        </w:rPr>
      </w:pPr>
    </w:p>
    <w:p>
      <w:pPr>
        <w:sectPr>
          <w:pgSz w:w="11900" w:h="16838" w:orient="portrait"/>
          <w:cols w:equalWidth="0" w:num="2">
            <w:col w:w="2340" w:space="360"/>
            <w:col w:w="8820"/>
          </w:cols>
          <w:pgMar w:left="240" w:top="224"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Steininger Frank</w:t>
        </w:r>
      </w:hyperlink>
    </w:p>
    <w:p>
      <w:pPr>
        <w:spacing w:after="0" w:line="319"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8"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333 CLAY STREET, SUITE 4980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Civeo Corp</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CVEO</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1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02/11/2015</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10" w:right="680" w:hanging="10"/>
        <w:spacing w:after="0" w:line="251" w:lineRule="auto"/>
        <w:tabs>
          <w:tab w:leader="none" w:pos="157"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9" w:lineRule="exact"/>
        <w:rPr>
          <w:sz w:val="24"/>
          <w:szCs w:val="24"/>
          <w:color w:val="auto"/>
        </w:rPr>
      </w:pPr>
    </w:p>
    <w:tbl>
      <w:tblPr>
        <w:tblLayout w:type="fixed"/>
        <w:tblInd w:w="210" w:type="dxa"/>
        <w:tblCellMar>
          <w:top w:w="0" w:type="dxa"/>
          <w:left w:w="0" w:type="dxa"/>
          <w:bottom w:w="0" w:type="dxa"/>
          <w:right w:w="0" w:type="dxa"/>
        </w:tblCellMar>
      </w:tblPr>
      <w:tr>
        <w:trPr>
          <w:trHeight w:val="160"/>
        </w:trPr>
        <w:tc>
          <w:tcPr>
            <w:tcW w:w="220" w:type="dxa"/>
            <w:vAlign w:val="bottom"/>
          </w:tcPr>
          <w:p>
            <w:pPr>
              <w:spacing w:after="0"/>
              <w:rPr>
                <w:sz w:val="13"/>
                <w:szCs w:val="13"/>
                <w:color w:val="auto"/>
              </w:rPr>
            </w:pPr>
          </w:p>
        </w:tc>
        <w:tc>
          <w:tcPr>
            <w:tcW w:w="140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8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5"/>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80" w:type="dxa"/>
            <w:vAlign w:val="bottom"/>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40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1190"/>
        <w:spacing w:after="0"/>
        <w:rPr>
          <w:sz w:val="20"/>
          <w:szCs w:val="20"/>
          <w:color w:val="auto"/>
        </w:rPr>
      </w:pPr>
      <w:r>
        <w:rPr>
          <w:rFonts w:ascii="Arial" w:cs="Arial" w:eastAsia="Arial" w:hAnsi="Arial"/>
          <w:sz w:val="17"/>
          <w:szCs w:val="17"/>
          <w:color w:val="0000FF"/>
        </w:rPr>
        <w:t>See Remarks</w:t>
      </w:r>
    </w:p>
    <w:p>
      <w:pPr>
        <w:spacing w:after="0" w:line="326" w:lineRule="exact"/>
        <w:rPr>
          <w:sz w:val="24"/>
          <w:szCs w:val="24"/>
          <w:color w:val="auto"/>
        </w:rPr>
      </w:pPr>
    </w:p>
    <w:p>
      <w:pPr>
        <w:sectPr>
          <w:pgSz w:w="11900" w:h="16838" w:orient="portrait"/>
          <w:cols w:equalWidth="0" w:num="3">
            <w:col w:w="3340" w:space="720"/>
            <w:col w:w="3270" w:space="720"/>
            <w:col w:w="3470"/>
          </w:cols>
          <w:pgMar w:left="240" w:top="224" w:right="139" w:bottom="144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60"/>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3"/>
                <w:szCs w:val="13"/>
                <w:color w:val="auto"/>
              </w:rPr>
            </w:pPr>
          </w:p>
        </w:tc>
        <w:tc>
          <w:tcPr>
            <w:tcW w:w="1660" w:type="dxa"/>
            <w:vAlign w:val="bottom"/>
          </w:tcPr>
          <w:p>
            <w:pPr>
              <w:spacing w:after="0"/>
              <w:rPr>
                <w:sz w:val="13"/>
                <w:szCs w:val="13"/>
                <w:color w:val="auto"/>
              </w:rPr>
            </w:pPr>
          </w:p>
        </w:tc>
      </w:tr>
      <w:tr>
        <w:trPr>
          <w:trHeight w:val="238"/>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Arial" w:cs="Arial" w:eastAsia="Arial" w:hAnsi="Arial"/>
                <w:sz w:val="17"/>
                <w:szCs w:val="17"/>
                <w:color w:val="0000FF"/>
              </w:rPr>
              <w:t>HOUSTON</w:t>
            </w:r>
          </w:p>
        </w:tc>
        <w:tc>
          <w:tcPr>
            <w:tcW w:w="1060" w:type="dxa"/>
            <w:vAlign w:val="bottom"/>
          </w:tcPr>
          <w:p>
            <w:pPr>
              <w:ind w:left="220"/>
              <w:spacing w:after="0"/>
              <w:rPr>
                <w:sz w:val="20"/>
                <w:szCs w:val="20"/>
                <w:color w:val="auto"/>
              </w:rPr>
            </w:pPr>
            <w:r>
              <w:rPr>
                <w:rFonts w:ascii="Arial" w:cs="Arial" w:eastAsia="Arial" w:hAnsi="Arial"/>
                <w:sz w:val="17"/>
                <w:szCs w:val="17"/>
                <w:color w:val="0000FF"/>
              </w:rPr>
              <w:t>TX</w:t>
            </w:r>
          </w:p>
        </w:tc>
        <w:tc>
          <w:tcPr>
            <w:tcW w:w="1660" w:type="dxa"/>
            <w:vAlign w:val="bottom"/>
          </w:tcPr>
          <w:p>
            <w:pPr>
              <w:ind w:left="440"/>
              <w:spacing w:after="0"/>
              <w:rPr>
                <w:sz w:val="20"/>
                <w:szCs w:val="20"/>
                <w:color w:val="auto"/>
              </w:rPr>
            </w:pPr>
            <w:r>
              <w:rPr>
                <w:rFonts w:ascii="Arial" w:cs="Arial" w:eastAsia="Arial" w:hAnsi="Arial"/>
                <w:sz w:val="17"/>
                <w:szCs w:val="17"/>
                <w:color w:val="0000FF"/>
              </w:rPr>
              <w:t>77002</w:t>
            </w:r>
          </w:p>
        </w:tc>
      </w:tr>
      <w:tr>
        <w:trPr>
          <w:trHeight w:val="154"/>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60" w:type="dxa"/>
            <w:vAlign w:val="bottom"/>
            <w:tcBorders>
              <w:bottom w:val="single" w:sz="8" w:color="9A9A9A"/>
            </w:tcBorders>
          </w:tcPr>
          <w:p>
            <w:pPr>
              <w:spacing w:after="0"/>
              <w:rPr>
                <w:sz w:val="13"/>
                <w:szCs w:val="13"/>
                <w:color w:val="auto"/>
              </w:rPr>
            </w:pPr>
          </w:p>
        </w:tc>
      </w:tr>
      <w:tr>
        <w:trPr>
          <w:trHeight w:val="305"/>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1060" w:type="dxa"/>
            <w:vAlign w:val="bottom"/>
          </w:tcPr>
          <w:p>
            <w:pPr>
              <w:ind w:left="220"/>
              <w:spacing w:after="0"/>
              <w:rPr>
                <w:sz w:val="20"/>
                <w:szCs w:val="20"/>
                <w:color w:val="auto"/>
              </w:rPr>
            </w:pPr>
            <w:r>
              <w:rPr>
                <w:rFonts w:ascii="Arial" w:cs="Arial" w:eastAsia="Arial" w:hAnsi="Arial"/>
                <w:sz w:val="13"/>
                <w:szCs w:val="13"/>
                <w:color w:val="auto"/>
              </w:rPr>
              <w:t>(State)</w:t>
            </w:r>
          </w:p>
        </w:tc>
        <w:tc>
          <w:tcPr>
            <w:tcW w:w="166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8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4000"/>
        <w:spacing w:after="0"/>
        <w:rPr>
          <w:sz w:val="20"/>
          <w:szCs w:val="20"/>
          <w:color w:val="auto"/>
        </w:rPr>
      </w:pPr>
      <w:r>
        <w:rPr>
          <w:rFonts w:ascii="Arial" w:cs="Arial" w:eastAsia="Arial" w:hAnsi="Arial"/>
          <w:sz w:val="13"/>
          <w:szCs w:val="13"/>
          <w:color w:val="auto"/>
        </w:rPr>
        <w:t>Line)</w:t>
      </w:r>
    </w:p>
    <w:p>
      <w:pPr>
        <w:ind w:left="4200"/>
        <w:spacing w:after="0" w:line="231" w:lineRule="auto"/>
        <w:tabs>
          <w:tab w:leader="none" w:pos="45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0" w:lineRule="exact"/>
        <w:rPr>
          <w:sz w:val="24"/>
          <w:szCs w:val="24"/>
          <w:color w:val="auto"/>
        </w:rPr>
      </w:pPr>
    </w:p>
    <w:p>
      <w:pPr>
        <w:ind w:left="4540"/>
        <w:spacing w:after="0"/>
        <w:rPr>
          <w:sz w:val="20"/>
          <w:szCs w:val="20"/>
          <w:color w:val="auto"/>
        </w:rPr>
      </w:pPr>
      <w:r>
        <w:rPr>
          <w:rFonts w:ascii="Arial" w:cs="Arial" w:eastAsia="Arial" w:hAnsi="Arial"/>
          <w:sz w:val="13"/>
          <w:szCs w:val="13"/>
          <w:color w:val="auto"/>
        </w:rPr>
        <w:t>Form filed by More than One Reporting</w:t>
      </w:r>
    </w:p>
    <w:p>
      <w:pPr>
        <w:ind w:left="4540"/>
        <w:spacing w:after="0"/>
        <w:rPr>
          <w:sz w:val="20"/>
          <w:szCs w:val="20"/>
          <w:color w:val="auto"/>
        </w:rPr>
      </w:pPr>
      <w:r>
        <w:rPr>
          <w:rFonts w:ascii="Arial" w:cs="Arial" w:eastAsia="Arial" w:hAnsi="Arial"/>
          <w:sz w:val="13"/>
          <w:szCs w:val="13"/>
          <w:color w:val="auto"/>
        </w:rPr>
        <w:t>Person</w:t>
      </w:r>
    </w:p>
    <w:p>
      <w:pPr>
        <w:spacing w:after="0" w:line="310" w:lineRule="exact"/>
        <w:rPr>
          <w:sz w:val="24"/>
          <w:szCs w:val="24"/>
          <w:color w:val="auto"/>
        </w:rPr>
      </w:pPr>
    </w:p>
    <w:p>
      <w:pPr>
        <w:sectPr>
          <w:pgSz w:w="11900" w:h="16838" w:orient="portrait"/>
          <w:cols w:equalWidth="0" w:num="2">
            <w:col w:w="3900" w:space="160"/>
            <w:col w:w="7460"/>
          </w:cols>
          <w:pgMar w:left="240" w:top="224"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5"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20" w:type="dxa"/>
            <w:vAlign w:val="bottom"/>
            <w:gridSpan w:val="2"/>
          </w:tcPr>
          <w:p>
            <w:pPr>
              <w:ind w:left="860"/>
              <w:spacing w:after="0"/>
              <w:rPr>
                <w:sz w:val="20"/>
                <w:szCs w:val="20"/>
                <w:color w:val="auto"/>
              </w:rPr>
            </w:pPr>
            <w:r>
              <w:rPr>
                <w:rFonts w:ascii="Arial" w:cs="Arial" w:eastAsia="Arial" w:hAnsi="Arial"/>
                <w:sz w:val="12"/>
                <w:szCs w:val="12"/>
                <w:b w:val="1"/>
                <w:bCs w:val="1"/>
                <w:color w:val="auto"/>
              </w:rPr>
              <w:t>2. Transaction</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w w:val="98"/>
              </w:rPr>
              <w:t>2A. Deemed</w:t>
            </w:r>
          </w:p>
        </w:tc>
        <w:tc>
          <w:tcPr>
            <w:tcW w:w="300" w:type="dxa"/>
            <w:vAlign w:val="bottom"/>
          </w:tcPr>
          <w:p>
            <w:pPr>
              <w:spacing w:after="0"/>
              <w:rPr>
                <w:sz w:val="13"/>
                <w:szCs w:val="13"/>
                <w:color w:val="auto"/>
              </w:rPr>
            </w:pP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3"/>
                <w:szCs w:val="13"/>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ind w:left="860"/>
              <w:spacing w:after="0" w:line="130" w:lineRule="exact"/>
              <w:rPr>
                <w:sz w:val="20"/>
                <w:szCs w:val="20"/>
                <w:color w:val="auto"/>
              </w:rPr>
            </w:pPr>
            <w:r>
              <w:rPr>
                <w:rFonts w:ascii="Arial" w:cs="Arial" w:eastAsia="Arial" w:hAnsi="Arial"/>
                <w:sz w:val="12"/>
                <w:szCs w:val="12"/>
                <w:b w:val="1"/>
                <w:bCs w:val="1"/>
                <w:color w:val="auto"/>
                <w:w w:val="99"/>
              </w:rPr>
              <w:t>Date</w:t>
            </w:r>
          </w:p>
        </w:tc>
        <w:tc>
          <w:tcPr>
            <w:tcW w:w="780" w:type="dxa"/>
            <w:vAlign w:val="bottom"/>
          </w:tcPr>
          <w:p>
            <w:pPr>
              <w:spacing w:after="0"/>
              <w:rPr>
                <w:sz w:val="11"/>
                <w:szCs w:val="11"/>
                <w:color w:val="auto"/>
              </w:rPr>
            </w:pPr>
          </w:p>
        </w:tc>
        <w:tc>
          <w:tcPr>
            <w:tcW w:w="10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Transaction</w:t>
            </w:r>
          </w:p>
        </w:tc>
        <w:tc>
          <w:tcPr>
            <w:tcW w:w="1980" w:type="dxa"/>
            <w:vAlign w:val="bottom"/>
            <w:gridSpan w:val="5"/>
          </w:tcPr>
          <w:p>
            <w:pPr>
              <w:ind w:left="100"/>
              <w:spacing w:after="0" w:line="130" w:lineRule="exact"/>
              <w:rPr>
                <w:sz w:val="20"/>
                <w:szCs w:val="20"/>
                <w:color w:val="auto"/>
              </w:rPr>
            </w:pPr>
            <w:r>
              <w:rPr>
                <w:rFonts w:ascii="Arial" w:cs="Arial" w:eastAsia="Arial" w:hAnsi="Arial"/>
                <w:sz w:val="12"/>
                <w:szCs w:val="12"/>
                <w:b w:val="1"/>
                <w:bCs w:val="1"/>
                <w:color w:val="auto"/>
                <w:w w:val="98"/>
              </w:rPr>
              <w:t>Disposed Of (D) (Instr. 3, 4 and 5)</w:t>
            </w:r>
          </w:p>
        </w:tc>
        <w:tc>
          <w:tcPr>
            <w:tcW w:w="60" w:type="dxa"/>
            <w:vAlign w:val="bottom"/>
          </w:tcPr>
          <w:p>
            <w:pPr>
              <w:spacing w:after="0"/>
              <w:rPr>
                <w:sz w:val="11"/>
                <w:szCs w:val="11"/>
                <w:color w:val="auto"/>
              </w:rPr>
            </w:pPr>
          </w:p>
        </w:tc>
        <w:tc>
          <w:tcPr>
            <w:tcW w:w="66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920" w:type="dxa"/>
            <w:vAlign w:val="bottom"/>
            <w:gridSpan w:val="2"/>
          </w:tcPr>
          <w:p>
            <w:pPr>
              <w:ind w:left="860"/>
              <w:spacing w:after="0" w:line="133"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4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1"/>
                <w:szCs w:val="11"/>
                <w:color w:val="auto"/>
              </w:rPr>
            </w:pPr>
          </w:p>
        </w:tc>
        <w:tc>
          <w:tcPr>
            <w:tcW w:w="580" w:type="dxa"/>
            <w:vAlign w:val="bottom"/>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80" w:type="dxa"/>
            <w:vAlign w:val="bottom"/>
          </w:tcPr>
          <w:p>
            <w:pPr>
              <w:spacing w:after="0"/>
              <w:rPr>
                <w:sz w:val="7"/>
                <w:szCs w:val="7"/>
                <w:color w:val="auto"/>
              </w:rPr>
            </w:pPr>
          </w:p>
        </w:tc>
        <w:tc>
          <w:tcPr>
            <w:tcW w:w="74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92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5"/>
        </w:trPr>
        <w:tc>
          <w:tcPr>
            <w:tcW w:w="2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Borders>
              <w:bottom w:val="single" w:sz="8" w:color="2C2C2C"/>
            </w:tcBorders>
          </w:tcPr>
          <w:p>
            <w:pPr>
              <w:spacing w:after="0"/>
              <w:rPr>
                <w:sz w:val="24"/>
                <w:szCs w:val="24"/>
                <w:color w:val="auto"/>
              </w:rPr>
            </w:pPr>
          </w:p>
        </w:tc>
        <w:tc>
          <w:tcPr>
            <w:tcW w:w="1920" w:type="dxa"/>
            <w:vAlign w:val="bottom"/>
            <w:tcBorders>
              <w:bottom w:val="single" w:sz="8" w:color="2C2C2C"/>
            </w:tcBorders>
            <w:gridSpan w:val="2"/>
          </w:tcPr>
          <w:p>
            <w:pPr>
              <w:ind w:left="960"/>
              <w:spacing w:after="0"/>
              <w:rPr>
                <w:sz w:val="20"/>
                <w:szCs w:val="20"/>
                <w:color w:val="auto"/>
              </w:rPr>
            </w:pPr>
            <w:r>
              <w:rPr>
                <w:rFonts w:ascii="Arial" w:cs="Arial" w:eastAsia="Arial" w:hAnsi="Arial"/>
                <w:sz w:val="17"/>
                <w:szCs w:val="17"/>
                <w:color w:val="0000FF"/>
              </w:rPr>
              <w:t>02/11/2015</w:t>
            </w:r>
          </w:p>
        </w:tc>
        <w:tc>
          <w:tcPr>
            <w:tcW w:w="74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800" w:type="dxa"/>
            <w:vAlign w:val="bottom"/>
            <w:tcBorders>
              <w:bottom w:val="single" w:sz="8" w:color="2C2C2C"/>
            </w:tcBorders>
            <w:gridSpan w:val="2"/>
          </w:tcPr>
          <w:p>
            <w:pPr>
              <w:ind w:left="160"/>
              <w:spacing w:after="0"/>
              <w:rPr>
                <w:sz w:val="20"/>
                <w:szCs w:val="20"/>
                <w:color w:val="auto"/>
              </w:rPr>
            </w:pPr>
            <w:r>
              <w:rPr>
                <w:rFonts w:ascii="Arial" w:cs="Arial" w:eastAsia="Arial" w:hAnsi="Arial"/>
                <w:sz w:val="17"/>
                <w:szCs w:val="17"/>
                <w:color w:val="0000FF"/>
                <w:w w:val="88"/>
              </w:rPr>
              <w:t>96,953</w:t>
            </w:r>
            <w:r>
              <w:rPr>
                <w:rFonts w:ascii="Arial" w:cs="Arial" w:eastAsia="Arial" w:hAnsi="Arial"/>
                <w:sz w:val="22"/>
                <w:szCs w:val="22"/>
                <w:color w:val="008000"/>
                <w:w w:val="88"/>
                <w:vertAlign w:val="superscript"/>
              </w:rPr>
              <w:t>(1)</w:t>
            </w:r>
          </w:p>
        </w:tc>
        <w:tc>
          <w:tcPr>
            <w:tcW w:w="58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A</w:t>
            </w:r>
          </w:p>
        </w:tc>
        <w:tc>
          <w:tcPr>
            <w:tcW w:w="540" w:type="dxa"/>
            <w:vAlign w:val="bottom"/>
            <w:tcBorders>
              <w:bottom w:val="single" w:sz="8" w:color="2C2C2C"/>
            </w:tcBorders>
          </w:tcPr>
          <w:p>
            <w:pPr>
              <w:ind w:left="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6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ind w:left="380"/>
              <w:spacing w:after="0"/>
              <w:rPr>
                <w:sz w:val="20"/>
                <w:szCs w:val="20"/>
                <w:color w:val="auto"/>
              </w:rPr>
            </w:pPr>
            <w:r>
              <w:rPr>
                <w:rFonts w:ascii="Arial" w:cs="Arial" w:eastAsia="Arial" w:hAnsi="Arial"/>
                <w:sz w:val="17"/>
                <w:szCs w:val="17"/>
                <w:color w:val="0000FF"/>
              </w:rPr>
              <w:t>131,646</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100" w:type="dxa"/>
            <w:vAlign w:val="bottom"/>
            <w:tcBorders>
              <w:top w:val="single" w:sz="8" w:color="2C2C2C"/>
            </w:tcBorders>
          </w:tcPr>
          <w:p>
            <w:pPr>
              <w:spacing w:after="0"/>
              <w:rPr>
                <w:sz w:val="19"/>
                <w:szCs w:val="19"/>
                <w:color w:val="auto"/>
              </w:rPr>
            </w:pPr>
          </w:p>
        </w:tc>
        <w:tc>
          <w:tcPr>
            <w:tcW w:w="6480" w:type="dxa"/>
            <w:vAlign w:val="bottom"/>
            <w:tcBorders>
              <w:top w:val="single" w:sz="8" w:color="2C2C2C"/>
            </w:tcBorders>
            <w:gridSpan w:val="13"/>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760" w:type="dxa"/>
            <w:vAlign w:val="bottom"/>
            <w:gridSpan w:val="11"/>
          </w:tcPr>
          <w:p>
            <w:pPr>
              <w:ind w:left="7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1500" w:type="dxa"/>
            <w:vAlign w:val="bottom"/>
            <w:tcBorders>
              <w:bottom w:val="single" w:sz="8" w:color="2C2C2C"/>
            </w:tcBorders>
            <w:gridSpan w:val="3"/>
          </w:tcPr>
          <w:p>
            <w:pPr>
              <w:spacing w:after="0"/>
              <w:rPr>
                <w:sz w:val="4"/>
                <w:szCs w:val="4"/>
                <w:color w:val="auto"/>
              </w:rPr>
            </w:pPr>
          </w:p>
        </w:tc>
        <w:tc>
          <w:tcPr>
            <w:tcW w:w="124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040" w:type="dxa"/>
            <w:vAlign w:val="bottom"/>
            <w:gridSpan w:val="2"/>
          </w:tcPr>
          <w:p>
            <w:pPr>
              <w:ind w:left="120"/>
              <w:spacing w:after="0"/>
              <w:rPr>
                <w:sz w:val="20"/>
                <w:szCs w:val="20"/>
                <w:color w:val="auto"/>
              </w:rPr>
            </w:pPr>
            <w:r>
              <w:rPr>
                <w:rFonts w:ascii="Arial" w:cs="Arial" w:eastAsia="Arial" w:hAnsi="Arial"/>
                <w:sz w:val="12"/>
                <w:szCs w:val="12"/>
                <w:b w:val="1"/>
                <w:bCs w:val="1"/>
                <w:color w:val="auto"/>
              </w:rPr>
              <w:t>5. Number of</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30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3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15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0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Acquired (A)</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or 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of (D) (Instr. 3,</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4 and 5)</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gridSpan w:val="2"/>
            <w:vMerge w:val="restart"/>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Expiration</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12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20"/>
              <w:spacing w:after="0"/>
              <w:rPr>
                <w:sz w:val="20"/>
                <w:szCs w:val="20"/>
                <w:color w:val="auto"/>
              </w:rPr>
            </w:pPr>
            <w:r>
              <w:rPr>
                <w:rFonts w:ascii="Arial" w:cs="Arial" w:eastAsia="Arial" w:hAnsi="Arial"/>
                <w:sz w:val="12"/>
                <w:szCs w:val="12"/>
                <w:b w:val="1"/>
                <w:bCs w:val="1"/>
                <w:color w:val="auto"/>
              </w:rPr>
              <w:t>(D)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Phantom</w:t>
            </w:r>
          </w:p>
        </w:tc>
        <w:tc>
          <w:tcPr>
            <w:tcW w:w="800" w:type="dxa"/>
            <w:vAlign w:val="bottom"/>
          </w:tcPr>
          <w:p>
            <w:pPr>
              <w:ind w:left="360"/>
              <w:spacing w:after="0"/>
              <w:rPr>
                <w:sz w:val="20"/>
                <w:szCs w:val="20"/>
                <w:color w:val="auto"/>
              </w:rPr>
            </w:pPr>
            <w:r>
              <w:rPr>
                <w:rFonts w:ascii="Arial" w:cs="Arial" w:eastAsia="Arial" w:hAnsi="Arial"/>
                <w:sz w:val="11"/>
                <w:szCs w:val="11"/>
                <w:color w:val="008000"/>
              </w:rPr>
              <w:t>(2)</w:t>
            </w:r>
          </w:p>
        </w:tc>
        <w:tc>
          <w:tcPr>
            <w:tcW w:w="1100" w:type="dxa"/>
            <w:vAlign w:val="bottom"/>
          </w:tcPr>
          <w:p>
            <w:pPr>
              <w:jc w:val="right"/>
              <w:ind w:right="159"/>
              <w:spacing w:after="0"/>
              <w:rPr>
                <w:sz w:val="20"/>
                <w:szCs w:val="20"/>
                <w:color w:val="auto"/>
              </w:rPr>
            </w:pPr>
            <w:r>
              <w:rPr>
                <w:rFonts w:ascii="Arial" w:cs="Arial" w:eastAsia="Arial" w:hAnsi="Arial"/>
                <w:sz w:val="13"/>
                <w:szCs w:val="13"/>
                <w:color w:val="0000FF"/>
              </w:rPr>
              <w:t>02/11/2015</w:t>
            </w:r>
          </w:p>
        </w:tc>
        <w:tc>
          <w:tcPr>
            <w:tcW w:w="1140" w:type="dxa"/>
            <w:vAlign w:val="bottom"/>
          </w:tcPr>
          <w:p>
            <w:pPr>
              <w:spacing w:after="0"/>
              <w:rPr>
                <w:sz w:val="21"/>
                <w:szCs w:val="21"/>
                <w:color w:val="auto"/>
              </w:rPr>
            </w:pPr>
          </w:p>
        </w:tc>
        <w:tc>
          <w:tcPr>
            <w:tcW w:w="780" w:type="dxa"/>
            <w:vAlign w:val="bottom"/>
          </w:tcPr>
          <w:p>
            <w:pPr>
              <w:ind w:left="180"/>
              <w:spacing w:after="0"/>
              <w:rPr>
                <w:sz w:val="20"/>
                <w:szCs w:val="20"/>
                <w:color w:val="auto"/>
              </w:rPr>
            </w:pPr>
            <w:r>
              <w:rPr>
                <w:rFonts w:ascii="Arial" w:cs="Arial" w:eastAsia="Arial" w:hAnsi="Arial"/>
                <w:sz w:val="13"/>
                <w:szCs w:val="13"/>
                <w:color w:val="0000FF"/>
              </w:rPr>
              <w:t>A</w:t>
            </w:r>
          </w:p>
        </w:tc>
        <w:tc>
          <w:tcPr>
            <w:tcW w:w="740" w:type="dxa"/>
            <w:vAlign w:val="bottom"/>
          </w:tcPr>
          <w:p>
            <w:pPr>
              <w:ind w:left="140"/>
              <w:spacing w:after="0"/>
              <w:rPr>
                <w:sz w:val="20"/>
                <w:szCs w:val="20"/>
                <w:color w:val="auto"/>
              </w:rPr>
            </w:pPr>
            <w:r>
              <w:rPr>
                <w:rFonts w:ascii="Arial" w:cs="Arial" w:eastAsia="Arial" w:hAnsi="Arial"/>
                <w:sz w:val="13"/>
                <w:szCs w:val="13"/>
                <w:color w:val="0000FF"/>
              </w:rPr>
              <w:t>96,953</w:t>
            </w:r>
            <w:r>
              <w:rPr>
                <w:rFonts w:ascii="Arial" w:cs="Arial" w:eastAsia="Arial" w:hAnsi="Arial"/>
                <w:sz w:val="22"/>
                <w:szCs w:val="22"/>
                <w:color w:val="008000"/>
                <w:vertAlign w:val="superscript"/>
              </w:rPr>
              <w:t>(2)</w:t>
            </w:r>
          </w:p>
        </w:tc>
        <w:tc>
          <w:tcPr>
            <w:tcW w:w="300" w:type="dxa"/>
            <w:vAlign w:val="bottom"/>
          </w:tcPr>
          <w:p>
            <w:pPr>
              <w:spacing w:after="0"/>
              <w:rPr>
                <w:sz w:val="21"/>
                <w:szCs w:val="21"/>
                <w:color w:val="auto"/>
              </w:rPr>
            </w:pPr>
          </w:p>
        </w:tc>
        <w:tc>
          <w:tcPr>
            <w:tcW w:w="820" w:type="dxa"/>
            <w:vAlign w:val="bottom"/>
            <w:gridSpan w:val="2"/>
          </w:tcPr>
          <w:p>
            <w:pPr>
              <w:ind w:left="300"/>
              <w:spacing w:after="0"/>
              <w:rPr>
                <w:sz w:val="20"/>
                <w:szCs w:val="20"/>
                <w:color w:val="auto"/>
              </w:rPr>
            </w:pPr>
            <w:r>
              <w:rPr>
                <w:rFonts w:ascii="Arial" w:cs="Arial" w:eastAsia="Arial" w:hAnsi="Arial"/>
                <w:sz w:val="11"/>
                <w:szCs w:val="11"/>
                <w:color w:val="008000"/>
              </w:rPr>
              <w:t>(2)</w:t>
            </w:r>
          </w:p>
        </w:tc>
        <w:tc>
          <w:tcPr>
            <w:tcW w:w="680" w:type="dxa"/>
            <w:vAlign w:val="bottom"/>
          </w:tcPr>
          <w:p>
            <w:pPr>
              <w:ind w:left="260"/>
              <w:spacing w:after="0"/>
              <w:rPr>
                <w:sz w:val="20"/>
                <w:szCs w:val="20"/>
                <w:color w:val="auto"/>
              </w:rPr>
            </w:pPr>
            <w:r>
              <w:rPr>
                <w:rFonts w:ascii="Arial" w:cs="Arial" w:eastAsia="Arial" w:hAnsi="Arial"/>
                <w:sz w:val="11"/>
                <w:szCs w:val="11"/>
                <w:color w:val="008000"/>
              </w:rPr>
              <w:t>(2)</w:t>
            </w:r>
          </w:p>
        </w:tc>
        <w:tc>
          <w:tcPr>
            <w:tcW w:w="700" w:type="dxa"/>
            <w:vAlign w:val="bottom"/>
            <w:gridSpan w:val="2"/>
          </w:tcPr>
          <w:p>
            <w:pPr>
              <w:ind w:left="80"/>
              <w:spacing w:after="0"/>
              <w:rPr>
                <w:sz w:val="20"/>
                <w:szCs w:val="20"/>
                <w:color w:val="auto"/>
              </w:rPr>
            </w:pPr>
            <w:r>
              <w:rPr>
                <w:rFonts w:ascii="Arial" w:cs="Arial" w:eastAsia="Arial" w:hAnsi="Arial"/>
                <w:sz w:val="13"/>
                <w:szCs w:val="13"/>
                <w:color w:val="0000FF"/>
              </w:rPr>
              <w:t>Common</w:t>
            </w:r>
          </w:p>
        </w:tc>
        <w:tc>
          <w:tcPr>
            <w:tcW w:w="540" w:type="dxa"/>
            <w:vAlign w:val="bottom"/>
          </w:tcPr>
          <w:p>
            <w:pPr>
              <w:spacing w:after="0"/>
              <w:rPr>
                <w:sz w:val="20"/>
                <w:szCs w:val="20"/>
                <w:color w:val="auto"/>
              </w:rPr>
            </w:pPr>
            <w:r>
              <w:rPr>
                <w:rFonts w:ascii="Arial" w:cs="Arial" w:eastAsia="Arial" w:hAnsi="Arial"/>
                <w:sz w:val="17"/>
                <w:szCs w:val="17"/>
                <w:color w:val="0000FF"/>
                <w:w w:val="99"/>
              </w:rPr>
              <w:t>96,953</w:t>
            </w:r>
          </w:p>
        </w:tc>
        <w:tc>
          <w:tcPr>
            <w:tcW w:w="60" w:type="dxa"/>
            <w:vAlign w:val="bottom"/>
          </w:tcPr>
          <w:p>
            <w:pPr>
              <w:spacing w:after="0"/>
              <w:rPr>
                <w:sz w:val="21"/>
                <w:szCs w:val="21"/>
                <w:color w:val="auto"/>
              </w:rPr>
            </w:pPr>
          </w:p>
        </w:tc>
        <w:tc>
          <w:tcPr>
            <w:tcW w:w="72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00" w:type="dxa"/>
            <w:vAlign w:val="bottom"/>
          </w:tcPr>
          <w:p>
            <w:pPr>
              <w:ind w:left="240"/>
              <w:spacing w:after="0"/>
              <w:rPr>
                <w:sz w:val="20"/>
                <w:szCs w:val="20"/>
                <w:color w:val="auto"/>
              </w:rPr>
            </w:pPr>
            <w:r>
              <w:rPr>
                <w:rFonts w:ascii="Arial" w:cs="Arial" w:eastAsia="Arial" w:hAnsi="Arial"/>
                <w:sz w:val="13"/>
                <w:szCs w:val="13"/>
                <w:color w:val="0000FF"/>
                <w:w w:val="85"/>
              </w:rPr>
              <w:t>96,953</w:t>
            </w:r>
          </w:p>
        </w:tc>
        <w:tc>
          <w:tcPr>
            <w:tcW w:w="300" w:type="dxa"/>
            <w:vAlign w:val="bottom"/>
          </w:tcPr>
          <w:p>
            <w:pPr>
              <w:spacing w:after="0"/>
              <w:rPr>
                <w:sz w:val="21"/>
                <w:szCs w:val="21"/>
                <w:color w:val="auto"/>
              </w:rPr>
            </w:pPr>
          </w:p>
        </w:tc>
        <w:tc>
          <w:tcPr>
            <w:tcW w:w="68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ind w:left="40"/>
              <w:spacing w:after="0"/>
              <w:rPr>
                <w:sz w:val="20"/>
                <w:szCs w:val="20"/>
                <w:color w:val="auto"/>
              </w:rPr>
            </w:pPr>
            <w:r>
              <w:rPr>
                <w:rFonts w:ascii="Arial" w:cs="Arial" w:eastAsia="Arial" w:hAnsi="Arial"/>
                <w:sz w:val="13"/>
                <w:szCs w:val="13"/>
                <w:color w:val="0000FF"/>
              </w:rPr>
              <w:t>Stock</w:t>
            </w: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4"/>
          <w:szCs w:val="24"/>
          <w:color w:val="auto"/>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Restricted common stock award under the 2014 Equity Participation Plan of Civeo Corporation that vests in equal installments on each of the first four anniversaries of February 11, 2015.</w:t>
      </w:r>
    </w:p>
    <w:p>
      <w:pPr>
        <w:spacing w:after="0" w:line="49" w:lineRule="exact"/>
        <w:rPr>
          <w:rFonts w:ascii="Arial" w:cs="Arial" w:eastAsia="Arial" w:hAnsi="Arial"/>
          <w:sz w:val="13"/>
          <w:szCs w:val="13"/>
          <w:color w:val="008000"/>
        </w:rPr>
      </w:pPr>
    </w:p>
    <w:p>
      <w:pPr>
        <w:ind w:left="40" w:right="280" w:firstLine="6"/>
        <w:spacing w:after="0" w:line="264"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Phantom stock award under the 2014 Equity Participation Plan of Civeo Corporation that vests in equal installments on each of the first four anniversaries of February 11, 2015. Each share of phantom stock is the economic equivalent of one share of Civeo Corporation stock and is payable in cash.</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7"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Senior Vice President, Chief Financial Officer and Treasurer</w:t>
      </w:r>
    </w:p>
    <w:p>
      <w:pPr>
        <w:spacing w:after="0" w:line="77" w:lineRule="exact"/>
        <w:rPr>
          <w:sz w:val="24"/>
          <w:szCs w:val="24"/>
          <w:color w:val="auto"/>
        </w:rPr>
      </w:pPr>
    </w:p>
    <w:p>
      <w:pPr>
        <w:ind w:left="6860"/>
        <w:spacing w:after="0"/>
        <w:rPr>
          <w:sz w:val="20"/>
          <w:szCs w:val="20"/>
          <w:color w:val="auto"/>
        </w:rPr>
      </w:pPr>
      <w:r>
        <w:rPr>
          <w:rFonts w:ascii="Arial" w:cs="Arial" w:eastAsia="Arial" w:hAnsi="Arial"/>
          <w:sz w:val="17"/>
          <w:szCs w:val="17"/>
          <w:color w:val="0000FF"/>
        </w:rPr>
        <w:t>/s/ Frank C. Steininger, by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-8255</wp:posOffset>
            </wp:positionV>
            <wp:extent cx="115189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spacing w:after="0" w:line="4" w:lineRule="exact"/>
        <w:rPr>
          <w:sz w:val="24"/>
          <w:szCs w:val="24"/>
          <w:color w:val="auto"/>
        </w:rPr>
      </w:pPr>
    </w:p>
    <w:p>
      <w:pPr>
        <w:ind w:left="6860"/>
        <w:spacing w:after="0"/>
        <w:rPr>
          <w:sz w:val="20"/>
          <w:szCs w:val="20"/>
          <w:color w:val="auto"/>
        </w:rPr>
      </w:pPr>
      <w:r>
        <w:rPr>
          <w:rFonts w:ascii="Arial" w:cs="Arial" w:eastAsia="Arial" w:hAnsi="Arial"/>
          <w:sz w:val="17"/>
          <w:szCs w:val="17"/>
          <w:color w:val="0000FF"/>
        </w:rPr>
        <w:t>Bradley J. Dodson, as Attorney- 02/19/2015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-13335</wp:posOffset>
            </wp:positionV>
            <wp:extent cx="19488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48815"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-13335</wp:posOffset>
            </wp:positionV>
            <wp:extent cx="3105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10515" cy="8255"/>
                    </a:xfrm>
                    <a:prstGeom prst="rect">
                      <a:avLst/>
                    </a:prstGeom>
                    <a:noFill/>
                  </pic:spPr>
                </pic:pic>
              </a:graphicData>
            </a:graphic>
          </wp:anchor>
        </w:drawing>
      </w:r>
    </w:p>
    <w:p>
      <w:pPr>
        <w:spacing w:after="0" w:line="50"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820" w:firstLine="6"/>
        <w:spacing w:after="0" w:line="318" w:lineRule="auto"/>
        <w:tabs>
          <w:tab w:leader="none" w:pos="180"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4"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609145" TargetMode="External"/><Relationship Id="rId13" Type="http://schemas.openxmlformats.org/officeDocument/2006/relationships/hyperlink" Target="http://www.sec.gov/cgi-bin/browse-edgar?action=getcompany&amp;CIK=000159058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2019-12-09T03:05:18Z</dcterms:created>
  <dcterms:modified xsi:type="dcterms:W3CDTF">2019-12-09T03:05:18Z</dcterms:modified>
</cp:coreProperties>
</file>