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Grewal Jagdish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4980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Civeo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CVEO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60" w:type="dxa"/>
            <w:vAlign w:val="bottom"/>
            <w:tcBorders>
              <w:bottom w:val="single" w:sz="8" w:color="0000EE"/>
            </w:tcBorders>
          </w:tcPr>
          <w:p>
            <w:pPr>
              <w:spacing w:after="0"/>
              <w:rPr>
                <w:sz w:val="3"/>
                <w:szCs w:val="3"/>
                <w:color w:val="auto"/>
              </w:rPr>
            </w:pPr>
          </w:p>
        </w:tc>
        <w:tc>
          <w:tcPr>
            <w:tcW w:w="2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05/15/2024</w:t>
            </w:r>
          </w:p>
        </w:tc>
        <w:tc>
          <w:tcPr>
            <w:tcW w:w="2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Deferred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05/15/2024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5,051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10,998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Deferred share award under the 2014 Equity Participation Plan of Civeo Corporation that vests on the earlier of one year from May 15, 2024 or the next annual shareholders' meeting 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05/17/2024</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8150"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2024-05-17T11:50:46Z</dcterms:created>
  <dcterms:modified xsi:type="dcterms:W3CDTF">2024-05-17T11:50:46Z</dcterms:modified>
</cp:coreProperties>
</file>